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jc w:val="center"/>
        <w:widowControl/>
      </w:pPr>
      <w:r>
        <w:rPr>
          <w:rFonts w:ascii="Liberation Sans" w:hAnsi="Liberation Sans" w:eastAsia="Liberation Sans"/>
          <w:b/>
          <w:color w:val="C8952E"/>
          <w:sz w:val="36"/>
        </w:rPr>
        <w:t>Chapitre 5</w:t>
      </w:r>
    </w:p>
    <w:p>
      <w:pPr>
        <w:spacing w:after="160"/>
        <w:jc w:val="center"/>
        <w:widowControl/>
      </w:pPr>
      <w:r>
        <w:rPr>
          <w:rFonts w:ascii="Liberation Sans" w:hAnsi="Liberation Sans" w:eastAsia="Liberation Sans"/>
          <w:b/>
          <w:color w:val="2F3437"/>
          <w:sz w:val="50"/>
        </w:rPr>
        <w:t>Mécanisme de stress</w:t>
      </w:r>
    </w:p>
    <w:p>
      <w:pPr>
        <w:spacing w:after="280"/>
        <w:jc w:val="center"/>
        <w:pBdr>
          <w:bottom w:val="single" w:sz="18" w:space="6" w:color="2C6B6F"/>
        </w:pBdr>
        <w:widowControl/>
      </w:pPr>
      <w:r>
        <w:rPr>
          <w:rFonts w:ascii="Liberation Sans" w:hAnsi="Liberation Sans" w:eastAsia="Liberation Sans"/>
          <w:color w:val="2C6B6F"/>
          <w:sz w:val="27"/>
        </w:rPr>
        <w:t>Physiologie de l’adaptation, coût allostatique et approche ROP</w:t>
      </w:r>
    </w:p>
    <w:p>
      <w:pPr>
        <w:pStyle w:val="Quote"/>
        <w:jc w:val="center"/>
        <w:widowControl/>
      </w:pPr>
      <w:r>
        <w:rPr>
          <w:rFonts w:ascii="Liberation Serif" w:hAnsi="Liberation Serif" w:eastAsia="Liberation Serif"/>
          <w:i/>
          <w:color w:val="2C6B6F"/>
          <w:sz w:val="24"/>
        </w:rPr>
        <w:t>La santé adaptative dépend moins de l’absence de réaction que de la capacité de l’organisme à achever sa réaction.</w:t>
      </w:r>
    </w:p>
    <w:tbl>
      <w:tblPr>
        <w:tblW w:type="auto" w:w="0"/>
        <w:jc w:val="center"/>
        <w:tblLayout w:type="autofit"/>
        <w:tblLook w:firstColumn="1" w:firstRow="1" w:lastColumn="0" w:lastRow="0" w:noHBand="0" w:noVBand="1" w:val="04A0"/>
      </w:tblPr>
      <w:tblGrid>
        <w:gridCol w:w="9524"/>
      </w:tblGrid>
      <w:tr>
        <w:tc>
          <w:tcPr>
            <w:tcW w:type="dxa" w:w="9524"/>
            <w:shd w:fill="F6ECD4"/>
            <w:tcBorders>
              <w:top w:val="single" w:sz="8" w:color="C8952E"/>
              <w:left w:val="single" w:sz="12" w:color="C8952E"/>
              <w:bottom w:val="single" w:sz="8" w:color="C8952E"/>
              <w:right w:val="single" w:sz="8" w:color="C8952E"/>
            </w:tcBorders>
            <w:vAlign w:val="center"/>
          </w:tcPr>
          <w:p>
            <w:pPr>
              <w:spacing w:after="60"/>
            </w:pPr>
            <w:r>
              <w:rPr>
                <w:rFonts w:ascii="Liberation Sans" w:hAnsi="Liberation Sans" w:eastAsia="Liberation Sans"/>
                <w:b/>
                <w:color w:val="C8952E"/>
                <w:sz w:val="20"/>
              </w:rPr>
              <w:t>FIL DIRECTEUR DU CHAPITRE</w:t>
            </w:r>
          </w:p>
          <w:p>
            <w:pPr>
              <w:spacing w:after="0" w:line="259" w:lineRule="auto"/>
            </w:pPr>
            <w:r>
              <w:rPr>
                <w:rFonts w:ascii="Liberation Serif" w:hAnsi="Liberation Serif" w:eastAsia="Liberation Serif"/>
                <w:color w:val="2F3437"/>
                <w:sz w:val="20"/>
              </w:rPr>
              <w:t>Le stress n’est pas une anomalie : il est une mobilisation protectrice. Le problème apparaît lorsque la réponse persiste, se répète ou ne se clôt pas. Le rôle potentiel de la ROP n’est donc pas de supprimer toute réaction de stress, mais de soutenir la flexibilité autonome et la récupération, dans la limite de ce que les données cliniques permettent aujourd’hui d’affirmer.</w:t>
            </w:r>
          </w:p>
        </w:tc>
      </w:tr>
    </w:tbl>
    <w:p>
      <w:pPr>
        <w:spacing w:after="0"/>
        <w:widowControl/>
      </w:pPr>
    </w:p>
    <w:p>
      <w:pPr>
        <w:pStyle w:val="Heading2"/>
        <w:keepNext/>
        <w:widowControl/>
      </w:pPr>
      <w:r>
        <w:rPr>
          <w:rFonts w:ascii="Liberation Sans" w:hAnsi="Liberation Sans" w:eastAsia="Liberation Sans"/>
          <w:b/>
          <w:color w:val="2C6B6F"/>
          <w:sz w:val="25"/>
        </w:rPr>
        <w:t>Note méthodologique</w:t>
      </w:r>
    </w:p>
    <w:p>
      <w:pPr>
        <w:pStyle w:val="BodyText"/>
        <w:widowControl/>
      </w:pPr>
      <w:r>
        <w:rPr>
          <w:rFonts w:ascii="Liberation Serif" w:hAnsi="Liberation Serif" w:eastAsia="Liberation Serif"/>
          <w:i w:val="0"/>
          <w:color w:val="2F3437"/>
          <w:sz w:val="21"/>
        </w:rPr>
        <w:t>Ce chapitre distingue trois niveaux de discours. Le premier correspond aux données physiologiques établies : fonctionnement du système nerveux autonome, axes du stress, allostasie, récupération et interoception. Le deuxième présente des modèles récents encore en cours de validation, notamment l’hypermétabolisme cellulaire et le principe de résistance énergétique. Le troisième relève de la lecture clinique ROP : il s’agit d’une hypothèse de travail cohérente avec la physiologie, mais qui ne doit pas être confondue avec un mécanisme d’action déjà démontré.</w:t>
      </w:r>
    </w:p>
    <w:p>
      <w:pPr>
        <w:pStyle w:val="BodyText"/>
        <w:widowControl/>
      </w:pPr>
      <w:r>
        <w:rPr>
          <w:rFonts w:ascii="Liberation Serif" w:hAnsi="Liberation Serif" w:eastAsia="Liberation Serif"/>
          <w:i w:val="0"/>
          <w:color w:val="2F3437"/>
          <w:sz w:val="21"/>
        </w:rPr>
        <w:t>Cette distinction permet de préserver l’identité clinique de la ROP tout en évitant trois raccourcis : considérer le cortisol comme l’unique cause du stress, présenter le corps comme une batterie qui se vide, ou attribuer à la ROP une action directe prouvée sur les mitochondries, les hormones ou le vieillissement.</w:t>
      </w:r>
    </w:p>
    <w:p>
      <w:pPr>
        <w:pStyle w:val="Heading1"/>
        <w:keepNext/>
        <w:widowControl/>
      </w:pPr>
      <w:r>
        <w:rPr>
          <w:rFonts w:ascii="Liberation Sans" w:hAnsi="Liberation Sans" w:eastAsia="Liberation Sans"/>
          <w:b/>
          <w:color w:val="2F3437"/>
          <w:sz w:val="32"/>
        </w:rPr>
        <w:t>1. Le stress : une réponse d’adaptation</w:t>
      </w:r>
    </w:p>
    <w:p>
      <w:pPr>
        <w:pStyle w:val="BodyText"/>
        <w:widowControl/>
      </w:pPr>
      <w:r>
        <w:rPr>
          <w:rFonts w:ascii="Liberation Serif" w:hAnsi="Liberation Serif" w:eastAsia="Liberation Serif"/>
          <w:i w:val="0"/>
          <w:color w:val="2F3437"/>
          <w:sz w:val="21"/>
        </w:rPr>
        <w:t>Dans le langage courant, le mot stress désigne indifféremment une contrainte extérieure, un état psychologique et les manifestations corporelles qui l’accompagnent. Sur le plan physiologique, il est plus rigoureux de distinguer le stresseur de la réponse de stress. Le stresseur est l’événement, la contrainte ou le déséquilibre susceptible de mettre l’organisme à l’épreuve. Le stress correspond à l’ensemble des réponses mobilisées pour y faire face.</w:t>
      </w:r>
    </w:p>
    <w:p>
      <w:pPr>
        <w:pStyle w:val="BodyText"/>
        <w:widowControl/>
      </w:pPr>
      <w:r>
        <w:rPr>
          <w:rFonts w:ascii="Liberation Serif" w:hAnsi="Liberation Serif" w:eastAsia="Liberation Serif"/>
          <w:i w:val="0"/>
          <w:color w:val="2F3437"/>
          <w:sz w:val="21"/>
        </w:rPr>
        <w:t>Cette réponse est fondamentalement protectrice. Elle permet d’augmenter la vigilance, de mobiliser les substrats énergétiques, d’ajuster le débit cardiaque et la respiration, de préparer la musculature à l’action et de modifier temporairement certaines fonctions digestives, immunitaires ou reproductives. À court terme, cette mobilisation favorise la survie et l’adaptation.</w:t>
      </w:r>
    </w:p>
    <w:p>
      <w:pPr>
        <w:pStyle w:val="BodyText"/>
        <w:widowControl/>
      </w:pPr>
      <w:r>
        <w:rPr>
          <w:rFonts w:ascii="Liberation Serif" w:hAnsi="Liberation Serif" w:eastAsia="Liberation Serif"/>
          <w:i w:val="0"/>
          <w:color w:val="2F3437"/>
          <w:sz w:val="21"/>
        </w:rPr>
        <w:t>Le caractère délétère du stress ne dépend donc pas seulement de la présence d’une contrainte. Il dépend de l’intensité de la réponse, de sa durée, de sa répétition, de la possibilité d’agir sur la situation et, surtout, de la capacité de l’organisme à revenir vers son état de base lorsque l’événement est terminé.</w:t>
      </w:r>
    </w:p>
    <w:tbl>
      <w:tblPr>
        <w:tblW w:type="auto" w:w="0"/>
        <w:jc w:val="center"/>
        <w:tblLayout w:type="autofit"/>
        <w:tblLook w:firstColumn="1" w:firstRow="1" w:lastColumn="0" w:lastRow="0" w:noHBand="0" w:noVBand="1" w:val="04A0"/>
      </w:tblPr>
      <w:tblGrid>
        <w:gridCol w:w="9524"/>
      </w:tblGrid>
      <w:tr>
        <w:tc>
          <w:tcPr>
            <w:tcW w:type="dxa" w:w="9524"/>
            <w:shd w:fill="F6ECD4"/>
            <w:tcBorders>
              <w:top w:val="single" w:sz="8" w:color="C8952E"/>
              <w:left w:val="single" w:sz="12" w:color="C8952E"/>
              <w:bottom w:val="single" w:sz="8" w:color="C8952E"/>
              <w:right w:val="single" w:sz="8" w:color="C8952E"/>
            </w:tcBorders>
            <w:vAlign w:val="center"/>
          </w:tcPr>
          <w:p>
            <w:pPr>
              <w:spacing w:after="60"/>
            </w:pPr>
            <w:r>
              <w:rPr>
                <w:rFonts w:ascii="Liberation Sans" w:hAnsi="Liberation Sans" w:eastAsia="Liberation Sans"/>
                <w:b/>
                <w:color w:val="C8952E"/>
                <w:sz w:val="20"/>
              </w:rPr>
              <w:t>IDÉE-CLÉ</w:t>
            </w:r>
          </w:p>
          <w:p>
            <w:pPr>
              <w:spacing w:after="0" w:line="259" w:lineRule="auto"/>
            </w:pPr>
            <w:r>
              <w:rPr>
                <w:rFonts w:ascii="Liberation Serif" w:hAnsi="Liberation Serif" w:eastAsia="Liberation Serif"/>
                <w:color w:val="2F3437"/>
                <w:sz w:val="20"/>
              </w:rPr>
              <w:t>Le stress aigu n’est pas l’ennemi. Le coût pathologique apparaît surtout lorsque la mobilisation défensive devient disproportionnée, répétée ou insuffisamment suivie de récupération.</w:t>
            </w:r>
          </w:p>
        </w:tc>
      </w:tr>
    </w:tbl>
    <w:p>
      <w:pPr>
        <w:spacing w:after="0"/>
        <w:widowControl/>
      </w:pPr>
    </w:p>
    <w:p>
      <w:pPr>
        <w:pStyle w:val="Heading1"/>
        <w:keepNext/>
        <w:widowControl/>
      </w:pPr>
      <w:r>
        <w:rPr>
          <w:rFonts w:ascii="Liberation Sans" w:hAnsi="Liberation Sans" w:eastAsia="Liberation Sans"/>
          <w:b/>
          <w:color w:val="2F3437"/>
          <w:sz w:val="32"/>
        </w:rPr>
        <w:t>2. De l’homéostasie à l’allostasie</w:t>
      </w:r>
    </w:p>
    <w:p>
      <w:pPr>
        <w:pStyle w:val="Heading2"/>
        <w:keepNext/>
        <w:widowControl/>
      </w:pPr>
      <w:r>
        <w:rPr>
          <w:rFonts w:ascii="Liberation Sans" w:hAnsi="Liberation Sans" w:eastAsia="Liberation Sans"/>
          <w:b/>
          <w:color w:val="2C6B6F"/>
          <w:sz w:val="25"/>
        </w:rPr>
        <w:t>2.1. Homéostasie : maintenir des variables compatibles avec la vie</w:t>
      </w:r>
    </w:p>
    <w:p>
      <w:pPr>
        <w:pStyle w:val="BodyText"/>
        <w:widowControl/>
      </w:pPr>
      <w:r>
        <w:rPr>
          <w:rFonts w:ascii="Liberation Serif" w:hAnsi="Liberation Serif" w:eastAsia="Liberation Serif"/>
          <w:i w:val="0"/>
          <w:color w:val="2F3437"/>
          <w:sz w:val="21"/>
        </w:rPr>
        <w:t>L’homéostasie désigne la capacité de l’organisme à maintenir certaines variables internes dans des limites compatibles avec la vie : température, pH, glycémie, pression artérielle, équilibre hydrominéral, oxygénation, etc. Elle ne correspond pas à une immobilité biologique. Elle repose au contraire sur des ajustements continus, souvent invisibles, qui compensent les variations internes et externes.</w:t>
      </w:r>
    </w:p>
    <w:p>
      <w:pPr>
        <w:pStyle w:val="Heading2"/>
        <w:keepNext/>
        <w:widowControl/>
      </w:pPr>
      <w:r>
        <w:rPr>
          <w:rFonts w:ascii="Liberation Sans" w:hAnsi="Liberation Sans" w:eastAsia="Liberation Sans"/>
          <w:b/>
          <w:color w:val="2C6B6F"/>
          <w:sz w:val="25"/>
        </w:rPr>
        <w:t>2.2. Allostasie : préserver la stabilité en changeant de fonctionnement</w:t>
      </w:r>
    </w:p>
    <w:p>
      <w:pPr>
        <w:pStyle w:val="BodyText"/>
        <w:widowControl/>
      </w:pPr>
      <w:r>
        <w:rPr>
          <w:rFonts w:ascii="Liberation Serif" w:hAnsi="Liberation Serif" w:eastAsia="Liberation Serif"/>
          <w:i w:val="0"/>
          <w:color w:val="2F3437"/>
          <w:sz w:val="21"/>
        </w:rPr>
        <w:t>L’allostasie décrit la capacité à obtenir la stabilité par le changement. Face à un effort, un danger, une infection, un conflit ou un manque de sommeil, l’organisme modifie temporairement ses paramètres : il augmente ou réduit certaines fonctions, redistribue les flux sanguins, mobilise des réserves et adapte son comportement. La valeur physiologique recherchée n’est pas toujours un retour immédiat à une norme fixe, mais une réponse appropriée au contexte.</w:t>
      </w:r>
    </w:p>
    <w:p>
      <w:pPr>
        <w:pStyle w:val="BodyText"/>
        <w:widowControl/>
      </w:pPr>
      <w:r>
        <w:rPr>
          <w:rFonts w:ascii="Liberation Serif" w:hAnsi="Liberation Serif" w:eastAsia="Liberation Serif"/>
          <w:i w:val="0"/>
          <w:color w:val="2F3437"/>
          <w:sz w:val="21"/>
        </w:rPr>
        <w:t>Dans cette perspective, le mécanisme de stress est une forme d’allostasie. Il devient problématique lorsque l’adaptation doit être maintenue trop longtemps, lorsqu’elle est déclenchée trop souvent ou lorsqu’elle continue en l’absence de menace actuelle.</w:t>
      </w:r>
    </w:p>
    <w:p>
      <w:pPr>
        <w:pStyle w:val="Heading2"/>
        <w:keepNext/>
        <w:widowControl/>
      </w:pPr>
      <w:r>
        <w:rPr>
          <w:rFonts w:ascii="Liberation Sans" w:hAnsi="Liberation Sans" w:eastAsia="Liberation Sans"/>
          <w:b/>
          <w:color w:val="2C6B6F"/>
          <w:sz w:val="25"/>
        </w:rPr>
        <w:t>2.3. Charge allostatique : le prix cumulé de l’adaptation</w:t>
      </w:r>
    </w:p>
    <w:p>
      <w:pPr>
        <w:pStyle w:val="BodyText"/>
        <w:widowControl/>
      </w:pPr>
      <w:r>
        <w:rPr>
          <w:rFonts w:ascii="Liberation Serif" w:hAnsi="Liberation Serif" w:eastAsia="Liberation Serif"/>
          <w:i w:val="0"/>
          <w:color w:val="2F3437"/>
          <w:sz w:val="21"/>
        </w:rPr>
        <w:t>La charge allostatique correspond au coût cumulé des ajustements nécessaires pour faire face aux contraintes. Ce coût ne résulte pas d’un seul facteur. Il dépend de l’intensité et de la fréquence des stresseurs, de l’histoire du sujet, de ses ressources biologiques et sociales, de son sommeil, de son activité physique, de ses pathologies et de la qualité de sa récupération.</w:t>
      </w:r>
    </w:p>
    <w:p>
      <w:pPr>
        <w:pStyle w:val="BodyText"/>
        <w:widowControl/>
      </w:pPr>
      <w:r>
        <w:rPr>
          <w:rFonts w:ascii="Liberation Serif" w:hAnsi="Liberation Serif" w:eastAsia="Liberation Serif"/>
          <w:i w:val="0"/>
          <w:color w:val="2F3437"/>
          <w:sz w:val="21"/>
        </w:rPr>
        <w:t>Tant que les capacités adaptatives restent suffisantes, l’organisme peut absorber la contrainte et retrouver un fonctionnement stable. Lorsque les stress s’additionnent plus vite que les capacités de récupération, la marge d’adaptation se réduit. Des symptômes fonctionnels peuvent alors apparaître avant toute lésion anatomique identifiable.</w:t>
      </w:r>
    </w:p>
    <w:tbl>
      <w:tblPr>
        <w:tblW w:type="auto" w:w="0"/>
        <w:jc w:val="center"/>
        <w:tblLayout w:type="autofit"/>
        <w:tblLook w:firstColumn="1" w:firstRow="1" w:lastColumn="0" w:lastRow="0" w:noHBand="0" w:noVBand="1" w:val="04A0"/>
      </w:tblPr>
      <w:tblGrid>
        <w:gridCol w:w="9524"/>
      </w:tblGrid>
      <w:tr>
        <w:tc>
          <w:tcPr>
            <w:tcW w:type="dxa" w:w="9524"/>
            <w:shd w:fill="E6F0EF"/>
            <w:tcBorders>
              <w:top w:val="single" w:sz="8" w:color="2C6B6F"/>
              <w:left w:val="single" w:sz="12" w:color="2C6B6F"/>
              <w:bottom w:val="single" w:sz="8" w:color="2C6B6F"/>
              <w:right w:val="single" w:sz="8" w:color="2C6B6F"/>
            </w:tcBorders>
            <w:vAlign w:val="center"/>
          </w:tcPr>
          <w:p>
            <w:pPr>
              <w:spacing w:after="60"/>
            </w:pPr>
            <w:r>
              <w:rPr>
                <w:rFonts w:ascii="Liberation Sans" w:hAnsi="Liberation Sans" w:eastAsia="Liberation Sans"/>
                <w:b/>
                <w:color w:val="2C6B6F"/>
                <w:sz w:val="20"/>
              </w:rPr>
              <w:t>DONNÉES ÉTABLIES</w:t>
            </w:r>
          </w:p>
          <w:p>
            <w:pPr>
              <w:spacing w:after="0" w:line="259" w:lineRule="auto"/>
            </w:pPr>
            <w:r>
              <w:rPr>
                <w:rFonts w:ascii="Liberation Serif" w:hAnsi="Liberation Serif" w:eastAsia="Liberation Serif"/>
                <w:color w:val="2F3437"/>
                <w:sz w:val="20"/>
              </w:rPr>
              <w:t>Les hormones et médiateurs du stress protègent l’organisme à court terme. Leur activation répétée ou mal régulée peut toutefois contribuer à une charge allostatique touchant plusieurs systèmes : cardiovasculaire, métabolique, immunitaire, cérébral et comportemental [1, 2].</w:t>
            </w:r>
          </w:p>
        </w:tc>
      </w:tr>
    </w:tbl>
    <w:p>
      <w:pPr>
        <w:spacing w:after="0"/>
        <w:widowControl/>
      </w:pPr>
    </w:p>
    <w:p>
      <w:pPr>
        <w:pStyle w:val="Heading1"/>
        <w:keepNext/>
        <w:widowControl/>
      </w:pPr>
      <w:r>
        <w:rPr>
          <w:rFonts w:ascii="Liberation Sans" w:hAnsi="Liberation Sans" w:eastAsia="Liberation Sans"/>
          <w:b/>
          <w:color w:val="2F3437"/>
          <w:sz w:val="32"/>
        </w:rPr>
        <w:t>3. La trilogie des stresseurs</w:t>
      </w:r>
    </w:p>
    <w:p>
      <w:pPr>
        <w:pStyle w:val="BodyText"/>
        <w:widowControl/>
      </w:pPr>
      <w:r>
        <w:rPr>
          <w:rFonts w:ascii="Liberation Serif" w:hAnsi="Liberation Serif" w:eastAsia="Liberation Serif"/>
          <w:i w:val="0"/>
          <w:color w:val="2F3437"/>
          <w:sz w:val="21"/>
        </w:rPr>
        <w:t>Dans la lecture proposée par cet ouvrage, trois familles de stresseurs interagissent : les stresseurs physiques, émotionnels et biochimiques. Cette trilogie évite de réduire le stress à la seule inquiétude psychologique.</w:t>
      </w:r>
    </w:p>
    <w:p>
      <w:pPr>
        <w:pStyle w:val="Heading2"/>
        <w:keepNext/>
        <w:widowControl/>
      </w:pPr>
      <w:r>
        <w:rPr>
          <w:rFonts w:ascii="Liberation Sans" w:hAnsi="Liberation Sans" w:eastAsia="Liberation Sans"/>
          <w:b/>
          <w:color w:val="2C6B6F"/>
          <w:sz w:val="25"/>
        </w:rPr>
        <w:t>3.1. Stresseurs physiques</w:t>
      </w:r>
    </w:p>
    <w:p>
      <w:pPr>
        <w:pStyle w:val="BodyText"/>
        <w:widowControl/>
      </w:pPr>
      <w:r>
        <w:rPr>
          <w:rFonts w:ascii="Liberation Serif" w:hAnsi="Liberation Serif" w:eastAsia="Liberation Serif"/>
          <w:i w:val="0"/>
          <w:color w:val="2F3437"/>
          <w:sz w:val="21"/>
        </w:rPr>
        <w:t>Ils comprennent notamment les traumatismes, les douleurs aiguës ou chroniques, les contraintes posturales, les suites de chirurgie, les infections, l’insuffisance ou l’excès d’activité physique, les agressions sensorielles, les climats extrêmes et le manque de sommeil. Un traumatisme cervical ancien, une douleur persistante ou une respiration continuellement contrainte peuvent maintenir une information corporelle d’alerte même lorsque l’événement initial est ancien.</w:t>
      </w:r>
    </w:p>
    <w:p>
      <w:pPr>
        <w:pStyle w:val="Heading2"/>
        <w:keepNext/>
        <w:widowControl/>
      </w:pPr>
      <w:r>
        <w:rPr>
          <w:rFonts w:ascii="Liberation Sans" w:hAnsi="Liberation Sans" w:eastAsia="Liberation Sans"/>
          <w:b/>
          <w:color w:val="2C6B6F"/>
          <w:sz w:val="25"/>
        </w:rPr>
        <w:t>3.2. Stresseurs émotionnels, psychologiques et sociaux</w:t>
      </w:r>
    </w:p>
    <w:p>
      <w:pPr>
        <w:pStyle w:val="BodyText"/>
        <w:widowControl/>
      </w:pPr>
      <w:r>
        <w:rPr>
          <w:rFonts w:ascii="Liberation Serif" w:hAnsi="Liberation Serif" w:eastAsia="Liberation Serif"/>
          <w:i w:val="0"/>
          <w:color w:val="2F3437"/>
          <w:sz w:val="21"/>
        </w:rPr>
        <w:t>Les conflits, les ruptures affectives, le harcèlement, l’isolement, l’insécurité professionnelle, le deuil et les traumatismes psychiques peuvent déclencher une réponse de stress importante. Leur effet dépend non seulement de la gravité objective de l’événement, mais aussi de sa prévisibilité, de son caractère contrôlable, du soutien disponible et de l’histoire personnelle du sujet.</w:t>
      </w:r>
    </w:p>
    <w:p>
      <w:pPr>
        <w:pStyle w:val="Heading2"/>
        <w:keepNext/>
        <w:widowControl/>
      </w:pPr>
      <w:r>
        <w:rPr>
          <w:rFonts w:ascii="Liberation Sans" w:hAnsi="Liberation Sans" w:eastAsia="Liberation Sans"/>
          <w:b/>
          <w:color w:val="2C6B6F"/>
          <w:sz w:val="25"/>
        </w:rPr>
        <w:t>3.3. Stresseurs biochimiques</w:t>
      </w:r>
    </w:p>
    <w:p>
      <w:pPr>
        <w:pStyle w:val="BodyText"/>
        <w:widowControl/>
      </w:pPr>
      <w:r>
        <w:rPr>
          <w:rFonts w:ascii="Liberation Serif" w:hAnsi="Liberation Serif" w:eastAsia="Liberation Serif"/>
          <w:i w:val="0"/>
          <w:color w:val="2F3437"/>
          <w:sz w:val="21"/>
        </w:rPr>
        <w:t>Les déséquilibres nutritionnels, certaines carences, les perturbations du microbiote, l’inflammation, les toxiques environnementaux, les médicaments, l’alcool ou les troubles métaboliques peuvent modifier l’état interne de l’organisme. Ces facteurs agissent parfois à bas bruit. Ils peuvent amplifier la fatigue, la douleur, l’irritabilité ou les troubles digestifs, puis être interprétés par le cerveau comme des signaux supplémentaires de menace.</w:t>
      </w:r>
    </w:p>
    <w:p>
      <w:pPr>
        <w:pStyle w:val="Heading2"/>
        <w:keepNext/>
        <w:widowControl/>
      </w:pPr>
      <w:r>
        <w:rPr>
          <w:rFonts w:ascii="Liberation Sans" w:hAnsi="Liberation Sans" w:eastAsia="Liberation Sans"/>
          <w:b/>
          <w:color w:val="2C6B6F"/>
          <w:sz w:val="25"/>
        </w:rPr>
        <w:t>3.4. L’effet cumulatif</w:t>
      </w:r>
    </w:p>
    <w:p>
      <w:pPr>
        <w:pStyle w:val="BodyText"/>
        <w:widowControl/>
      </w:pPr>
      <w:r>
        <w:rPr>
          <w:rFonts w:ascii="Liberation Serif" w:hAnsi="Liberation Serif" w:eastAsia="Liberation Serif"/>
          <w:i w:val="0"/>
          <w:color w:val="2F3437"/>
          <w:sz w:val="21"/>
        </w:rPr>
        <w:t>Ces stresseurs ne s’additionnent pas de manière purement comptable. Ils se renforcent mutuellement. La douleur perturbe le sommeil ; le manque de sommeil augmente la sensibilité à la douleur ; l’inquiétude modifie la respiration et le transit ; les troubles digestifs alimentent l’inconfort et l’hypervigilance. La charge allostatique correspond précisément à cette accumulation de contraintes et de réponses croisées.</w:t>
      </w:r>
    </w:p>
    <w:tbl>
      <w:tblPr>
        <w:tblW w:type="auto" w:w="0"/>
        <w:jc w:val="center"/>
        <w:tblLayout w:type="autofit"/>
        <w:tblLook w:firstColumn="1" w:firstRow="1" w:lastColumn="0" w:lastRow="0" w:noHBand="0" w:noVBand="1" w:val="04A0"/>
      </w:tblPr>
      <w:tblGrid>
        <w:gridCol w:w="9524"/>
      </w:tblGrid>
      <w:tr>
        <w:tc>
          <w:tcPr>
            <w:tcW w:type="dxa" w:w="9524"/>
            <w:shd w:fill="F2E3E1"/>
            <w:tcBorders>
              <w:top w:val="single" w:sz="8" w:color="B97878"/>
              <w:left w:val="single" w:sz="12" w:color="B97878"/>
              <w:bottom w:val="single" w:sz="8" w:color="B97878"/>
              <w:right w:val="single" w:sz="8" w:color="B97878"/>
            </w:tcBorders>
            <w:vAlign w:val="center"/>
          </w:tcPr>
          <w:p>
            <w:pPr>
              <w:spacing w:after="60"/>
            </w:pPr>
            <w:r>
              <w:rPr>
                <w:rFonts w:ascii="Liberation Sans" w:hAnsi="Liberation Sans" w:eastAsia="Liberation Sans"/>
                <w:b/>
                <w:color w:val="B97878"/>
                <w:sz w:val="20"/>
              </w:rPr>
              <w:t>LECTURE ROP</w:t>
            </w:r>
          </w:p>
          <w:p>
            <w:pPr>
              <w:spacing w:after="0" w:line="259" w:lineRule="auto"/>
            </w:pPr>
            <w:r>
              <w:rPr>
                <w:rFonts w:ascii="Liberation Serif" w:hAnsi="Liberation Serif" w:eastAsia="Liberation Serif"/>
                <w:color w:val="2F3437"/>
                <w:sz w:val="20"/>
              </w:rPr>
              <w:t>Un symptôme local ne doit pas être isolé de son contexte. La lecture tissulaire et réflexe gagne à être replacée dans l’histoire globale du patient : traumatismes, douleur, sommeil, contexte émotionnel, digestion, traitements et capacité de récupération.</w:t>
            </w:r>
          </w:p>
        </w:tc>
      </w:tr>
    </w:tbl>
    <w:p>
      <w:pPr>
        <w:spacing w:after="0"/>
        <w:widowControl/>
      </w:pPr>
    </w:p>
    <w:p>
      <w:pPr>
        <w:pStyle w:val="Heading1"/>
        <w:keepNext/>
        <w:widowControl/>
      </w:pPr>
      <w:r>
        <w:rPr>
          <w:rFonts w:ascii="Liberation Sans" w:hAnsi="Liberation Sans" w:eastAsia="Liberation Sans"/>
          <w:b/>
          <w:color w:val="2F3437"/>
          <w:sz w:val="32"/>
        </w:rPr>
        <w:t>4. Le stress n’est pas seulement l’événement : c’est la réponse</w:t>
      </w:r>
    </w:p>
    <w:p>
      <w:pPr>
        <w:pStyle w:val="BodyText"/>
        <w:widowControl/>
      </w:pPr>
      <w:r>
        <w:rPr>
          <w:rFonts w:ascii="Liberation Serif" w:hAnsi="Liberation Serif" w:eastAsia="Liberation Serif"/>
          <w:i w:val="0"/>
          <w:color w:val="2F3437"/>
          <w:sz w:val="21"/>
        </w:rPr>
        <w:t>Deux personnes exposées à un même événement peuvent développer des réponses très différentes. Le cerveau ne réagit pas uniquement à la nature objective du stresseur. Il évalue sa signification : menace-t-il l’intégrité physique, le statut social, la sécurité économique, l’attachement ou l’image de soi ? Cette évaluation repose sur l’expérience passée, les apprentissages, le contexte présent et les ressources perçues.</w:t>
      </w:r>
    </w:p>
    <w:p>
      <w:pPr>
        <w:pStyle w:val="Heading2"/>
        <w:keepNext/>
        <w:widowControl/>
      </w:pPr>
      <w:r>
        <w:rPr>
          <w:rFonts w:ascii="Liberation Sans" w:hAnsi="Liberation Sans" w:eastAsia="Liberation Sans"/>
          <w:b/>
          <w:color w:val="2C6B6F"/>
          <w:sz w:val="25"/>
        </w:rPr>
        <w:t>4.1. Perception et réseaux émotionnels</w:t>
      </w:r>
    </w:p>
    <w:p>
      <w:pPr>
        <w:pStyle w:val="BodyText"/>
        <w:widowControl/>
      </w:pPr>
      <w:r>
        <w:rPr>
          <w:rFonts w:ascii="Liberation Serif" w:hAnsi="Liberation Serif" w:eastAsia="Liberation Serif"/>
          <w:i w:val="0"/>
          <w:color w:val="2F3437"/>
          <w:sz w:val="21"/>
        </w:rPr>
        <w:t>L’amygdale participe à la détection rapide de la pertinence émotionnelle et de la menace. L’hippocampe replace l’événement dans son contexte et dans la mémoire. Les régions préfrontales contribuent à l’analyse consciente, à l’inhibition de réponses inadaptées et au choix d’une action. Ces réseaux ne fonctionnent pas comme trois cerveaux séparés, mais comme des circuits interconnectés.</w:t>
      </w:r>
    </w:p>
    <w:p>
      <w:pPr>
        <w:pStyle w:val="Heading2"/>
        <w:keepNext/>
        <w:widowControl/>
      </w:pPr>
      <w:r>
        <w:rPr>
          <w:rFonts w:ascii="Liberation Sans" w:hAnsi="Liberation Sans" w:eastAsia="Liberation Sans"/>
          <w:b/>
          <w:color w:val="2C6B6F"/>
          <w:sz w:val="25"/>
        </w:rPr>
        <w:t>4.2. Commande hypothalamique</w:t>
      </w:r>
    </w:p>
    <w:p>
      <w:pPr>
        <w:pStyle w:val="BodyText"/>
        <w:widowControl/>
      </w:pPr>
      <w:r>
        <w:rPr>
          <w:rFonts w:ascii="Liberation Serif" w:hAnsi="Liberation Serif" w:eastAsia="Liberation Serif"/>
          <w:i w:val="0"/>
          <w:color w:val="2F3437"/>
          <w:sz w:val="21"/>
        </w:rPr>
        <w:t>L’hypothalamus intègre les informations provenant des réseaux émotionnels, du tronc cérébral, du système nerveux autonome et de l’état interne du corps. Il coordonne ensuite des réponses neurologiques, endocriniennes et comportementales destinées à maintenir l’adaptation.</w:t>
      </w:r>
    </w:p>
    <w:p>
      <w:pPr>
        <w:pStyle w:val="Heading2"/>
        <w:keepNext/>
        <w:widowControl/>
      </w:pPr>
      <w:r>
        <w:rPr>
          <w:rFonts w:ascii="Liberation Sans" w:hAnsi="Liberation Sans" w:eastAsia="Liberation Sans"/>
          <w:b/>
          <w:color w:val="2C6B6F"/>
          <w:sz w:val="25"/>
        </w:rPr>
        <w:t>4.3. Le retour du corps vers le cerveau : l’interoception</w:t>
      </w:r>
    </w:p>
    <w:p>
      <w:pPr>
        <w:pStyle w:val="BodyText"/>
        <w:widowControl/>
      </w:pPr>
      <w:r>
        <w:rPr>
          <w:rFonts w:ascii="Liberation Serif" w:hAnsi="Liberation Serif" w:eastAsia="Liberation Serif"/>
          <w:i w:val="0"/>
          <w:color w:val="2F3437"/>
          <w:sz w:val="21"/>
        </w:rPr>
        <w:t>La réponse ne circule pas seulement du cerveau vers le corps. Le rythme cardiaque, la respiration, la tension musculaire, la motricité digestive et l’état inflammatoire génèrent en permanence des informations ascendantes. Leur perception et leur intégration constituent l’interoception. L’insula, le cortex cingulaire, le tronc cérébral et les réseaux limbiques participent à la représentation de cet état interne [8, 9].</w:t>
      </w:r>
    </w:p>
    <w:p>
      <w:pPr>
        <w:pStyle w:val="BodyText"/>
        <w:widowControl/>
      </w:pPr>
      <w:r>
        <w:rPr>
          <w:rFonts w:ascii="Liberation Serif" w:hAnsi="Liberation Serif" w:eastAsia="Liberation Serif"/>
          <w:i w:val="0"/>
          <w:color w:val="2F3437"/>
          <w:sz w:val="21"/>
        </w:rPr>
        <w:t>Une respiration courte, une oppression thoracique ou un abdomen contracté peuvent ainsi devenir de nouveaux signaux d’alarme. Le sujet ressent son corps comme menacé, ce qui entretient l’activation initiale. Cette boucle corps-cerveau est centrale pour comprendre l’intérêt potentiel des approches tactiles et corporelles.</w:t>
      </w:r>
    </w:p>
    <w:tbl>
      <w:tblPr>
        <w:tblW w:type="auto" w:w="0"/>
        <w:jc w:val="center"/>
        <w:tblLayout w:type="autofit"/>
        <w:tblLook w:firstColumn="1" w:firstRow="1" w:lastColumn="0" w:lastRow="0" w:noHBand="0" w:noVBand="1" w:val="04A0"/>
      </w:tblPr>
      <w:tblGrid>
        <w:gridCol w:w="9524"/>
      </w:tblGrid>
      <w:tr>
        <w:tc>
          <w:tcPr>
            <w:tcW w:type="dxa" w:w="9524"/>
            <w:shd w:fill="F6ECD4"/>
            <w:tcBorders>
              <w:top w:val="single" w:sz="8" w:color="C8952E"/>
              <w:left w:val="single" w:sz="12" w:color="C8952E"/>
              <w:bottom w:val="single" w:sz="8" w:color="C8952E"/>
              <w:right w:val="single" w:sz="8" w:color="C8952E"/>
            </w:tcBorders>
            <w:vAlign w:val="center"/>
          </w:tcPr>
          <w:p>
            <w:pPr>
              <w:spacing w:after="60"/>
            </w:pPr>
            <w:r>
              <w:rPr>
                <w:rFonts w:ascii="Liberation Sans" w:hAnsi="Liberation Sans" w:eastAsia="Liberation Sans"/>
                <w:b/>
                <w:color w:val="C8952E"/>
                <w:sz w:val="20"/>
              </w:rPr>
              <w:t>CHAÎNE PHYSIOLOGIQUE</w:t>
            </w:r>
          </w:p>
          <w:p>
            <w:pPr>
              <w:spacing w:after="0" w:line="259" w:lineRule="auto"/>
            </w:pPr>
            <w:r>
              <w:rPr>
                <w:rFonts w:ascii="Liberation Serif" w:hAnsi="Liberation Serif" w:eastAsia="Liberation Serif"/>
                <w:color w:val="2F3437"/>
                <w:sz w:val="20"/>
              </w:rPr>
              <w:t>Stresseur → perception et interprétation → réseaux émotionnels → hypothalamus → réponses autonome et hormonale → modifications corporelles → signaux intéroceptifs → apaisement ou réactivation de l’alarme.</w:t>
            </w:r>
          </w:p>
        </w:tc>
      </w:tr>
    </w:tbl>
    <w:p>
      <w:pPr>
        <w:spacing w:after="0"/>
        <w:widowControl/>
      </w:pPr>
    </w:p>
    <w:p>
      <w:pPr>
        <w:pStyle w:val="Heading1"/>
        <w:keepNext/>
        <w:widowControl/>
      </w:pPr>
      <w:r>
        <w:rPr>
          <w:rFonts w:ascii="Liberation Sans" w:hAnsi="Liberation Sans" w:eastAsia="Liberation Sans"/>
          <w:b/>
          <w:color w:val="2F3437"/>
          <w:sz w:val="32"/>
        </w:rPr>
        <w:t>5. La double réponse au stresseur : urgence et soutien</w:t>
      </w:r>
    </w:p>
    <w:p>
      <w:pPr>
        <w:pStyle w:val="Heading2"/>
        <w:keepNext/>
        <w:widowControl/>
      </w:pPr>
      <w:r>
        <w:rPr>
          <w:rFonts w:ascii="Liberation Sans" w:hAnsi="Liberation Sans" w:eastAsia="Liberation Sans"/>
          <w:b/>
          <w:color w:val="2C6B6F"/>
          <w:sz w:val="25"/>
        </w:rPr>
        <w:t>5.1. Axe SAM : la réponse neurologique immédiate</w:t>
      </w:r>
    </w:p>
    <w:p>
      <w:pPr>
        <w:pStyle w:val="BodyText"/>
        <w:widowControl/>
      </w:pPr>
      <w:r>
        <w:rPr>
          <w:rFonts w:ascii="Liberation Serif" w:hAnsi="Liberation Serif" w:eastAsia="Liberation Serif"/>
          <w:i w:val="0"/>
          <w:color w:val="2F3437"/>
          <w:sz w:val="21"/>
        </w:rPr>
        <w:t>La première réponse est rapide. L’hypothalamus et le tronc cérébral recrutent les voies sympathiques, notamment les circuits noradrénergiques du locus coeruleus. La médullosurrénale libère de l’adrénaline et de la noradrénaline. La fréquence cardiaque et la ventilation augmentent, la pression artérielle s’ajuste, le glucose devient plus disponible et la musculature se prépare à l’action.</w:t>
      </w:r>
    </w:p>
    <w:p>
      <w:pPr>
        <w:pStyle w:val="BodyText"/>
        <w:widowControl/>
      </w:pPr>
      <w:r>
        <w:rPr>
          <w:rFonts w:ascii="Liberation Serif" w:hAnsi="Liberation Serif" w:eastAsia="Liberation Serif"/>
          <w:i w:val="0"/>
          <w:color w:val="2F3437"/>
          <w:sz w:val="21"/>
        </w:rPr>
        <w:t>Cette réponse sympathico-adrénalo-médullaire, souvent désignée par l’acronyme SAM, est particulièrement adaptée aux situations qui exigent une action rapide : fuir, combattre, s’immobiliser ou résoudre un problème urgent.</w:t>
      </w:r>
    </w:p>
    <w:p>
      <w:pPr>
        <w:pStyle w:val="Heading2"/>
        <w:keepNext/>
        <w:widowControl/>
      </w:pPr>
      <w:r>
        <w:rPr>
          <w:rFonts w:ascii="Liberation Sans" w:hAnsi="Liberation Sans" w:eastAsia="Liberation Sans"/>
          <w:b/>
          <w:color w:val="2C6B6F"/>
          <w:sz w:val="25"/>
        </w:rPr>
        <w:t>5.2. Axe HHS : la réponse hormonale plus lente</w:t>
      </w:r>
    </w:p>
    <w:p>
      <w:pPr>
        <w:pStyle w:val="BodyText"/>
        <w:widowControl/>
      </w:pPr>
      <w:r>
        <w:rPr>
          <w:rFonts w:ascii="Liberation Serif" w:hAnsi="Liberation Serif" w:eastAsia="Liberation Serif"/>
          <w:i w:val="0"/>
          <w:color w:val="2F3437"/>
          <w:sz w:val="21"/>
        </w:rPr>
        <w:t>Si la contrainte persiste, l’hypothalamus libère la CRH, qui stimule l’antéhypophyse. Celle-ci sécrète l’ACTH, laquelle agit sur le cortex surrénalien et favorise notamment la libération de cortisol. L’axe hypothalamo-hypophyso-surrénalien, ou HHS, soutient la disponibilité des substrats énergétiques, module la réponse immunitaire et contribue au maintien de l’adaptation.</w:t>
      </w:r>
    </w:p>
    <w:p>
      <w:pPr>
        <w:pStyle w:val="BodyText"/>
        <w:widowControl/>
      </w:pPr>
      <w:r>
        <w:rPr>
          <w:rFonts w:ascii="Liberation Serif" w:hAnsi="Liberation Serif" w:eastAsia="Liberation Serif"/>
          <w:i w:val="0"/>
          <w:color w:val="2F3437"/>
          <w:sz w:val="21"/>
        </w:rPr>
        <w:t>Le cortisol n’est pas une hormone toxique par nature. Il est indispensable à la vie. Le problème tient à une exposition excessive, à un rythme circadien perturbé, à une sensibilité tissulaire modifiée ou à une activation inappropriée par rapport au contexte.</w:t>
      </w:r>
    </w:p>
    <w:p>
      <w:pPr>
        <w:pStyle w:val="Heading2"/>
        <w:keepNext/>
        <w:widowControl/>
      </w:pPr>
      <w:r>
        <w:rPr>
          <w:rFonts w:ascii="Liberation Sans" w:hAnsi="Liberation Sans" w:eastAsia="Liberation Sans"/>
          <w:b/>
          <w:color w:val="2C6B6F"/>
          <w:sz w:val="25"/>
        </w:rPr>
        <w:t>5.3. Rétrocontrôle et clôture de la réponse</w:t>
      </w:r>
    </w:p>
    <w:p>
      <w:pPr>
        <w:pStyle w:val="BodyText"/>
        <w:widowControl/>
      </w:pPr>
      <w:r>
        <w:rPr>
          <w:rFonts w:ascii="Liberation Serif" w:hAnsi="Liberation Serif" w:eastAsia="Liberation Serif"/>
          <w:i w:val="0"/>
          <w:color w:val="2F3437"/>
          <w:sz w:val="21"/>
        </w:rPr>
        <w:t>Lorsque le stresseur disparaît ou que l’action a permis de le résoudre, des mécanismes de rétrocontrôle contribuent à réduire l’activation. L’hippocampe, l’hypothalamus, l’hypophyse, les surrénales et les voies autonomes participent à cette régulation. La santé ne dépend donc pas uniquement de la capacité à déclencher la réponse, mais également de la capacité à l’arrêter.</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3175"/>
            <w:shd w:fill="2C6B6F"/>
          </w:tcPr>
          <w:p>
            <w:pPr>
              <w:jc w:val="center"/>
            </w:pPr>
            <w:r>
              <w:rPr>
                <w:rFonts w:ascii="Liberation Sans" w:hAnsi="Liberation Sans" w:eastAsia="Liberation Sans"/>
                <w:b/>
                <w:color w:val="FFFFFF"/>
                <w:sz w:val="18"/>
              </w:rPr>
              <w:t>Repère</w:t>
            </w:r>
          </w:p>
        </w:tc>
        <w:tc>
          <w:tcPr>
            <w:tcW w:type="dxa" w:w="3175"/>
            <w:shd w:fill="2C6B6F"/>
          </w:tcPr>
          <w:p>
            <w:pPr>
              <w:jc w:val="center"/>
            </w:pPr>
            <w:r>
              <w:rPr>
                <w:rFonts w:ascii="Liberation Sans" w:hAnsi="Liberation Sans" w:eastAsia="Liberation Sans"/>
                <w:b/>
                <w:color w:val="FFFFFF"/>
                <w:sz w:val="18"/>
              </w:rPr>
              <w:t>Axe SAM</w:t>
            </w:r>
          </w:p>
        </w:tc>
        <w:tc>
          <w:tcPr>
            <w:tcW w:type="dxa" w:w="3175"/>
            <w:shd w:fill="2C6B6F"/>
          </w:tcPr>
          <w:p>
            <w:pPr>
              <w:jc w:val="center"/>
            </w:pPr>
            <w:r>
              <w:rPr>
                <w:rFonts w:ascii="Liberation Sans" w:hAnsi="Liberation Sans" w:eastAsia="Liberation Sans"/>
                <w:b/>
                <w:color w:val="FFFFFF"/>
                <w:sz w:val="18"/>
              </w:rPr>
              <w:t>Axe HHS</w:t>
            </w:r>
          </w:p>
        </w:tc>
      </w:tr>
      <w:tr>
        <w:tc>
          <w:tcPr>
            <w:tcW w:type="dxa" w:w="3175"/>
            <w:shd w:fill="F7F7F5"/>
          </w:tcPr>
          <w:p>
            <w:pPr>
              <w:spacing w:after="0"/>
            </w:pPr>
            <w:r>
              <w:rPr>
                <w:rFonts w:ascii="Liberation Serif" w:hAnsi="Liberation Serif" w:eastAsia="Liberation Serif"/>
                <w:color w:val="2F3437"/>
                <w:sz w:val="19"/>
              </w:rPr>
              <w:t>Délai</w:t>
            </w:r>
          </w:p>
        </w:tc>
        <w:tc>
          <w:tcPr>
            <w:tcW w:type="dxa" w:w="3175"/>
            <w:shd w:fill="F7F7F5"/>
          </w:tcPr>
          <w:p>
            <w:pPr>
              <w:spacing w:after="0"/>
            </w:pPr>
            <w:r>
              <w:rPr>
                <w:rFonts w:ascii="Liberation Serif" w:hAnsi="Liberation Serif" w:eastAsia="Liberation Serif"/>
                <w:color w:val="2F3437"/>
                <w:sz w:val="19"/>
              </w:rPr>
              <w:t>Secondes à minutes</w:t>
            </w:r>
          </w:p>
        </w:tc>
        <w:tc>
          <w:tcPr>
            <w:tcW w:type="dxa" w:w="3175"/>
            <w:shd w:fill="F7F7F5"/>
          </w:tcPr>
          <w:p>
            <w:pPr>
              <w:spacing w:after="0"/>
            </w:pPr>
            <w:r>
              <w:rPr>
                <w:rFonts w:ascii="Liberation Serif" w:hAnsi="Liberation Serif" w:eastAsia="Liberation Serif"/>
                <w:color w:val="2F3437"/>
                <w:sz w:val="19"/>
              </w:rPr>
              <w:t>Minutes à heures</w:t>
            </w:r>
          </w:p>
        </w:tc>
      </w:tr>
      <w:tr>
        <w:tc>
          <w:tcPr>
            <w:tcW w:type="dxa" w:w="3175"/>
          </w:tcPr>
          <w:p>
            <w:pPr>
              <w:spacing w:after="0"/>
            </w:pPr>
            <w:r>
              <w:rPr>
                <w:rFonts w:ascii="Liberation Serif" w:hAnsi="Liberation Serif" w:eastAsia="Liberation Serif"/>
                <w:color w:val="2F3437"/>
                <w:sz w:val="19"/>
              </w:rPr>
              <w:t>Voie dominante</w:t>
            </w:r>
          </w:p>
        </w:tc>
        <w:tc>
          <w:tcPr>
            <w:tcW w:type="dxa" w:w="3175"/>
          </w:tcPr>
          <w:p>
            <w:pPr>
              <w:spacing w:after="0"/>
            </w:pPr>
            <w:r>
              <w:rPr>
                <w:rFonts w:ascii="Liberation Serif" w:hAnsi="Liberation Serif" w:eastAsia="Liberation Serif"/>
                <w:color w:val="2F3437"/>
                <w:sz w:val="19"/>
              </w:rPr>
              <w:t>Sympathique, locus coeruleus, médullosurrénale</w:t>
            </w:r>
          </w:p>
        </w:tc>
        <w:tc>
          <w:tcPr>
            <w:tcW w:type="dxa" w:w="3175"/>
          </w:tcPr>
          <w:p>
            <w:pPr>
              <w:spacing w:after="0"/>
            </w:pPr>
            <w:r>
              <w:rPr>
                <w:rFonts w:ascii="Liberation Serif" w:hAnsi="Liberation Serif" w:eastAsia="Liberation Serif"/>
                <w:color w:val="2F3437"/>
                <w:sz w:val="19"/>
              </w:rPr>
              <w:t>Hypothalamus, hypophyse, cortex surrénalien</w:t>
            </w:r>
          </w:p>
        </w:tc>
      </w:tr>
      <w:tr>
        <w:tc>
          <w:tcPr>
            <w:tcW w:type="dxa" w:w="3175"/>
            <w:shd w:fill="F7F7F5"/>
          </w:tcPr>
          <w:p>
            <w:pPr>
              <w:spacing w:after="0"/>
            </w:pPr>
            <w:r>
              <w:rPr>
                <w:rFonts w:ascii="Liberation Serif" w:hAnsi="Liberation Serif" w:eastAsia="Liberation Serif"/>
                <w:color w:val="2F3437"/>
                <w:sz w:val="19"/>
              </w:rPr>
              <w:t>Médiateurs principaux</w:t>
            </w:r>
          </w:p>
        </w:tc>
        <w:tc>
          <w:tcPr>
            <w:tcW w:type="dxa" w:w="3175"/>
            <w:shd w:fill="F7F7F5"/>
          </w:tcPr>
          <w:p>
            <w:pPr>
              <w:spacing w:after="0"/>
            </w:pPr>
            <w:r>
              <w:rPr>
                <w:rFonts w:ascii="Liberation Serif" w:hAnsi="Liberation Serif" w:eastAsia="Liberation Serif"/>
                <w:color w:val="2F3437"/>
                <w:sz w:val="19"/>
              </w:rPr>
              <w:t>Noradrénaline, adrénaline</w:t>
            </w:r>
          </w:p>
        </w:tc>
        <w:tc>
          <w:tcPr>
            <w:tcW w:type="dxa" w:w="3175"/>
            <w:shd w:fill="F7F7F5"/>
          </w:tcPr>
          <w:p>
            <w:pPr>
              <w:spacing w:after="0"/>
            </w:pPr>
            <w:r>
              <w:rPr>
                <w:rFonts w:ascii="Liberation Serif" w:hAnsi="Liberation Serif" w:eastAsia="Liberation Serif"/>
                <w:color w:val="2F3437"/>
                <w:sz w:val="19"/>
              </w:rPr>
              <w:t>CRH, ACTH, cortisol</w:t>
            </w:r>
          </w:p>
        </w:tc>
      </w:tr>
      <w:tr>
        <w:tc>
          <w:tcPr>
            <w:tcW w:type="dxa" w:w="3175"/>
          </w:tcPr>
          <w:p>
            <w:pPr>
              <w:spacing w:after="0"/>
            </w:pPr>
            <w:r>
              <w:rPr>
                <w:rFonts w:ascii="Liberation Serif" w:hAnsi="Liberation Serif" w:eastAsia="Liberation Serif"/>
                <w:color w:val="2F3437"/>
                <w:sz w:val="19"/>
              </w:rPr>
              <w:t>Fonction</w:t>
            </w:r>
          </w:p>
        </w:tc>
        <w:tc>
          <w:tcPr>
            <w:tcW w:type="dxa" w:w="3175"/>
          </w:tcPr>
          <w:p>
            <w:pPr>
              <w:spacing w:after="0"/>
            </w:pPr>
            <w:r>
              <w:rPr>
                <w:rFonts w:ascii="Liberation Serif" w:hAnsi="Liberation Serif" w:eastAsia="Liberation Serif"/>
                <w:color w:val="2F3437"/>
                <w:sz w:val="19"/>
              </w:rPr>
              <w:t>Urgence, vigilance, action immédiate</w:t>
            </w:r>
          </w:p>
        </w:tc>
        <w:tc>
          <w:tcPr>
            <w:tcW w:type="dxa" w:w="3175"/>
          </w:tcPr>
          <w:p>
            <w:pPr>
              <w:spacing w:after="0"/>
            </w:pPr>
            <w:r>
              <w:rPr>
                <w:rFonts w:ascii="Liberation Serif" w:hAnsi="Liberation Serif" w:eastAsia="Liberation Serif"/>
                <w:color w:val="2F3437"/>
                <w:sz w:val="19"/>
              </w:rPr>
              <w:t>Maintien de l’adaptation, mobilisation métabolique</w:t>
            </w:r>
          </w:p>
        </w:tc>
      </w:tr>
      <w:tr>
        <w:tc>
          <w:tcPr>
            <w:tcW w:type="dxa" w:w="3175"/>
            <w:shd w:fill="F7F7F5"/>
          </w:tcPr>
          <w:p>
            <w:pPr>
              <w:spacing w:after="0"/>
            </w:pPr>
            <w:r>
              <w:rPr>
                <w:rFonts w:ascii="Liberation Serif" w:hAnsi="Liberation Serif" w:eastAsia="Liberation Serif"/>
                <w:color w:val="2F3437"/>
                <w:sz w:val="19"/>
              </w:rPr>
              <w:t>Retour à l’équilibre</w:t>
            </w:r>
          </w:p>
        </w:tc>
        <w:tc>
          <w:tcPr>
            <w:tcW w:type="dxa" w:w="3175"/>
            <w:shd w:fill="F7F7F5"/>
          </w:tcPr>
          <w:p>
            <w:pPr>
              <w:spacing w:after="0"/>
            </w:pPr>
            <w:r>
              <w:rPr>
                <w:rFonts w:ascii="Liberation Serif" w:hAnsi="Liberation Serif" w:eastAsia="Liberation Serif"/>
                <w:color w:val="2F3437"/>
                <w:sz w:val="19"/>
              </w:rPr>
              <w:t>Retrait de la mobilisation sympathique</w:t>
            </w:r>
          </w:p>
        </w:tc>
        <w:tc>
          <w:tcPr>
            <w:tcW w:type="dxa" w:w="3175"/>
            <w:shd w:fill="F7F7F5"/>
          </w:tcPr>
          <w:p>
            <w:pPr>
              <w:spacing w:after="0"/>
            </w:pPr>
            <w:r>
              <w:rPr>
                <w:rFonts w:ascii="Liberation Serif" w:hAnsi="Liberation Serif" w:eastAsia="Liberation Serif"/>
                <w:color w:val="2F3437"/>
                <w:sz w:val="19"/>
              </w:rPr>
              <w:t>Rétrocontrôle hormonal et restauration des rythmes</w:t>
            </w:r>
          </w:p>
        </w:tc>
      </w:tr>
    </w:tbl>
    <w:p>
      <w:pPr>
        <w:spacing w:after="0"/>
        <w:widowControl/>
      </w:pPr>
    </w:p>
    <w:p>
      <w:pPr>
        <w:pStyle w:val="Heading1"/>
        <w:keepNext/>
        <w:widowControl/>
      </w:pPr>
      <w:r>
        <w:rPr>
          <w:rFonts w:ascii="Liberation Sans" w:hAnsi="Liberation Sans" w:eastAsia="Liberation Sans"/>
          <w:b/>
          <w:color w:val="2F3437"/>
          <w:sz w:val="32"/>
        </w:rPr>
        <w:t>6. Le syndrome général d’adaptation : un modèle pédagogique</w:t>
      </w:r>
    </w:p>
    <w:p>
      <w:pPr>
        <w:pStyle w:val="BodyText"/>
        <w:widowControl/>
      </w:pPr>
      <w:r>
        <w:rPr>
          <w:rFonts w:ascii="Liberation Serif" w:hAnsi="Liberation Serif" w:eastAsia="Liberation Serif"/>
          <w:i w:val="0"/>
          <w:color w:val="2F3437"/>
          <w:sz w:val="21"/>
        </w:rPr>
        <w:t>Hans Selye a décrit le syndrome général d’adaptation pour représenter l’évolution de l’organisme confronté à une contrainte durable. Ce modèle reste utile pour organiser la réflexion clinique, mais il ne doit pas être interprété comme une chronologie identique chez tous les patients. Les réponses réelles sont plus variables, se chevauchent et dépendent de la nature du stresseur.</w:t>
      </w:r>
    </w:p>
    <w:p>
      <w:pPr>
        <w:pStyle w:val="Heading2"/>
        <w:keepNext/>
        <w:widowControl/>
      </w:pPr>
      <w:r>
        <w:rPr>
          <w:rFonts w:ascii="Liberation Sans" w:hAnsi="Liberation Sans" w:eastAsia="Liberation Sans"/>
          <w:b/>
          <w:color w:val="2C6B6F"/>
          <w:sz w:val="25"/>
        </w:rPr>
        <w:t>6.1. Phase d’alarme</w:t>
      </w:r>
    </w:p>
    <w:p>
      <w:pPr>
        <w:pStyle w:val="BodyText"/>
        <w:widowControl/>
      </w:pPr>
      <w:r>
        <w:rPr>
          <w:rFonts w:ascii="Liberation Serif" w:hAnsi="Liberation Serif" w:eastAsia="Liberation Serif"/>
          <w:i w:val="0"/>
          <w:color w:val="2F3437"/>
          <w:sz w:val="21"/>
        </w:rPr>
        <w:t>La phase d’alarme correspond à la mobilisation immédiate. Les ressources sont orientées vers l’action. Les fonctions non prioritaires à très court terme, comme une partie de la digestion ou de la reproduction, peuvent être temporairement modifiées. Cette phase est protectrice si elle reste proportionnée et limitée dans le temps.</w:t>
      </w:r>
    </w:p>
    <w:p>
      <w:pPr>
        <w:pStyle w:val="Heading2"/>
        <w:keepNext/>
        <w:widowControl/>
      </w:pPr>
      <w:r>
        <w:rPr>
          <w:rFonts w:ascii="Liberation Sans" w:hAnsi="Liberation Sans" w:eastAsia="Liberation Sans"/>
          <w:b/>
          <w:color w:val="2C6B6F"/>
          <w:sz w:val="25"/>
        </w:rPr>
        <w:t>6.2. Phase de recouvrement</w:t>
      </w:r>
    </w:p>
    <w:p>
      <w:pPr>
        <w:pStyle w:val="BodyText"/>
        <w:widowControl/>
      </w:pPr>
      <w:r>
        <w:rPr>
          <w:rFonts w:ascii="Liberation Serif" w:hAnsi="Liberation Serif" w:eastAsia="Liberation Serif"/>
          <w:i w:val="0"/>
          <w:color w:val="2F3437"/>
          <w:sz w:val="21"/>
        </w:rPr>
        <w:t>Après la mobilisation, l’organisme doit restaurer ses gradients, reconstituer certaines réserves, normaliser les rythmes cardiorespiratoires et métaboliques, et intégrer l’expérience. Une fatigue passagère, un besoin de sommeil ou une baisse temporaire de performance peuvent correspondre à cette phase de récupération.</w:t>
      </w:r>
    </w:p>
    <w:p>
      <w:pPr>
        <w:pStyle w:val="BodyText"/>
        <w:widowControl/>
      </w:pPr>
      <w:r>
        <w:rPr>
          <w:rFonts w:ascii="Liberation Serif" w:hAnsi="Liberation Serif" w:eastAsia="Liberation Serif"/>
          <w:i w:val="0"/>
          <w:color w:val="2F3437"/>
          <w:sz w:val="21"/>
        </w:rPr>
        <w:t>Il n’existe toutefois pas de durée universelle de 72 heures applicable à toutes les réactions. La récupération varie selon l’intensité du stress, l’état de santé, l’âge, la qualité du sommeil et la présence d’autres contraintes.</w:t>
      </w:r>
    </w:p>
    <w:p>
      <w:pPr>
        <w:pStyle w:val="Heading2"/>
        <w:keepNext/>
        <w:widowControl/>
      </w:pPr>
      <w:r>
        <w:rPr>
          <w:rFonts w:ascii="Liberation Sans" w:hAnsi="Liberation Sans" w:eastAsia="Liberation Sans"/>
          <w:b/>
          <w:color w:val="2C6B6F"/>
          <w:sz w:val="25"/>
        </w:rPr>
        <w:t>6.3. Phase d’adaptation-résistance</w:t>
      </w:r>
    </w:p>
    <w:p>
      <w:pPr>
        <w:pStyle w:val="BodyText"/>
        <w:widowControl/>
      </w:pPr>
      <w:r>
        <w:rPr>
          <w:rFonts w:ascii="Liberation Serif" w:hAnsi="Liberation Serif" w:eastAsia="Liberation Serif"/>
          <w:i w:val="0"/>
          <w:color w:val="2F3437"/>
          <w:sz w:val="21"/>
        </w:rPr>
        <w:t>Lorsque le stresseur persiste, l’organisme organise une défense durable. Il peut maintenir une vigilance élevée, modifier les rythmes hormonaux, mobiliser davantage le métabolisme et ajuster les fonctions immunitaires. L’individu continue à fonctionner, mais au prix d’un coût réglementaire accru.</w:t>
      </w:r>
    </w:p>
    <w:p>
      <w:pPr>
        <w:pStyle w:val="BodyText"/>
        <w:widowControl/>
      </w:pPr>
      <w:r>
        <w:rPr>
          <w:rFonts w:ascii="Liberation Serif" w:hAnsi="Liberation Serif" w:eastAsia="Liberation Serif"/>
          <w:i w:val="0"/>
          <w:color w:val="2F3437"/>
          <w:sz w:val="21"/>
        </w:rPr>
        <w:t>Cette phase peut s’accompagner de troubles fonctionnels : sommeil fragmenté, fatigue, troubles digestifs, douleurs, irritabilité, baisse de concentration, variations tensionnelles ou perturbations métaboliques. Ces manifestations ne traduisent pas nécessairement une lésion irréversible ; elles signalent souvent une réduction de la marge d’adaptation.</w:t>
      </w:r>
    </w:p>
    <w:p>
      <w:pPr>
        <w:pStyle w:val="Heading2"/>
        <w:keepNext/>
        <w:widowControl/>
      </w:pPr>
      <w:r>
        <w:rPr>
          <w:rFonts w:ascii="Liberation Sans" w:hAnsi="Liberation Sans" w:eastAsia="Liberation Sans"/>
          <w:b/>
          <w:color w:val="2C6B6F"/>
          <w:sz w:val="25"/>
        </w:rPr>
        <w:t>6.4. Phase de décompensation ou d’épuisement</w:t>
      </w:r>
    </w:p>
    <w:p>
      <w:pPr>
        <w:pStyle w:val="BodyText"/>
        <w:widowControl/>
      </w:pPr>
      <w:r>
        <w:rPr>
          <w:rFonts w:ascii="Liberation Serif" w:hAnsi="Liberation Serif" w:eastAsia="Liberation Serif"/>
          <w:i w:val="0"/>
          <w:color w:val="2F3437"/>
          <w:sz w:val="21"/>
        </w:rPr>
        <w:t>L’épuisement ne signifie pas que les surrénales cessent simplement de fonctionner. La notion populaire de « fatigue surrénalienne » ne correspond pas à un diagnostic médical reconnu. En revanche, une exposition chronique au stress peut être associée à une dysrégulation des rythmes autonomes et hormonaux, à des troubles métaboliques, à une inflammation persistante et à une vulnérabilité accrue aux maladies chez les sujets prédisposés.</w:t>
      </w:r>
    </w:p>
    <w:p>
      <w:pPr>
        <w:pStyle w:val="BodyText"/>
        <w:widowControl/>
      </w:pPr>
      <w:r>
        <w:rPr>
          <w:rFonts w:ascii="Liberation Serif" w:hAnsi="Liberation Serif" w:eastAsia="Liberation Serif"/>
          <w:i w:val="0"/>
          <w:color w:val="2F3437"/>
          <w:sz w:val="21"/>
        </w:rPr>
        <w:t>La progression vers la chronicité n’est ni automatique ni causée par le seul stress. Elle résulte de l’interaction entre susceptibilité génétique, âge, comportements, conditions sociales, maladies préexistantes, sommeil, activité physique, alimentation, traitements et accès aux soins.</w:t>
      </w:r>
    </w:p>
    <w:tbl>
      <w:tblPr>
        <w:tblW w:type="auto" w:w="0"/>
        <w:jc w:val="center"/>
        <w:tblLayout w:type="autofit"/>
        <w:tblLook w:firstColumn="1" w:firstRow="1" w:lastColumn="0" w:lastRow="0" w:noHBand="0" w:noVBand="1" w:val="04A0"/>
      </w:tblPr>
      <w:tblGrid>
        <w:gridCol w:w="9524"/>
      </w:tblGrid>
      <w:tr>
        <w:tc>
          <w:tcPr>
            <w:tcW w:type="dxa" w:w="9524"/>
            <w:shd w:fill="F1F1F1"/>
            <w:tcBorders>
              <w:top w:val="single" w:sz="8" w:color="6F777A"/>
              <w:left w:val="single" w:sz="12" w:color="6F777A"/>
              <w:bottom w:val="single" w:sz="8" w:color="6F777A"/>
              <w:right w:val="single" w:sz="8" w:color="6F777A"/>
            </w:tcBorders>
            <w:vAlign w:val="center"/>
          </w:tcPr>
          <w:p>
            <w:pPr>
              <w:spacing w:after="60"/>
            </w:pPr>
            <w:r>
              <w:rPr>
                <w:rFonts w:ascii="Liberation Sans" w:hAnsi="Liberation Sans" w:eastAsia="Liberation Sans"/>
                <w:b/>
                <w:color w:val="6F777A"/>
                <w:sz w:val="20"/>
              </w:rPr>
              <w:t>POINT DE VIGILANCE</w:t>
            </w:r>
          </w:p>
          <w:p>
            <w:pPr>
              <w:spacing w:after="0" w:line="259" w:lineRule="auto"/>
            </w:pPr>
            <w:r>
              <w:rPr>
                <w:rFonts w:ascii="Liberation Serif" w:hAnsi="Liberation Serif" w:eastAsia="Liberation Serif"/>
                <w:color w:val="2F3437"/>
                <w:sz w:val="20"/>
              </w:rPr>
              <w:t>Le modèle de Selye est une carte pédagogique, non une loi déterministe. Il ne permet pas d’attribuer directement une hypothyroïdie, un diabète, une maladie auto-immune ou une maladie neurodégénérative à une seule séquence de stress.</w:t>
            </w:r>
          </w:p>
        </w:tc>
      </w:tr>
    </w:tbl>
    <w:p>
      <w:pPr>
        <w:spacing w:after="0"/>
        <w:widowControl/>
      </w:pPr>
    </w:p>
    <w:p>
      <w:pPr>
        <w:pStyle w:val="Heading1"/>
        <w:keepNext/>
        <w:widowControl/>
      </w:pPr>
      <w:r>
        <w:rPr>
          <w:rFonts w:ascii="Liberation Sans" w:hAnsi="Liberation Sans" w:eastAsia="Liberation Sans"/>
          <w:b/>
          <w:color w:val="2F3437"/>
          <w:sz w:val="32"/>
        </w:rPr>
        <w:t>7. Le véritable coût du stress : l’absence de récupération</w:t>
      </w:r>
    </w:p>
    <w:p>
      <w:pPr>
        <w:pStyle w:val="BodyText"/>
        <w:widowControl/>
      </w:pPr>
      <w:r>
        <w:rPr>
          <w:rFonts w:ascii="Liberation Serif" w:hAnsi="Liberation Serif" w:eastAsia="Liberation Serif"/>
          <w:i w:val="0"/>
          <w:color w:val="2F3437"/>
          <w:sz w:val="21"/>
        </w:rPr>
        <w:t>Un événement ponctuel peut déclencher une forte réaction sans entraîner de dommage durable si l’organisme agit, se régule et récupère. À l’inverse, un événement modéré peut devenir coûteux lorsqu’il est constamment réactivé. L’enjeu central est donc la capacité à terminer la réponse.</w:t>
      </w:r>
    </w:p>
    <w:p>
      <w:pPr>
        <w:pStyle w:val="Heading2"/>
        <w:keepNext/>
        <w:widowControl/>
      </w:pPr>
      <w:r>
        <w:rPr>
          <w:rFonts w:ascii="Liberation Sans" w:hAnsi="Liberation Sans" w:eastAsia="Liberation Sans"/>
          <w:b/>
          <w:color w:val="2C6B6F"/>
          <w:sz w:val="25"/>
        </w:rPr>
        <w:t>7.1. La boucle de rumination</w:t>
      </w:r>
    </w:p>
    <w:p>
      <w:pPr>
        <w:pStyle w:val="BodyText"/>
        <w:widowControl/>
      </w:pPr>
      <w:r>
        <w:rPr>
          <w:rFonts w:ascii="Liberation Serif" w:hAnsi="Liberation Serif" w:eastAsia="Liberation Serif"/>
          <w:i w:val="0"/>
          <w:color w:val="2F3437"/>
          <w:sz w:val="21"/>
        </w:rPr>
        <w:t>La rumination maintient mentalement la menace présente. Le sujet rejoue la scène, anticipe ses conséquences ou tente sans cesse de résoudre un problème qui ne peut pas l’être immédiatement. Chaque réactivation peut relancer une partie de la réponse autonome : accélération cardiaque, tension de la mâchoire et des épaules, modification respiratoire, inconfort abdominal ou vigilance accrue.</w:t>
      </w:r>
    </w:p>
    <w:p>
      <w:pPr>
        <w:pStyle w:val="Heading2"/>
        <w:keepNext/>
        <w:widowControl/>
      </w:pPr>
      <w:r>
        <w:rPr>
          <w:rFonts w:ascii="Liberation Sans" w:hAnsi="Liberation Sans" w:eastAsia="Liberation Sans"/>
          <w:b/>
          <w:color w:val="2C6B6F"/>
          <w:sz w:val="25"/>
        </w:rPr>
        <w:t>7.2. Le sommeil comme condition de clôture</w:t>
      </w:r>
    </w:p>
    <w:p>
      <w:pPr>
        <w:pStyle w:val="BodyText"/>
        <w:widowControl/>
      </w:pPr>
      <w:r>
        <w:rPr>
          <w:rFonts w:ascii="Liberation Serif" w:hAnsi="Liberation Serif" w:eastAsia="Liberation Serif"/>
          <w:i w:val="0"/>
          <w:color w:val="2F3437"/>
          <w:sz w:val="21"/>
        </w:rPr>
        <w:t>Le sommeil participe à la récupération neuroendocrinienne, métabolique et cognitive. Une mauvaise nuit augmente la réactivité émotionnelle et réduit la tolérance à la douleur ; le stress de la journée suivante perturbe à son tour le sommeil. Cette boucle contribue fortement à la charge allostatique.</w:t>
      </w:r>
    </w:p>
    <w:p>
      <w:pPr>
        <w:pStyle w:val="Heading2"/>
        <w:keepNext/>
        <w:widowControl/>
      </w:pPr>
      <w:r>
        <w:rPr>
          <w:rFonts w:ascii="Liberation Sans" w:hAnsi="Liberation Sans" w:eastAsia="Liberation Sans"/>
          <w:b/>
          <w:color w:val="2C6B6F"/>
          <w:sz w:val="25"/>
        </w:rPr>
        <w:t>7.3. Les coûts périphériques</w:t>
      </w:r>
    </w:p>
    <w:p>
      <w:pPr>
        <w:pStyle w:val="ListBullet"/>
        <w:spacing w:after="40"/>
        <w:widowControl/>
      </w:pPr>
      <w:r>
        <w:rPr>
          <w:rFonts w:ascii="Liberation Serif" w:hAnsi="Liberation Serif" w:eastAsia="Liberation Serif"/>
          <w:b/>
          <w:color w:val="2F3437"/>
          <w:sz w:val="21"/>
        </w:rPr>
        <w:t>Myocarde :</w:t>
      </w:r>
      <w:r>
        <w:rPr>
          <w:rFonts w:ascii="Liberation Serif" w:hAnsi="Liberation Serif" w:eastAsia="Liberation Serif"/>
          <w:color w:val="2F3437"/>
          <w:sz w:val="21"/>
        </w:rPr>
        <w:t xml:space="preserve"> maintien prolongé d’une activation cardiovasculaire et d’une vigilance circulatoire.</w:t>
      </w:r>
    </w:p>
    <w:p>
      <w:pPr>
        <w:pStyle w:val="ListBullet"/>
        <w:spacing w:after="40"/>
        <w:widowControl/>
      </w:pPr>
      <w:r>
        <w:rPr>
          <w:rFonts w:ascii="Liberation Serif" w:hAnsi="Liberation Serif" w:eastAsia="Liberation Serif"/>
          <w:b/>
          <w:color w:val="2F3437"/>
          <w:sz w:val="21"/>
        </w:rPr>
        <w:t>Musculature :</w:t>
      </w:r>
      <w:r>
        <w:rPr>
          <w:rFonts w:ascii="Liberation Serif" w:hAnsi="Liberation Serif" w:eastAsia="Liberation Serif"/>
          <w:color w:val="2F3437"/>
          <w:sz w:val="21"/>
        </w:rPr>
        <w:t xml:space="preserve"> tonus défensif persistant, notamment au niveau de la mâchoire, des épaules, du diaphragme et du plancher pelvien.</w:t>
      </w:r>
    </w:p>
    <w:p>
      <w:pPr>
        <w:pStyle w:val="ListBullet"/>
        <w:spacing w:after="40"/>
        <w:widowControl/>
      </w:pPr>
      <w:r>
        <w:rPr>
          <w:rFonts w:ascii="Liberation Serif" w:hAnsi="Liberation Serif" w:eastAsia="Liberation Serif"/>
          <w:b/>
          <w:color w:val="2F3437"/>
          <w:sz w:val="21"/>
        </w:rPr>
        <w:t>Respiration :</w:t>
      </w:r>
      <w:r>
        <w:rPr>
          <w:rFonts w:ascii="Liberation Serif" w:hAnsi="Liberation Serif" w:eastAsia="Liberation Serif"/>
          <w:color w:val="2F3437"/>
          <w:sz w:val="21"/>
        </w:rPr>
        <w:t xml:space="preserve"> rythme plus rapide ou plus haut, apnées de tension, recrutement accru des muscles accessoires.</w:t>
      </w:r>
    </w:p>
    <w:p>
      <w:pPr>
        <w:pStyle w:val="ListBullet"/>
        <w:spacing w:after="40"/>
        <w:widowControl/>
      </w:pPr>
      <w:r>
        <w:rPr>
          <w:rFonts w:ascii="Liberation Serif" w:hAnsi="Liberation Serif" w:eastAsia="Liberation Serif"/>
          <w:b/>
          <w:color w:val="2F3437"/>
          <w:sz w:val="21"/>
        </w:rPr>
        <w:t>Système digestif :</w:t>
      </w:r>
      <w:r>
        <w:rPr>
          <w:rFonts w:ascii="Liberation Serif" w:hAnsi="Liberation Serif" w:eastAsia="Liberation Serif"/>
          <w:color w:val="2F3437"/>
          <w:sz w:val="21"/>
        </w:rPr>
        <w:t xml:space="preserve"> motricité, sécrétions et perception viscérale modifiées.</w:t>
      </w:r>
    </w:p>
    <w:p>
      <w:pPr>
        <w:pStyle w:val="ListBullet"/>
        <w:spacing w:after="40"/>
        <w:widowControl/>
      </w:pPr>
      <w:r>
        <w:rPr>
          <w:rFonts w:ascii="Liberation Serif" w:hAnsi="Liberation Serif" w:eastAsia="Liberation Serif"/>
          <w:b/>
          <w:color w:val="2F3437"/>
          <w:sz w:val="21"/>
        </w:rPr>
        <w:t>Système immunitaire :</w:t>
      </w:r>
      <w:r>
        <w:rPr>
          <w:rFonts w:ascii="Liberation Serif" w:hAnsi="Liberation Serif" w:eastAsia="Liberation Serif"/>
          <w:color w:val="2F3437"/>
          <w:sz w:val="21"/>
        </w:rPr>
        <w:t xml:space="preserve"> modulation répétée des réponses inflammatoires et de surveillance.</w:t>
      </w:r>
    </w:p>
    <w:tbl>
      <w:tblPr>
        <w:tblW w:type="auto" w:w="0"/>
        <w:jc w:val="center"/>
        <w:tblLayout w:type="autofit"/>
        <w:tblLook w:firstColumn="1" w:firstRow="1" w:lastColumn="0" w:lastRow="0" w:noHBand="0" w:noVBand="1" w:val="04A0"/>
      </w:tblPr>
      <w:tblGrid>
        <w:gridCol w:w="9524"/>
      </w:tblGrid>
      <w:tr>
        <w:tc>
          <w:tcPr>
            <w:tcW w:type="dxa" w:w="9524"/>
            <w:shd w:fill="F6ECD4"/>
            <w:tcBorders>
              <w:top w:val="single" w:sz="8" w:color="C8952E"/>
              <w:left w:val="single" w:sz="12" w:color="C8952E"/>
              <w:bottom w:val="single" w:sz="8" w:color="C8952E"/>
              <w:right w:val="single" w:sz="8" w:color="C8952E"/>
            </w:tcBorders>
            <w:vAlign w:val="center"/>
          </w:tcPr>
          <w:p>
            <w:pPr>
              <w:spacing w:after="60"/>
            </w:pPr>
            <w:r>
              <w:rPr>
                <w:rFonts w:ascii="Liberation Sans" w:hAnsi="Liberation Sans" w:eastAsia="Liberation Sans"/>
                <w:b/>
                <w:color w:val="C8952E"/>
                <w:sz w:val="20"/>
              </w:rPr>
              <w:t>THÈSE CENTRALE</w:t>
            </w:r>
          </w:p>
          <w:p>
            <w:pPr>
              <w:spacing w:after="0" w:line="259" w:lineRule="auto"/>
            </w:pPr>
            <w:r>
              <w:rPr>
                <w:rFonts w:ascii="Liberation Serif" w:hAnsi="Liberation Serif" w:eastAsia="Liberation Serif"/>
                <w:color w:val="2F3437"/>
                <w:sz w:val="20"/>
              </w:rPr>
              <w:t>La pathologie n’est pas la réaction initiale, mais la difficulté à clore le cycle : mobilisation, action ou adaptation, puis récupération et retour à l’état de base.</w:t>
            </w:r>
          </w:p>
        </w:tc>
      </w:tr>
    </w:tbl>
    <w:p>
      <w:pPr>
        <w:spacing w:after="0"/>
        <w:widowControl/>
      </w:pPr>
    </w:p>
    <w:p>
      <w:pPr>
        <w:pStyle w:val="Heading1"/>
        <w:keepNext/>
        <w:widowControl/>
      </w:pPr>
      <w:r>
        <w:rPr>
          <w:rFonts w:ascii="Liberation Sans" w:hAnsi="Liberation Sans" w:eastAsia="Liberation Sans"/>
          <w:b/>
          <w:color w:val="2F3437"/>
          <w:sz w:val="32"/>
        </w:rPr>
        <w:t>8. Le coût de régulation : une mobilisation active, pas une batterie qui se vide</w:t>
      </w:r>
    </w:p>
    <w:p>
      <w:pPr>
        <w:pStyle w:val="BodyText"/>
        <w:widowControl/>
      </w:pPr>
      <w:r>
        <w:rPr>
          <w:rFonts w:ascii="Liberation Serif" w:hAnsi="Liberation Serif" w:eastAsia="Liberation Serif"/>
          <w:i w:val="0"/>
          <w:color w:val="2F3437"/>
          <w:sz w:val="21"/>
        </w:rPr>
        <w:t>L’organisme ne possède pas une quantité fixe d’ATP distribuée le matin puis consommée au fil de la journée. L’ATP est continuellement produit et renouvelé. Le métabolisme ajuste l’utilisation du glucose, des acides gras et d’autres substrats en fonction de la demande.</w:t>
      </w:r>
    </w:p>
    <w:p>
      <w:pPr>
        <w:pStyle w:val="BodyText"/>
        <w:widowControl/>
      </w:pPr>
      <w:r>
        <w:rPr>
          <w:rFonts w:ascii="Liberation Serif" w:hAnsi="Liberation Serif" w:eastAsia="Liberation Serif"/>
          <w:i w:val="0"/>
          <w:color w:val="2F3437"/>
          <w:sz w:val="21"/>
        </w:rPr>
        <w:t>La métaphore du budget énergétique reste néanmoins utile si elle est comprise comme une hiérarchie de priorités. En situation de défense, l’organisme oriente davantage de ressources vers la vigilance, la musculature, la circulation et la régulation hormonale. En parallèle, certaines fonctions de digestion, de reproduction, de sommeil ou de réparation peuvent être temporairement modifiées ou différées.</w:t>
      </w:r>
    </w:p>
    <w:p>
      <w:pPr>
        <w:pStyle w:val="BodyText"/>
        <w:widowControl/>
      </w:pPr>
      <w:r>
        <w:rPr>
          <w:rFonts w:ascii="Liberation Serif" w:hAnsi="Liberation Serif" w:eastAsia="Liberation Serif"/>
          <w:i w:val="0"/>
          <w:color w:val="2F3437"/>
          <w:sz w:val="21"/>
        </w:rPr>
        <w:t>La charge allostatique représente donc moins une fuite d’énergie qu’une mobilisation réglementaire coûteuse. Le prix est payé lorsque l’état défensif reste durablement élevé au détriment de la maintenance, de la récupération et de la flexibilité.</w:t>
      </w:r>
    </w:p>
    <w:tbl>
      <w:tblPr>
        <w:tblW w:type="auto" w:w="0"/>
        <w:jc w:val="center"/>
        <w:tblLayout w:type="autofit"/>
        <w:tblLook w:firstColumn="1" w:firstRow="1" w:lastColumn="0" w:lastRow="0" w:noHBand="0" w:noVBand="1" w:val="04A0"/>
      </w:tblPr>
      <w:tblGrid>
        <w:gridCol w:w="9524"/>
      </w:tblGrid>
      <w:tr>
        <w:tc>
          <w:tcPr>
            <w:tcW w:type="dxa" w:w="9524"/>
            <w:shd w:fill="E6F0EF"/>
            <w:tcBorders>
              <w:top w:val="single" w:sz="8" w:color="2C6B6F"/>
              <w:left w:val="single" w:sz="12" w:color="2C6B6F"/>
              <w:bottom w:val="single" w:sz="8" w:color="2C6B6F"/>
              <w:right w:val="single" w:sz="8" w:color="2C6B6F"/>
            </w:tcBorders>
            <w:vAlign w:val="center"/>
          </w:tcPr>
          <w:p>
            <w:pPr>
              <w:spacing w:after="60"/>
            </w:pPr>
            <w:r>
              <w:rPr>
                <w:rFonts w:ascii="Liberation Sans" w:hAnsi="Liberation Sans" w:eastAsia="Liberation Sans"/>
                <w:b/>
                <w:color w:val="2C6B6F"/>
                <w:sz w:val="20"/>
              </w:rPr>
              <w:t>FORMULATION RIGOUREUSE</w:t>
            </w:r>
          </w:p>
          <w:p>
            <w:pPr>
              <w:spacing w:after="0" w:line="259" w:lineRule="auto"/>
            </w:pPr>
            <w:r>
              <w:rPr>
                <w:rFonts w:ascii="Liberation Serif" w:hAnsi="Liberation Serif" w:eastAsia="Liberation Serif"/>
                <w:color w:val="2F3437"/>
                <w:sz w:val="20"/>
              </w:rPr>
              <w:t>Le stress chronique ne « vide » pas nécessairement l’organisme. Il impose des transformations métaboliques et réglementaires répétées, qui peuvent devenir coûteuses si elles ne sont pas suivies de récupération.</w:t>
            </w:r>
          </w:p>
        </w:tc>
      </w:tr>
    </w:tbl>
    <w:p>
      <w:pPr>
        <w:spacing w:after="0"/>
        <w:widowControl/>
      </w:pPr>
    </w:p>
    <w:p>
      <w:pPr>
        <w:pStyle w:val="Heading1"/>
        <w:keepNext/>
        <w:widowControl/>
      </w:pPr>
      <w:r>
        <w:rPr>
          <w:rFonts w:ascii="Liberation Sans" w:hAnsi="Liberation Sans" w:eastAsia="Liberation Sans"/>
          <w:b/>
          <w:color w:val="2F3437"/>
          <w:sz w:val="32"/>
        </w:rPr>
        <w:t>9. À l’échelle cellulaire : mitochondries et hypermétabolisme sous contrainte</w:t>
      </w:r>
    </w:p>
    <w:p>
      <w:pPr>
        <w:pStyle w:val="Heading2"/>
        <w:keepNext/>
        <w:widowControl/>
      </w:pPr>
      <w:r>
        <w:rPr>
          <w:rFonts w:ascii="Liberation Sans" w:hAnsi="Liberation Sans" w:eastAsia="Liberation Sans"/>
          <w:b/>
          <w:color w:val="2C6B6F"/>
          <w:sz w:val="25"/>
        </w:rPr>
        <w:t>9.1. Les mitochondries au cœur de l’adaptation</w:t>
      </w:r>
    </w:p>
    <w:p>
      <w:pPr>
        <w:pStyle w:val="BodyText"/>
        <w:widowControl/>
      </w:pPr>
      <w:r>
        <w:rPr>
          <w:rFonts w:ascii="Liberation Serif" w:hAnsi="Liberation Serif" w:eastAsia="Liberation Serif"/>
          <w:i w:val="0"/>
          <w:color w:val="2F3437"/>
          <w:sz w:val="21"/>
        </w:rPr>
        <w:t>Les mitochondries transforment l’énergie des nutriments en formes utilisables par les cellules. Elles participent également à la signalisation, à la production d’espèces réactives de l’oxygène, à l’immunité et à la mort cellulaire programmée. Elles ne sont donc pas de simples « batteries », mais des organites adaptatifs sensibles à l’environnement hormonal et métabolique.</w:t>
      </w:r>
    </w:p>
    <w:p>
      <w:pPr>
        <w:pStyle w:val="Heading2"/>
        <w:keepNext/>
        <w:widowControl/>
      </w:pPr>
      <w:r>
        <w:rPr>
          <w:rFonts w:ascii="Liberation Sans" w:hAnsi="Liberation Sans" w:eastAsia="Liberation Sans"/>
          <w:b/>
          <w:color w:val="2C6B6F"/>
          <w:sz w:val="25"/>
        </w:rPr>
        <w:t>9.2. Hypermétabolisme induit par les glucocorticoïdes</w:t>
      </w:r>
    </w:p>
    <w:p>
      <w:pPr>
        <w:pStyle w:val="BodyText"/>
        <w:widowControl/>
      </w:pPr>
      <w:r>
        <w:rPr>
          <w:rFonts w:ascii="Liberation Serif" w:hAnsi="Liberation Serif" w:eastAsia="Liberation Serif"/>
          <w:i w:val="0"/>
          <w:color w:val="2F3437"/>
          <w:sz w:val="21"/>
        </w:rPr>
        <w:t>Une étude menée sur trois lignées de fibroblastes humains a montré qu’une exposition chronique aux glucocorticoïdes augmentait d’environ 60 % la dépense énergétique cellulaire, avec un déplacement vers la phosphorylation oxydative mitochondriale. Cette réponse était associée à une instabilité de l’ADN mitochondrial, à un raccourcissement télomérique plus rapide et à certains marqueurs de vieillissement cellulaire [3].</w:t>
      </w:r>
    </w:p>
    <w:p>
      <w:pPr>
        <w:pStyle w:val="BodyText"/>
        <w:widowControl/>
      </w:pPr>
      <w:r>
        <w:rPr>
          <w:rFonts w:ascii="Liberation Serif" w:hAnsi="Liberation Serif" w:eastAsia="Liberation Serif"/>
          <w:i w:val="0"/>
          <w:color w:val="2F3437"/>
          <w:sz w:val="21"/>
        </w:rPr>
        <w:t>Ce résultat ne signifie pas qu’une personne stressée dépense 60 % d’énergie supplémentaire. Il s’agit de cellules cultivées, soumises à une exposition expérimentale prolongée. L’intérêt de l’étude est conceptuel : une cellule sous contrainte peut dépenser davantage pour maintenir son fonctionnement, et cette compensation peut elle-même devenir coûteuse.</w:t>
      </w:r>
    </w:p>
    <w:p>
      <w:pPr>
        <w:pStyle w:val="Heading2"/>
        <w:keepNext/>
        <w:widowControl/>
      </w:pPr>
      <w:r>
        <w:rPr>
          <w:rFonts w:ascii="Liberation Sans" w:hAnsi="Liberation Sans" w:eastAsia="Liberation Sans"/>
          <w:b/>
          <w:color w:val="2C6B6F"/>
          <w:sz w:val="25"/>
        </w:rPr>
        <w:t>9.3. Un tissu vieillissant peut mobiliser davantage de ressources</w:t>
      </w:r>
    </w:p>
    <w:p>
      <w:pPr>
        <w:pStyle w:val="BodyText"/>
        <w:widowControl/>
      </w:pPr>
      <w:r>
        <w:rPr>
          <w:rFonts w:ascii="Liberation Serif" w:hAnsi="Liberation Serif" w:eastAsia="Liberation Serif"/>
          <w:i w:val="0"/>
          <w:color w:val="2F3437"/>
          <w:sz w:val="21"/>
        </w:rPr>
        <w:t>Le vieillissement n’est pas toujours synonyme de ralentissement simple. Une cellule fragilisée peut augmenter certains processus de compensation : renouvellement protéique, défense antioxydante, production mitochondriale ou réparation. Elle « fait plus » pour obtenir un résultat moindre. Cette mobilisation accrue peut masquer temporairement la perte d’efficacité, mais elle réduit la marge disponible face à une nouvelle contrainte.</w:t>
      </w:r>
    </w:p>
    <w:p>
      <w:pPr>
        <w:pStyle w:val="Heading2"/>
        <w:keepNext/>
        <w:widowControl/>
      </w:pPr>
      <w:r>
        <w:rPr>
          <w:rFonts w:ascii="Liberation Sans" w:hAnsi="Liberation Sans" w:eastAsia="Liberation Sans"/>
          <w:b/>
          <w:color w:val="2C6B6F"/>
          <w:sz w:val="25"/>
        </w:rPr>
        <w:t>9.4. Le principe de résistance énergétique</w:t>
      </w:r>
    </w:p>
    <w:p>
      <w:pPr>
        <w:pStyle w:val="BodyText"/>
        <w:widowControl/>
      </w:pPr>
      <w:r>
        <w:rPr>
          <w:rFonts w:ascii="Liberation Serif" w:hAnsi="Liberation Serif" w:eastAsia="Liberation Serif"/>
          <w:i w:val="0"/>
          <w:color w:val="2F3437"/>
          <w:sz w:val="21"/>
        </w:rPr>
        <w:t>Le principe de résistance énergétique proposé par Picard et Murugan décrit la relation entre la demande imposée à un système et sa capacité à transformer le flux énergétique en travail utile [6]. Une certaine résistance est nécessaire à la transformation de l’énergie ; une résistance excessive pourrait favoriser chaleur, stress oxydatif, inflammation et dommages moléculaires.</w:t>
      </w:r>
    </w:p>
    <w:p>
      <w:pPr>
        <w:pStyle w:val="BodyText"/>
        <w:widowControl/>
      </w:pPr>
      <w:r>
        <w:rPr>
          <w:rFonts w:ascii="Liberation Serif" w:hAnsi="Liberation Serif" w:eastAsia="Liberation Serif"/>
          <w:i w:val="0"/>
          <w:color w:val="2F3437"/>
          <w:sz w:val="21"/>
        </w:rPr>
        <w:t>Ce cadre est récent. Il constitue une hypothèse théorique stimulante, mais ne doit pas encore être utilisé comme une mesure clinique directe ni comme une preuve du mécanisme d’action de la ROP.</w:t>
      </w:r>
    </w:p>
    <w:tbl>
      <w:tblPr>
        <w:tblW w:type="auto" w:w="0"/>
        <w:jc w:val="center"/>
        <w:tblLayout w:type="autofit"/>
        <w:tblLook w:firstColumn="1" w:firstRow="1" w:lastColumn="0" w:lastRow="0" w:noHBand="0" w:noVBand="1" w:val="04A0"/>
      </w:tblPr>
      <w:tblGrid>
        <w:gridCol w:w="9524"/>
      </w:tblGrid>
      <w:tr>
        <w:tc>
          <w:tcPr>
            <w:tcW w:type="dxa" w:w="9524"/>
            <w:shd w:fill="F1F1F1"/>
            <w:tcBorders>
              <w:top w:val="single" w:sz="8" w:color="6F777A"/>
              <w:left w:val="single" w:sz="12" w:color="6F777A"/>
              <w:bottom w:val="single" w:sz="8" w:color="6F777A"/>
              <w:right w:val="single" w:sz="8" w:color="6F777A"/>
            </w:tcBorders>
            <w:vAlign w:val="center"/>
          </w:tcPr>
          <w:p>
            <w:pPr>
              <w:spacing w:after="60"/>
            </w:pPr>
            <w:r>
              <w:rPr>
                <w:rFonts w:ascii="Liberation Sans" w:hAnsi="Liberation Sans" w:eastAsia="Liberation Sans"/>
                <w:b/>
                <w:color w:val="6F777A"/>
                <w:sz w:val="20"/>
              </w:rPr>
              <w:t>POINT DE VIGILANCE</w:t>
            </w:r>
          </w:p>
          <w:p>
            <w:pPr>
              <w:spacing w:after="0" w:line="259" w:lineRule="auto"/>
            </w:pPr>
            <w:r>
              <w:rPr>
                <w:rFonts w:ascii="Liberation Serif" w:hAnsi="Liberation Serif" w:eastAsia="Liberation Serif"/>
                <w:color w:val="2F3437"/>
                <w:sz w:val="20"/>
              </w:rPr>
              <w:t>Aucune donnée ne démontre aujourd’hui qu’une séance de ROP modifie directement le nombre de mitochondries, la production d’ATP ou le principe de résistance énergétique chez l’être humain.</w:t>
            </w:r>
          </w:p>
        </w:tc>
      </w:tr>
    </w:tbl>
    <w:p>
      <w:pPr>
        <w:spacing w:after="0"/>
        <w:widowControl/>
      </w:pPr>
    </w:p>
    <w:p>
      <w:pPr>
        <w:pStyle w:val="Heading1"/>
        <w:keepNext/>
        <w:widowControl/>
      </w:pPr>
      <w:r>
        <w:rPr>
          <w:rFonts w:ascii="Liberation Sans" w:hAnsi="Liberation Sans" w:eastAsia="Liberation Sans"/>
          <w:b/>
          <w:color w:val="2F3437"/>
          <w:sz w:val="32"/>
        </w:rPr>
        <w:t>10. Le cheveu comme archive biologique et la marge de réversibilité</w:t>
      </w:r>
    </w:p>
    <w:p>
      <w:pPr>
        <w:pStyle w:val="Heading2"/>
        <w:keepNext/>
        <w:widowControl/>
      </w:pPr>
      <w:r>
        <w:rPr>
          <w:rFonts w:ascii="Liberation Sans" w:hAnsi="Liberation Sans" w:eastAsia="Liberation Sans"/>
          <w:b/>
          <w:color w:val="2C6B6F"/>
          <w:sz w:val="25"/>
        </w:rPr>
        <w:t>10.1. Une chronologie inscrite dans la tige pilaire</w:t>
      </w:r>
    </w:p>
    <w:p>
      <w:pPr>
        <w:pStyle w:val="BodyText"/>
        <w:widowControl/>
      </w:pPr>
      <w:r>
        <w:rPr>
          <w:rFonts w:ascii="Liberation Serif" w:hAnsi="Liberation Serif" w:eastAsia="Liberation Serif"/>
          <w:i w:val="0"/>
          <w:color w:val="2F3437"/>
          <w:sz w:val="21"/>
        </w:rPr>
        <w:t>Le cheveu pousse progressivement à partir du follicule. Les segments proches de la pointe ont été produits plus anciennement que ceux proches du cuir chevelu. La pigmentation le long d’un même cheveu peut donc fournir une chronologie approximative de l’activité pigmentaire du follicule.</w:t>
      </w:r>
    </w:p>
    <w:p>
      <w:pPr>
        <w:pStyle w:val="Heading2"/>
        <w:keepNext/>
        <w:widowControl/>
      </w:pPr>
      <w:r>
        <w:rPr>
          <w:rFonts w:ascii="Liberation Sans" w:hAnsi="Liberation Sans" w:eastAsia="Liberation Sans"/>
          <w:b/>
          <w:color w:val="2C6B6F"/>
          <w:sz w:val="25"/>
        </w:rPr>
        <w:t>10.2. Des cheveux blancs peuvent exceptionnellement se repigmenter</w:t>
      </w:r>
    </w:p>
    <w:p>
      <w:pPr>
        <w:pStyle w:val="BodyText"/>
        <w:widowControl/>
      </w:pPr>
      <w:r>
        <w:rPr>
          <w:rFonts w:ascii="Liberation Serif" w:hAnsi="Liberation Serif" w:eastAsia="Liberation Serif"/>
          <w:i w:val="0"/>
          <w:color w:val="2F3437"/>
          <w:sz w:val="21"/>
        </w:rPr>
        <w:t>L’étude Hair Pigmentation Pattern a identifié des cheveux humains dont la pigmentation avait diminué puis réapparu. Chez certains participants, ces changements coïncidaient avec des variations rétrospectivement rapportées du niveau de stress. L’analyse protéomique des segments blancs montrait une augmentation de protéines liées au métabolisme énergétique, aux mitochondries et aux défenses antioxydantes [4].</w:t>
      </w:r>
    </w:p>
    <w:p>
      <w:pPr>
        <w:pStyle w:val="BodyText"/>
        <w:widowControl/>
      </w:pPr>
      <w:r>
        <w:rPr>
          <w:rFonts w:ascii="Liberation Serif" w:hAnsi="Liberation Serif" w:eastAsia="Liberation Serif"/>
          <w:i w:val="0"/>
          <w:color w:val="2F3437"/>
          <w:sz w:val="21"/>
        </w:rPr>
        <w:t>La tige pilaire visible est un tissu kératinisé sans mitochondries actives. Il est donc incorrect d’affirmer que le cheveu blanc « contient davantage de mitochondries ». Il conserve plutôt la signature moléculaire d’un follicule qui, au moment de sa production, présentait un remodelage métabolique.</w:t>
      </w:r>
    </w:p>
    <w:p>
      <w:pPr>
        <w:pStyle w:val="Heading2"/>
        <w:keepNext/>
        <w:widowControl/>
      </w:pPr>
      <w:r>
        <w:rPr>
          <w:rFonts w:ascii="Liberation Sans" w:hAnsi="Liberation Sans" w:eastAsia="Liberation Sans"/>
          <w:b/>
          <w:color w:val="2C6B6F"/>
          <w:sz w:val="25"/>
        </w:rPr>
        <w:t>10.3. Corrélation humaine et mécanisme animal</w:t>
      </w:r>
    </w:p>
    <w:p>
      <w:pPr>
        <w:pStyle w:val="BodyText"/>
        <w:widowControl/>
      </w:pPr>
      <w:r>
        <w:rPr>
          <w:rFonts w:ascii="Liberation Serif" w:hAnsi="Liberation Serif" w:eastAsia="Liberation Serif"/>
          <w:i w:val="0"/>
          <w:color w:val="2F3437"/>
          <w:sz w:val="21"/>
        </w:rPr>
        <w:t>Chez l’être humain, la relation entre stress et repigmentation reste principalement corrélationnelle. Chez la souris, une forte activation sympathique a provoqué une libération locale de noradrénaline, une activation excessive des cellules souches mélanocytaires puis leur épuisement définitif. Ce mécanisme était indépendant du cortisol et des hormones surrénaliennes [5].</w:t>
      </w:r>
    </w:p>
    <w:p>
      <w:pPr>
        <w:pStyle w:val="Heading2"/>
        <w:keepNext/>
        <w:widowControl/>
      </w:pPr>
      <w:r>
        <w:rPr>
          <w:rFonts w:ascii="Liberation Sans" w:hAnsi="Liberation Sans" w:eastAsia="Liberation Sans"/>
          <w:b/>
          <w:color w:val="2C6B6F"/>
          <w:sz w:val="25"/>
        </w:rPr>
        <w:t>10.4. Le modèle du seuil</w:t>
      </w:r>
    </w:p>
    <w:p>
      <w:pPr>
        <w:pStyle w:val="BodyText"/>
        <w:widowControl/>
      </w:pPr>
      <w:r>
        <w:rPr>
          <w:rFonts w:ascii="Liberation Serif" w:hAnsi="Liberation Serif" w:eastAsia="Liberation Serif"/>
          <w:i w:val="0"/>
          <w:color w:val="2F3437"/>
          <w:sz w:val="21"/>
        </w:rPr>
        <w:t>Les chercheurs ont proposé un modèle dans lequel chaque follicule accumule progressivement un facteur de vieillissement. Un follicule proche d’un seuil critique peut franchir temporairement ce seuil sous l’effet d’une contrainte, puis revenir en dessous si l’environnement biologique s’améliore. Un follicule très éloigné du seuil ne changerait pas ; un follicule ayant subi une perte structurelle importante ne pourrait plus revenir en arrière.</w:t>
      </w:r>
    </w:p>
    <w:tbl>
      <w:tblPr>
        <w:tblW w:type="auto" w:w="0"/>
        <w:jc w:val="center"/>
        <w:tblLayout w:type="autofit"/>
        <w:tblLook w:firstColumn="1" w:firstRow="1" w:lastColumn="0" w:lastRow="0" w:noHBand="0" w:noVBand="1" w:val="04A0"/>
      </w:tblPr>
      <w:tblGrid>
        <w:gridCol w:w="9524"/>
      </w:tblGrid>
      <w:tr>
        <w:tc>
          <w:tcPr>
            <w:tcW w:type="dxa" w:w="9524"/>
            <w:shd w:fill="F6ECD4"/>
            <w:tcBorders>
              <w:top w:val="single" w:sz="8" w:color="C8952E"/>
              <w:left w:val="single" w:sz="12" w:color="C8952E"/>
              <w:bottom w:val="single" w:sz="8" w:color="C8952E"/>
              <w:right w:val="single" w:sz="8" w:color="C8952E"/>
            </w:tcBorders>
            <w:vAlign w:val="center"/>
          </w:tcPr>
          <w:p>
            <w:pPr>
              <w:spacing w:after="60"/>
            </w:pPr>
            <w:r>
              <w:rPr>
                <w:rFonts w:ascii="Liberation Sans" w:hAnsi="Liberation Sans" w:eastAsia="Liberation Sans"/>
                <w:b/>
                <w:color w:val="C8952E"/>
                <w:sz w:val="20"/>
              </w:rPr>
              <w:t>PORTÉE CLINIQUE</w:t>
            </w:r>
          </w:p>
          <w:p>
            <w:pPr>
              <w:spacing w:after="0" w:line="259" w:lineRule="auto"/>
            </w:pPr>
            <w:r>
              <w:rPr>
                <w:rFonts w:ascii="Liberation Serif" w:hAnsi="Liberation Serif" w:eastAsia="Liberation Serif"/>
                <w:color w:val="2F3437"/>
                <w:sz w:val="20"/>
              </w:rPr>
              <w:t>L’intérêt du cheveu n’est pas de prétendre que la ROP peut inverser les cheveux gris. Il illustre une idée plus générale : certaines manifestations précoces du vieillissement sont dynamiques et potentiellement réversibles, tandis que les pertes structurelles avancées le sont beaucoup moins.</w:t>
            </w:r>
          </w:p>
        </w:tc>
      </w:tr>
    </w:tbl>
    <w:p>
      <w:pPr>
        <w:spacing w:after="0"/>
        <w:widowControl/>
      </w:pPr>
    </w:p>
    <w:p>
      <w:pPr>
        <w:pStyle w:val="Heading1"/>
        <w:keepNext/>
        <w:widowControl/>
      </w:pPr>
      <w:r>
        <w:rPr>
          <w:rFonts w:ascii="Liberation Sans" w:hAnsi="Liberation Sans" w:eastAsia="Liberation Sans"/>
          <w:b/>
          <w:color w:val="2F3437"/>
          <w:sz w:val="32"/>
        </w:rPr>
        <w:t>11. Le modèle du seuil : trouble fonctionnel et altération structurelle</w:t>
      </w:r>
    </w:p>
    <w:p>
      <w:pPr>
        <w:pStyle w:val="BodyText"/>
        <w:widowControl/>
      </w:pPr>
      <w:r>
        <w:rPr>
          <w:rFonts w:ascii="Liberation Serif" w:hAnsi="Liberation Serif" w:eastAsia="Liberation Serif"/>
          <w:i w:val="0"/>
          <w:color w:val="2F3437"/>
          <w:sz w:val="21"/>
        </w:rPr>
        <w:t>Le modèle du seuil permet de distinguer trois situations cliniques. La première est l’adaptation aiguë : le stress est géré et l’organisme revient spontanément à l’équilibre. La deuxième correspond au trouble fonctionnel : le signal d’alarme persiste, la récupération est incomplète, mais l’intégrité anatomique reste globalement préservée. La troisième correspond à l’altération structurelle : des lésions, une perte cellulaire ou une maladie installée limitent la réversibilité.</w:t>
      </w:r>
    </w:p>
    <w:p>
      <w:pPr>
        <w:pStyle w:val="BodyText"/>
        <w:widowControl/>
      </w:pPr>
      <w:r>
        <w:rPr>
          <w:rFonts w:ascii="Liberation Serif" w:hAnsi="Liberation Serif" w:eastAsia="Liberation Serif"/>
          <w:i w:val="0"/>
          <w:color w:val="2F3437"/>
          <w:sz w:val="21"/>
        </w:rPr>
        <w:t>Cette distinction est compatible avec la place traditionnelle de la ROP : son champ le plus cohérent est celui des dysfonctions fonctionnelles et des capacités d’adaptation encore mobilisables. Lorsque la pathologie est structurelle, la ROP ne remplace ni le diagnostic médical ni les traitements nécessaires. Elle peut éventuellement contribuer au confort, à la régulation et à l’accompagnement.</w:t>
      </w:r>
    </w:p>
    <w:tbl>
      <w:tblPr>
        <w:tblW w:type="auto" w:w="0"/>
        <w:jc w:val="center"/>
        <w:tblLayout w:type="autofit"/>
        <w:tblLook w:firstColumn="1" w:firstRow="1" w:lastColumn="0" w:lastRow="0" w:noHBand="0" w:noVBand="1" w:val="04A0"/>
      </w:tblPr>
      <w:tblGrid>
        <w:gridCol w:w="9524"/>
      </w:tblGrid>
      <w:tr>
        <w:tc>
          <w:tcPr>
            <w:tcW w:type="dxa" w:w="9524"/>
            <w:shd w:fill="F2E3E1"/>
            <w:tcBorders>
              <w:top w:val="single" w:sz="8" w:color="B97878"/>
              <w:left w:val="single" w:sz="12" w:color="B97878"/>
              <w:bottom w:val="single" w:sz="8" w:color="B97878"/>
              <w:right w:val="single" w:sz="8" w:color="B97878"/>
            </w:tcBorders>
            <w:vAlign w:val="center"/>
          </w:tcPr>
          <w:p>
            <w:pPr>
              <w:spacing w:after="60"/>
            </w:pPr>
            <w:r>
              <w:rPr>
                <w:rFonts w:ascii="Liberation Sans" w:hAnsi="Liberation Sans" w:eastAsia="Liberation Sans"/>
                <w:b/>
                <w:color w:val="B97878"/>
                <w:sz w:val="20"/>
              </w:rPr>
              <w:t>FENÊTRE D’ACTION ROP</w:t>
            </w:r>
          </w:p>
          <w:p>
            <w:pPr>
              <w:spacing w:after="0" w:line="259" w:lineRule="auto"/>
            </w:pPr>
            <w:r>
              <w:rPr>
                <w:rFonts w:ascii="Liberation Serif" w:hAnsi="Liberation Serif" w:eastAsia="Liberation Serif"/>
                <w:color w:val="2F3437"/>
                <w:sz w:val="20"/>
              </w:rPr>
              <w:t>La pertinence maximale de la ROP se situe dans la marge fonctionnelle de réversibilité : avant que la dysrégulation ne se fixe, ou en accompagnement d’une pathologie chronique sans revendiquer d’action curative propre.</w:t>
            </w:r>
          </w:p>
        </w:tc>
      </w:tr>
    </w:tbl>
    <w:p>
      <w:pPr>
        <w:spacing w:after="0"/>
        <w:widowControl/>
      </w:pPr>
    </w:p>
    <w:p>
      <w:pPr>
        <w:pStyle w:val="Heading1"/>
        <w:keepNext/>
        <w:widowControl/>
      </w:pPr>
      <w:r>
        <w:rPr>
          <w:rFonts w:ascii="Liberation Sans" w:hAnsi="Liberation Sans" w:eastAsia="Liberation Sans"/>
          <w:b/>
          <w:color w:val="2F3437"/>
          <w:sz w:val="32"/>
        </w:rPr>
        <w:t>12. La cible autonome : la flexibilité, non la domination vagale</w:t>
      </w:r>
    </w:p>
    <w:p>
      <w:pPr>
        <w:pStyle w:val="BodyText"/>
        <w:widowControl/>
      </w:pPr>
      <w:r>
        <w:rPr>
          <w:rFonts w:ascii="Liberation Serif" w:hAnsi="Liberation Serif" w:eastAsia="Liberation Serif"/>
          <w:i w:val="0"/>
          <w:color w:val="2F3437"/>
          <w:sz w:val="21"/>
        </w:rPr>
        <w:t>Un organisme sain n’est pas un organisme constamment détendu. Il doit pouvoir se mobiliser rapidement, soutenir un effort, défendre son intégrité, puis revenir vers la récupération. Le sympathique est vital pour l’action ; le parasympathique est vital pour la restauration. La santé repose sur la capacité à circuler entre ces états.</w:t>
      </w:r>
    </w:p>
    <w:p>
      <w:pPr>
        <w:pStyle w:val="BodyText"/>
        <w:widowControl/>
      </w:pPr>
      <w:r>
        <w:rPr>
          <w:rFonts w:ascii="Liberation Serif" w:hAnsi="Liberation Serif" w:eastAsia="Liberation Serif"/>
          <w:i w:val="0"/>
          <w:color w:val="2F3437"/>
          <w:sz w:val="21"/>
        </w:rPr>
        <w:t>L’objectif thérapeutique ne doit donc pas être d’éteindre le sympathique ni de maximiser le tonus vagal. Une activation vagale excessive ou inappropriée peut s’accompagner de nausées, de bradycardie, d’hypotension ou de syncope. La cible est la flexibilité autonome : mobiliser quand cela est nécessaire, puis ne pas rester bloqué une fois le danger écarté.</w:t>
      </w:r>
    </w:p>
    <w:p>
      <w:pPr>
        <w:pStyle w:val="BodyText"/>
        <w:widowControl/>
      </w:pPr>
      <w:r>
        <w:rPr>
          <w:rFonts w:ascii="Liberation Serif" w:hAnsi="Liberation Serif" w:eastAsia="Liberation Serif"/>
          <w:i w:val="0"/>
          <w:color w:val="2F3437"/>
          <w:sz w:val="21"/>
        </w:rPr>
        <w:t>La théorie polyvagale propose une lecture hiérarchisée entre engagement social, mobilisation sympathique et immobilisation défensive. Elle peut enrichir la pédagogie clinique, mais elle reste un cadre théorique discuté et ne doit pas être présentée comme la démonstration du mécanisme de la ROP.</w:t>
      </w:r>
    </w:p>
    <w:tbl>
      <w:tblPr>
        <w:tblW w:type="auto" w:w="0"/>
        <w:jc w:val="center"/>
        <w:tblLayout w:type="autofit"/>
        <w:tblLook w:firstColumn="1" w:firstRow="1" w:lastColumn="0" w:lastRow="0" w:noHBand="0" w:noVBand="1" w:val="04A0"/>
      </w:tblPr>
      <w:tblGrid>
        <w:gridCol w:w="9524"/>
      </w:tblGrid>
      <w:tr>
        <w:tc>
          <w:tcPr>
            <w:tcW w:type="dxa" w:w="9524"/>
            <w:shd w:fill="F6ECD4"/>
            <w:tcBorders>
              <w:top w:val="single" w:sz="8" w:color="C8952E"/>
              <w:left w:val="single" w:sz="12" w:color="C8952E"/>
              <w:bottom w:val="single" w:sz="8" w:color="C8952E"/>
              <w:right w:val="single" w:sz="8" w:color="C8952E"/>
            </w:tcBorders>
            <w:vAlign w:val="center"/>
          </w:tcPr>
          <w:p>
            <w:pPr>
              <w:spacing w:after="60"/>
            </w:pPr>
            <w:r>
              <w:rPr>
                <w:rFonts w:ascii="Liberation Sans" w:hAnsi="Liberation Sans" w:eastAsia="Liberation Sans"/>
                <w:b/>
                <w:color w:val="C8952E"/>
                <w:sz w:val="20"/>
              </w:rPr>
              <w:t>FORMULE CLINIQUE</w:t>
            </w:r>
          </w:p>
          <w:p>
            <w:pPr>
              <w:spacing w:after="0" w:line="259" w:lineRule="auto"/>
            </w:pPr>
            <w:r>
              <w:rPr>
                <w:rFonts w:ascii="Liberation Serif" w:hAnsi="Liberation Serif" w:eastAsia="Liberation Serif"/>
                <w:color w:val="2F3437"/>
                <w:sz w:val="20"/>
              </w:rPr>
              <w:t>Pouvoir se mobiliser pour l’action, puis revenir naturellement vers l’engagement, la digestion, le repos et la récupération.</w:t>
            </w:r>
          </w:p>
        </w:tc>
      </w:tr>
    </w:tbl>
    <w:p>
      <w:pPr>
        <w:spacing w:after="0"/>
        <w:widowControl/>
      </w:pPr>
    </w:p>
    <w:p>
      <w:pPr>
        <w:pStyle w:val="Heading1"/>
        <w:keepNext/>
        <w:widowControl/>
      </w:pPr>
      <w:r>
        <w:rPr>
          <w:rFonts w:ascii="Liberation Sans" w:hAnsi="Liberation Sans" w:eastAsia="Liberation Sans"/>
          <w:b/>
          <w:color w:val="2F3437"/>
          <w:sz w:val="32"/>
        </w:rPr>
        <w:t>13. Le pont avec la ROP : agir sur la réponse, non sur l’existence du stresseur</w:t>
      </w:r>
    </w:p>
    <w:p>
      <w:pPr>
        <w:pStyle w:val="BodyText"/>
        <w:widowControl/>
      </w:pPr>
      <w:r>
        <w:rPr>
          <w:rFonts w:ascii="Liberation Serif" w:hAnsi="Liberation Serif" w:eastAsia="Liberation Serif"/>
          <w:i w:val="0"/>
          <w:color w:val="2F3437"/>
          <w:sz w:val="21"/>
        </w:rPr>
        <w:t>La ROP ne supprime pas le conflit professionnel, le deuil, la douleur inflammatoire ou le manque de sommeil. Elle ne modifie pas directement l’événement extérieur. Son point d’intervention potentiel se situe dans les boucles corporelles qui prolongent la réponse : tension, respiration, vigilance, douleur, activité viscérale et signaux intéroceptifs.</w:t>
      </w:r>
    </w:p>
    <w:p>
      <w:pPr>
        <w:pStyle w:val="BodyText"/>
        <w:widowControl/>
      </w:pPr>
      <w:r>
        <w:rPr>
          <w:rFonts w:ascii="Liberation Serif" w:hAnsi="Liberation Serif" w:eastAsia="Liberation Serif"/>
          <w:i w:val="0"/>
          <w:color w:val="2F3437"/>
          <w:sz w:val="21"/>
        </w:rPr>
        <w:t>Une stimulation tactile prévisible et mesurée peut fournir des informations somatosensorielles nouvelles. Ces informations sont intégrées par le système nerveux central et peuvent modifier l’attention portée au corps, la perception de la douleur et l’état de bien-être. Une étude randomisée en IRM fonctionnelle a montré que la réflexologie podale et un massage témoin modifiaient tous deux la connectivité de réseaux sensorimoteurs, du mode par défaut et associés à la douleur. Aucune différence spécifique entre les deux interventions n’a toutefois été démontrée chez les sujets sains [7].</w:t>
      </w:r>
    </w:p>
    <w:p>
      <w:pPr>
        <w:pStyle w:val="BodyText"/>
        <w:widowControl/>
      </w:pPr>
      <w:r>
        <w:rPr>
          <w:rFonts w:ascii="Liberation Serif" w:hAnsi="Liberation Serif" w:eastAsia="Liberation Serif"/>
          <w:i w:val="0"/>
          <w:color w:val="2F3437"/>
          <w:sz w:val="21"/>
        </w:rPr>
        <w:t>Cette étude soutient l’idée d’un effet réel du toucher et du contexte thérapeutique, mais elle ne prouve pas la spécificité des zones réflexes. La voie la plus défendable est donc une hypothèse ascendante, dite bottom-up : le toucher modifie les informations corporelles ; ces informations influencent l’interoception et les réseaux de régulation ; l’organisme peut alors réduire une partie de son tonus défensif.</w:t>
      </w:r>
    </w:p>
    <w:tbl>
      <w:tblPr>
        <w:tblW w:type="auto" w:w="0"/>
        <w:jc w:val="center"/>
        <w:tblLayout w:type="autofit"/>
        <w:tblLook w:firstColumn="1" w:firstRow="1" w:lastColumn="0" w:lastRow="0" w:noHBand="0" w:noVBand="1" w:val="04A0"/>
      </w:tblPr>
      <w:tblGrid>
        <w:gridCol w:w="9524"/>
      </w:tblGrid>
      <w:tr>
        <w:tc>
          <w:tcPr>
            <w:tcW w:type="dxa" w:w="9524"/>
            <w:shd w:fill="F2E3E1"/>
            <w:tcBorders>
              <w:top w:val="single" w:sz="8" w:color="B97878"/>
              <w:left w:val="single" w:sz="12" w:color="B97878"/>
              <w:bottom w:val="single" w:sz="8" w:color="B97878"/>
              <w:right w:val="single" w:sz="8" w:color="B97878"/>
            </w:tcBorders>
            <w:vAlign w:val="center"/>
          </w:tcPr>
          <w:p>
            <w:pPr>
              <w:spacing w:after="60"/>
            </w:pPr>
            <w:r>
              <w:rPr>
                <w:rFonts w:ascii="Liberation Sans" w:hAnsi="Liberation Sans" w:eastAsia="Liberation Sans"/>
                <w:b/>
                <w:color w:val="B97878"/>
                <w:sz w:val="20"/>
              </w:rPr>
              <w:t>HYPOTHÈSE ROP</w:t>
            </w:r>
          </w:p>
          <w:p>
            <w:pPr>
              <w:spacing w:after="0" w:line="259" w:lineRule="auto"/>
            </w:pPr>
            <w:r>
              <w:rPr>
                <w:rFonts w:ascii="Liberation Serif" w:hAnsi="Liberation Serif" w:eastAsia="Liberation Serif"/>
                <w:color w:val="2F3437"/>
                <w:sz w:val="20"/>
              </w:rPr>
              <w:t>Toucher mesuré et environnement prévisible → informations somatosensorielles nouvelles → traitement par les réseaux d’interoception → modulation possible de la réponse autonome → amélioration des conditions de récupération.</w:t>
            </w:r>
          </w:p>
        </w:tc>
      </w:tr>
    </w:tbl>
    <w:p>
      <w:pPr>
        <w:spacing w:after="0"/>
        <w:widowControl/>
      </w:pPr>
    </w:p>
    <w:p>
      <w:pPr>
        <w:pStyle w:val="Heading1"/>
        <w:keepNext/>
        <w:widowControl/>
      </w:pPr>
      <w:r>
        <w:rPr>
          <w:rFonts w:ascii="Liberation Sans" w:hAnsi="Liberation Sans" w:eastAsia="Liberation Sans"/>
          <w:b/>
          <w:color w:val="2F3437"/>
          <w:sz w:val="32"/>
        </w:rPr>
        <w:t>14. La séance ROP comme perturbation sensorielle mesurée</w:t>
      </w:r>
    </w:p>
    <w:p>
      <w:pPr>
        <w:pStyle w:val="BodyText"/>
        <w:widowControl/>
      </w:pPr>
      <w:r>
        <w:rPr>
          <w:rFonts w:ascii="Liberation Serif" w:hAnsi="Liberation Serif" w:eastAsia="Liberation Serif"/>
          <w:i w:val="0"/>
          <w:color w:val="2F3437"/>
          <w:sz w:val="21"/>
        </w:rPr>
        <w:t>Une séance ne doit pas être conçue comme une accumulation maximale de stimulations. Elle correspond à une perturbation sensorielle dosée, suivie d’un temps d’intégration. Cette logique rejoint l’idée que l’adaptation dépend du rapport entre la contrainte appliquée et la capacité actuelle du système à y répondre.</w:t>
      </w:r>
    </w:p>
    <w:p>
      <w:pPr>
        <w:pStyle w:val="Heading2"/>
        <w:keepNext/>
        <w:widowControl/>
      </w:pPr>
      <w:r>
        <w:rPr>
          <w:rFonts w:ascii="Liberation Sans" w:hAnsi="Liberation Sans" w:eastAsia="Liberation Sans"/>
          <w:b/>
          <w:color w:val="2C6B6F"/>
          <w:sz w:val="25"/>
        </w:rPr>
        <w:t>14.1. Premier temps : diagnostic tissulaire</w:t>
      </w:r>
    </w:p>
    <w:p>
      <w:pPr>
        <w:pStyle w:val="BodyText"/>
        <w:widowControl/>
      </w:pPr>
      <w:r>
        <w:rPr>
          <w:rFonts w:ascii="Liberation Serif" w:hAnsi="Liberation Serif" w:eastAsia="Liberation Serif"/>
          <w:i w:val="0"/>
          <w:color w:val="2F3437"/>
          <w:sz w:val="21"/>
        </w:rPr>
        <w:t>Le praticien commence par l’écoute et l’examen. Il recherche les zones de densité, de sensibilité, de restriction ou de réponse inhabituelle, tout en tenant compte de l’anamnèse, du stade d’adaptation, des traitements et des signes d’alerte. Cette phase doit guider le dosage plutôt que justifier une stimulation systématique de toutes les zones.</w:t>
      </w:r>
    </w:p>
    <w:p>
      <w:pPr>
        <w:pStyle w:val="Heading2"/>
        <w:keepNext/>
        <w:widowControl/>
      </w:pPr>
      <w:r>
        <w:rPr>
          <w:rFonts w:ascii="Liberation Sans" w:hAnsi="Liberation Sans" w:eastAsia="Liberation Sans"/>
          <w:b/>
          <w:color w:val="2C6B6F"/>
          <w:sz w:val="25"/>
        </w:rPr>
        <w:t>14.2. Deuxième temps : sollicitation</w:t>
      </w:r>
    </w:p>
    <w:p>
      <w:pPr>
        <w:pStyle w:val="BodyText"/>
        <w:widowControl/>
      </w:pPr>
      <w:r>
        <w:rPr>
          <w:rFonts w:ascii="Liberation Serif" w:hAnsi="Liberation Serif" w:eastAsia="Liberation Serif"/>
          <w:i w:val="0"/>
          <w:color w:val="2F3437"/>
          <w:sz w:val="21"/>
        </w:rPr>
        <w:t>La sollicitation fournit une information tactile précise. Elle doit être suffisamment claire pour être perçue, mais suffisamment mesurée pour ne pas provoquer une défense supplémentaire. La douleur intense n’est pas un objectif thérapeutique et ne constitue pas une preuve d’efficacité.</w:t>
      </w:r>
    </w:p>
    <w:p>
      <w:pPr>
        <w:pStyle w:val="Heading2"/>
        <w:keepNext/>
        <w:widowControl/>
      </w:pPr>
      <w:r>
        <w:rPr>
          <w:rFonts w:ascii="Liberation Sans" w:hAnsi="Liberation Sans" w:eastAsia="Liberation Sans"/>
          <w:b/>
          <w:color w:val="2C6B6F"/>
          <w:sz w:val="25"/>
        </w:rPr>
        <w:t>14.3. Troisième temps : ne rien faire et laisser faire</w:t>
      </w:r>
    </w:p>
    <w:p>
      <w:pPr>
        <w:pStyle w:val="BodyText"/>
        <w:widowControl/>
      </w:pPr>
      <w:r>
        <w:rPr>
          <w:rFonts w:ascii="Liberation Serif" w:hAnsi="Liberation Serif" w:eastAsia="Liberation Serif"/>
          <w:i w:val="0"/>
          <w:color w:val="2F3437"/>
          <w:sz w:val="21"/>
        </w:rPr>
        <w:t>Le temps d’arrêt permet d’observer la réponse : respiration, tonus, chaleur, détente, agitation, fatigue, inconfort ou absence de modification. Il favorise également l’intégration autonome. Dans cette logique, le traitement n’est pas achevé lorsque le praticien cesse de stimuler ; il se poursuit dans la capacité du patient à récupérer.</w:t>
      </w:r>
    </w:p>
    <w:tbl>
      <w:tblPr>
        <w:tblW w:type="auto" w:w="0"/>
        <w:jc w:val="center"/>
        <w:tblLayout w:type="autofit"/>
        <w:tblLook w:firstColumn="1" w:firstRow="1" w:lastColumn="0" w:lastRow="0" w:noHBand="0" w:noVBand="1" w:val="04A0"/>
      </w:tblPr>
      <w:tblGrid>
        <w:gridCol w:w="9524"/>
      </w:tblGrid>
      <w:tr>
        <w:tc>
          <w:tcPr>
            <w:tcW w:type="dxa" w:w="9524"/>
            <w:shd w:fill="F2E3E1"/>
            <w:tcBorders>
              <w:top w:val="single" w:sz="8" w:color="B97878"/>
              <w:left w:val="single" w:sz="12" w:color="B97878"/>
              <w:bottom w:val="single" w:sz="8" w:color="B97878"/>
              <w:right w:val="single" w:sz="8" w:color="B97878"/>
            </w:tcBorders>
            <w:vAlign w:val="center"/>
          </w:tcPr>
          <w:p>
            <w:pPr>
              <w:spacing w:after="60"/>
            </w:pPr>
            <w:r>
              <w:rPr>
                <w:rFonts w:ascii="Liberation Sans" w:hAnsi="Liberation Sans" w:eastAsia="Liberation Sans"/>
                <w:b/>
                <w:color w:val="B97878"/>
                <w:sz w:val="20"/>
              </w:rPr>
              <w:t>PRINCIPE DE DOSAGE</w:t>
            </w:r>
          </w:p>
          <w:p>
            <w:pPr>
              <w:spacing w:after="0" w:line="259" w:lineRule="auto"/>
            </w:pPr>
            <w:r>
              <w:rPr>
                <w:rFonts w:ascii="Liberation Serif" w:hAnsi="Liberation Serif" w:eastAsia="Liberation Serif"/>
                <w:color w:val="2F3437"/>
                <w:sz w:val="20"/>
              </w:rPr>
              <w:t>Le bon stimulus n’est pas le plus fort. C’est celui que l’organisme peut intégrer sans augmenter durablement sa charge allostatique.</w:t>
            </w:r>
          </w:p>
        </w:tc>
      </w:tr>
    </w:tbl>
    <w:p>
      <w:pPr>
        <w:spacing w:after="0"/>
        <w:widowControl/>
      </w:pPr>
    </w:p>
    <w:p>
      <w:pPr>
        <w:pStyle w:val="Heading1"/>
        <w:keepNext/>
        <w:widowControl/>
      </w:pPr>
      <w:r>
        <w:rPr>
          <w:rFonts w:ascii="Liberation Sans" w:hAnsi="Liberation Sans" w:eastAsia="Liberation Sans"/>
          <w:b/>
          <w:color w:val="2F3437"/>
          <w:sz w:val="32"/>
        </w:rPr>
        <w:t>15. La séquence clinique ROP en quatre niveaux</w:t>
      </w:r>
    </w:p>
    <w:p>
      <w:pPr>
        <w:pStyle w:val="BodyText"/>
        <w:widowControl/>
      </w:pPr>
      <w:r>
        <w:rPr>
          <w:rFonts w:ascii="Liberation Serif" w:hAnsi="Liberation Serif" w:eastAsia="Liberation Serif"/>
          <w:i w:val="0"/>
          <w:color w:val="2F3437"/>
          <w:sz w:val="21"/>
        </w:rPr>
        <w:t>Les diapositives proposent une séquence de haut en bas : crânien, sympathique, diaphragmatique, puis viscéral. Cette organisation ne prétend pas décrire une causalité anatomique directe. Elle constitue une cartographie clinique destinée à respecter la logique de la réponse au stress : perception de la menace, mobilisation, respiration, puis retour des fonctions de maintenance.</w:t>
      </w:r>
    </w:p>
    <w:p>
      <w:pPr>
        <w:pStyle w:val="Heading2"/>
        <w:keepNext/>
        <w:widowControl/>
      </w:pPr>
      <w:r>
        <w:rPr>
          <w:rFonts w:ascii="Liberation Sans" w:hAnsi="Liberation Sans" w:eastAsia="Liberation Sans"/>
          <w:b/>
          <w:color w:val="2C6B6F"/>
          <w:sz w:val="25"/>
        </w:rPr>
        <w:t>15.1. Niveau 1 : diminuer la persistance du signal</w:t>
      </w:r>
    </w:p>
    <w:p>
      <w:pPr>
        <w:pStyle w:val="BodyText"/>
        <w:widowControl/>
      </w:pPr>
      <w:r>
        <w:rPr>
          <w:rFonts w:ascii="Liberation Serif" w:hAnsi="Liberation Serif" w:eastAsia="Liberation Serif"/>
          <w:i w:val="0"/>
          <w:color w:val="2F3437"/>
          <w:sz w:val="21"/>
        </w:rPr>
        <w:t>Le premier niveau concerne les zones occipitales, la charnière crânio-cervicale, le tronc cérébral, certains nerfs crâniens et les repères associés au diencéphale et aux réseaux émotionnels. L’intention est de proposer une expérience corporelle stable, sans exigence d’action immédiate, afin de diminuer la persistance de l’alarme.</w:t>
      </w:r>
    </w:p>
    <w:p>
      <w:pPr>
        <w:pStyle w:val="ListBullet"/>
        <w:spacing w:after="40"/>
        <w:widowControl/>
      </w:pPr>
      <w:r>
        <w:rPr>
          <w:rFonts w:ascii="Liberation Serif" w:hAnsi="Liberation Serif" w:eastAsia="Liberation Serif"/>
          <w:b/>
          <w:color w:val="2F3437"/>
          <w:sz w:val="21"/>
        </w:rPr>
        <w:t>Repères ROP :</w:t>
      </w:r>
      <w:r>
        <w:rPr>
          <w:rFonts w:ascii="Liberation Serif" w:hAnsi="Liberation Serif" w:eastAsia="Liberation Serif"/>
          <w:color w:val="2F3437"/>
          <w:sz w:val="21"/>
        </w:rPr>
        <w:t xml:space="preserve"> zones occipitales ; occiput-C1-C2 ; tronc cérébral ; foramen magnum ; foramen jugulaire ; nerfs IX, X, XI et XII ; zones attribuées au système limbique, au diencéphale et à l’hypophyse.</w:t>
      </w:r>
    </w:p>
    <w:p>
      <w:pPr>
        <w:pStyle w:val="ListBullet"/>
        <w:spacing w:after="40"/>
        <w:widowControl/>
      </w:pPr>
      <w:r>
        <w:rPr>
          <w:rFonts w:ascii="Liberation Serif" w:hAnsi="Liberation Serif" w:eastAsia="Liberation Serif"/>
          <w:b/>
          <w:color w:val="2F3437"/>
          <w:sz w:val="21"/>
        </w:rPr>
        <w:t>Objectif clinique :</w:t>
      </w:r>
      <w:r>
        <w:rPr>
          <w:rFonts w:ascii="Liberation Serif" w:hAnsi="Liberation Serif" w:eastAsia="Liberation Serif"/>
          <w:color w:val="2F3437"/>
          <w:sz w:val="21"/>
        </w:rPr>
        <w:t xml:space="preserve"> réduire la vigilance tissulaire et offrir des signaux tactiles compatibles avec la sécurité.</w:t>
      </w:r>
    </w:p>
    <w:p>
      <w:pPr>
        <w:pStyle w:val="ListBullet"/>
        <w:spacing w:after="40"/>
        <w:widowControl/>
      </w:pPr>
      <w:r>
        <w:rPr>
          <w:rFonts w:ascii="Liberation Serif" w:hAnsi="Liberation Serif" w:eastAsia="Liberation Serif"/>
          <w:b/>
          <w:color w:val="2F3437"/>
          <w:sz w:val="21"/>
        </w:rPr>
        <w:t>Limite :</w:t>
      </w:r>
      <w:r>
        <w:rPr>
          <w:rFonts w:ascii="Liberation Serif" w:hAnsi="Liberation Serif" w:eastAsia="Liberation Serif"/>
          <w:color w:val="2F3437"/>
          <w:sz w:val="21"/>
        </w:rPr>
        <w:t xml:space="preserve"> la ROP ne traite pas directement l’amygdale, l’hypothalamus ou le cortex comme des structures accessibles à la palpation.</w:t>
      </w:r>
    </w:p>
    <w:p>
      <w:pPr>
        <w:pStyle w:val="Heading2"/>
        <w:keepNext/>
        <w:widowControl/>
      </w:pPr>
      <w:r>
        <w:rPr>
          <w:rFonts w:ascii="Liberation Sans" w:hAnsi="Liberation Sans" w:eastAsia="Liberation Sans"/>
          <w:b/>
          <w:color w:val="2C6B6F"/>
          <w:sz w:val="25"/>
        </w:rPr>
        <w:t>15.2. Niveau 2 : réduire la mobilisation devenue inutile</w:t>
      </w:r>
    </w:p>
    <w:p>
      <w:pPr>
        <w:pStyle w:val="BodyText"/>
        <w:widowControl/>
      </w:pPr>
      <w:r>
        <w:rPr>
          <w:rFonts w:ascii="Liberation Serif" w:hAnsi="Liberation Serif" w:eastAsia="Liberation Serif"/>
          <w:i w:val="0"/>
          <w:color w:val="2F3437"/>
          <w:sz w:val="21"/>
        </w:rPr>
        <w:t>Le deuxième niveau concerne l’expression sympathique de la réponse : tonus musculaire défensif, accélération cardiorespiratoire, vigilance excessive et soutien hormonal prolongé. Le but n’est pas d’inhiber le sympathique, mais d’accompagner la diminution d’une mobilisation qui n’est plus requise.</w:t>
      </w:r>
    </w:p>
    <w:p>
      <w:pPr>
        <w:pStyle w:val="ListBullet"/>
        <w:spacing w:after="40"/>
        <w:widowControl/>
      </w:pPr>
      <w:r>
        <w:rPr>
          <w:rFonts w:ascii="Liberation Serif" w:hAnsi="Liberation Serif" w:eastAsia="Liberation Serif"/>
          <w:b/>
          <w:color w:val="2F3437"/>
          <w:sz w:val="21"/>
        </w:rPr>
        <w:t>Repères ROP :</w:t>
      </w:r>
      <w:r>
        <w:rPr>
          <w:rFonts w:ascii="Liberation Serif" w:hAnsi="Liberation Serif" w:eastAsia="Liberation Serif"/>
          <w:color w:val="2F3437"/>
          <w:sz w:val="21"/>
        </w:rPr>
        <w:t xml:space="preserve"> chaîne sympathique cervico-thoracique ; charnière C7-T1 et première côte ; colonne thoracique ; zones surrénaliennes ; relations avec les axes SAM et HHS.</w:t>
      </w:r>
    </w:p>
    <w:p>
      <w:pPr>
        <w:pStyle w:val="ListBullet"/>
        <w:spacing w:after="40"/>
        <w:widowControl/>
      </w:pPr>
      <w:r>
        <w:rPr>
          <w:rFonts w:ascii="Liberation Serif" w:hAnsi="Liberation Serif" w:eastAsia="Liberation Serif"/>
          <w:b/>
          <w:color w:val="2F3437"/>
          <w:sz w:val="21"/>
        </w:rPr>
        <w:t>Objectif clinique :</w:t>
      </w:r>
      <w:r>
        <w:rPr>
          <w:rFonts w:ascii="Liberation Serif" w:hAnsi="Liberation Serif" w:eastAsia="Liberation Serif"/>
          <w:color w:val="2F3437"/>
          <w:sz w:val="21"/>
        </w:rPr>
        <w:t xml:space="preserve"> favoriser la baisse du tonus de défense et le retour vers une ligne de base plus souple.</w:t>
      </w:r>
    </w:p>
    <w:p>
      <w:pPr>
        <w:pStyle w:val="ListBullet"/>
        <w:spacing w:after="40"/>
        <w:widowControl/>
      </w:pPr>
      <w:r>
        <w:rPr>
          <w:rFonts w:ascii="Liberation Serif" w:hAnsi="Liberation Serif" w:eastAsia="Liberation Serif"/>
          <w:b/>
          <w:color w:val="2F3437"/>
          <w:sz w:val="21"/>
        </w:rPr>
        <w:t>Limite :</w:t>
      </w:r>
      <w:r>
        <w:rPr>
          <w:rFonts w:ascii="Liberation Serif" w:hAnsi="Liberation Serif" w:eastAsia="Liberation Serif"/>
          <w:color w:val="2F3437"/>
          <w:sz w:val="21"/>
        </w:rPr>
        <w:t xml:space="preserve"> une séance ne permet pas de conclure à une normalisation du cortisol ou de l’axe HHS sans mesures biologiques.</w:t>
      </w:r>
    </w:p>
    <w:p>
      <w:pPr>
        <w:pStyle w:val="Heading2"/>
        <w:keepNext/>
        <w:widowControl/>
      </w:pPr>
      <w:r>
        <w:rPr>
          <w:rFonts w:ascii="Liberation Sans" w:hAnsi="Liberation Sans" w:eastAsia="Liberation Sans"/>
          <w:b/>
          <w:color w:val="2C6B6F"/>
          <w:sz w:val="25"/>
        </w:rPr>
        <w:t>15.3. Niveau 3 : restaurer la disponibilité respiratoire</w:t>
      </w:r>
    </w:p>
    <w:p>
      <w:pPr>
        <w:pStyle w:val="BodyText"/>
        <w:widowControl/>
      </w:pPr>
      <w:r>
        <w:rPr>
          <w:rFonts w:ascii="Liberation Serif" w:hAnsi="Liberation Serif" w:eastAsia="Liberation Serif"/>
          <w:i w:val="0"/>
          <w:color w:val="2F3437"/>
          <w:sz w:val="21"/>
        </w:rPr>
        <w:t>La respiration est à la fois une fonction automatique et une voie d’influence volontaire. Sous stress, elle peut devenir haute, rapide, irrégulière ou bloquée. Les tensions du diaphragme, des muscles inspirateurs accessoires et du hiatus œsophagien participent aux sensations d’oppression et peuvent entretenir une interoception d’alarme.</w:t>
      </w:r>
    </w:p>
    <w:p>
      <w:pPr>
        <w:pStyle w:val="ListBullet"/>
        <w:spacing w:after="40"/>
        <w:widowControl/>
      </w:pPr>
      <w:r>
        <w:rPr>
          <w:rFonts w:ascii="Liberation Serif" w:hAnsi="Liberation Serif" w:eastAsia="Liberation Serif"/>
          <w:b/>
          <w:color w:val="2F3437"/>
          <w:sz w:val="21"/>
        </w:rPr>
        <w:t>Repères ROP :</w:t>
      </w:r>
      <w:r>
        <w:rPr>
          <w:rFonts w:ascii="Liberation Serif" w:hAnsi="Liberation Serif" w:eastAsia="Liberation Serif"/>
          <w:color w:val="2F3437"/>
          <w:sz w:val="21"/>
        </w:rPr>
        <w:t xml:space="preserve"> nerf phrénique C3-C5 ; diaphragme ; piliers ; hiatus œsophagien ; plexus cardio-pulmonaires ; trajet thoracique du nerf vague.</w:t>
      </w:r>
    </w:p>
    <w:p>
      <w:pPr>
        <w:pStyle w:val="ListBullet"/>
        <w:spacing w:after="40"/>
        <w:widowControl/>
      </w:pPr>
      <w:r>
        <w:rPr>
          <w:rFonts w:ascii="Liberation Serif" w:hAnsi="Liberation Serif" w:eastAsia="Liberation Serif"/>
          <w:b/>
          <w:color w:val="2F3437"/>
          <w:sz w:val="21"/>
        </w:rPr>
        <w:t>Objectif clinique :</w:t>
      </w:r>
      <w:r>
        <w:rPr>
          <w:rFonts w:ascii="Liberation Serif" w:hAnsi="Liberation Serif" w:eastAsia="Liberation Serif"/>
          <w:color w:val="2F3437"/>
          <w:sz w:val="21"/>
        </w:rPr>
        <w:t xml:space="preserve"> rendre la respiration moins coûteuse et plus disponible, sans imposer une amplitude excessive.</w:t>
      </w:r>
    </w:p>
    <w:p>
      <w:pPr>
        <w:pStyle w:val="ListBullet"/>
        <w:spacing w:after="40"/>
        <w:widowControl/>
      </w:pPr>
      <w:r>
        <w:rPr>
          <w:rFonts w:ascii="Liberation Serif" w:hAnsi="Liberation Serif" w:eastAsia="Liberation Serif"/>
          <w:b/>
          <w:color w:val="2F3437"/>
          <w:sz w:val="21"/>
        </w:rPr>
        <w:t>Appui scientifique indirect :</w:t>
      </w:r>
      <w:r>
        <w:rPr>
          <w:rFonts w:ascii="Liberation Serif" w:hAnsi="Liberation Serif" w:eastAsia="Liberation Serif"/>
          <w:color w:val="2F3437"/>
          <w:sz w:val="21"/>
        </w:rPr>
        <w:t xml:space="preserve"> les interventions respiratoires diaphragmatiques peuvent réduire certains marqueurs physiologiques et subjectifs de stress, avec une qualité de preuve encore variable [10].</w:t>
      </w:r>
    </w:p>
    <w:p>
      <w:pPr>
        <w:pStyle w:val="Heading2"/>
        <w:keepNext/>
        <w:widowControl/>
      </w:pPr>
      <w:r>
        <w:rPr>
          <w:rFonts w:ascii="Liberation Sans" w:hAnsi="Liberation Sans" w:eastAsia="Liberation Sans"/>
          <w:b/>
          <w:color w:val="2C6B6F"/>
          <w:sz w:val="25"/>
        </w:rPr>
        <w:t>15.4. Niveau 4 : permettre le retour des fonctions viscérales</w:t>
      </w:r>
    </w:p>
    <w:p>
      <w:pPr>
        <w:pStyle w:val="BodyText"/>
        <w:widowControl/>
      </w:pPr>
      <w:r>
        <w:rPr>
          <w:rFonts w:ascii="Liberation Serif" w:hAnsi="Liberation Serif" w:eastAsia="Liberation Serif"/>
          <w:i w:val="0"/>
          <w:color w:val="2F3437"/>
          <w:sz w:val="21"/>
        </w:rPr>
        <w:t>Une fois l’urgence réduite, l’organisme peut réinvestir les fonctions digestives, l’assimilation, l’élimination, le sommeil et la réparation. Le niveau viscéral concerne la convergence des voies vagales et sympathiques autour du plexus cœliaque, des nerfs splanchniques, du système nerveux entérique et des plexus pelviens.</w:t>
      </w:r>
    </w:p>
    <w:p>
      <w:pPr>
        <w:pStyle w:val="ListBullet"/>
        <w:spacing w:after="40"/>
        <w:widowControl/>
      </w:pPr>
      <w:r>
        <w:rPr>
          <w:rFonts w:ascii="Liberation Serif" w:hAnsi="Liberation Serif" w:eastAsia="Liberation Serif"/>
          <w:b/>
          <w:color w:val="2F3437"/>
          <w:sz w:val="21"/>
        </w:rPr>
        <w:t>Repères ROP :</w:t>
      </w:r>
      <w:r>
        <w:rPr>
          <w:rFonts w:ascii="Liberation Serif" w:hAnsi="Liberation Serif" w:eastAsia="Liberation Serif"/>
          <w:color w:val="2F3437"/>
          <w:sz w:val="21"/>
        </w:rPr>
        <w:t xml:space="preserve"> nerf vague abdominal ; plexus cœliaque ; chaîne prévertébrale ; nerfs splanchniques ; intestin ; plexus hypogastriques ; parasympathique pelvien S2-S4.</w:t>
      </w:r>
    </w:p>
    <w:p>
      <w:pPr>
        <w:pStyle w:val="ListBullet"/>
        <w:spacing w:after="40"/>
        <w:widowControl/>
      </w:pPr>
      <w:r>
        <w:rPr>
          <w:rFonts w:ascii="Liberation Serif" w:hAnsi="Liberation Serif" w:eastAsia="Liberation Serif"/>
          <w:b/>
          <w:color w:val="2F3437"/>
          <w:sz w:val="21"/>
        </w:rPr>
        <w:t>Objectif clinique :</w:t>
      </w:r>
      <w:r>
        <w:rPr>
          <w:rFonts w:ascii="Liberation Serif" w:hAnsi="Liberation Serif" w:eastAsia="Liberation Serif"/>
          <w:color w:val="2F3437"/>
          <w:sz w:val="21"/>
        </w:rPr>
        <w:t xml:space="preserve"> créer un contexte autonome plus favorable à la motricité digestive, au repos et aux fonctions de maintenance.</w:t>
      </w:r>
    </w:p>
    <w:p>
      <w:pPr>
        <w:pStyle w:val="ListBullet"/>
        <w:spacing w:after="40"/>
        <w:widowControl/>
      </w:pPr>
      <w:r>
        <w:rPr>
          <w:rFonts w:ascii="Liberation Serif" w:hAnsi="Liberation Serif" w:eastAsia="Liberation Serif"/>
          <w:b/>
          <w:color w:val="2F3437"/>
          <w:sz w:val="21"/>
        </w:rPr>
        <w:t>Limite :</w:t>
      </w:r>
      <w:r>
        <w:rPr>
          <w:rFonts w:ascii="Liberation Serif" w:hAnsi="Liberation Serif" w:eastAsia="Liberation Serif"/>
          <w:color w:val="2F3437"/>
          <w:sz w:val="21"/>
        </w:rPr>
        <w:t xml:space="preserve"> les troubles digestifs persistants, les pertes de poids, les saignements, la fièvre ou les douleurs inhabituelles nécessitent une évaluation médicale.</w:t>
      </w:r>
    </w:p>
    <w:tbl>
      <w:tblPr>
        <w:tblW w:type="auto" w:w="0"/>
        <w:jc w:val="center"/>
        <w:tblLayout w:type="autofit"/>
        <w:tblLook w:firstColumn="1" w:firstRow="1" w:lastColumn="0" w:lastRow="0" w:noHBand="0" w:noVBand="1" w:val="04A0"/>
      </w:tblPr>
      <w:tblGrid>
        <w:gridCol w:w="9524"/>
      </w:tblGrid>
      <w:tr>
        <w:tc>
          <w:tcPr>
            <w:tcW w:type="dxa" w:w="9524"/>
            <w:shd w:fill="F2E3E1"/>
            <w:tcBorders>
              <w:top w:val="single" w:sz="8" w:color="B97878"/>
              <w:left w:val="single" w:sz="12" w:color="B97878"/>
              <w:bottom w:val="single" w:sz="8" w:color="B97878"/>
              <w:right w:val="single" w:sz="8" w:color="B97878"/>
            </w:tcBorders>
            <w:vAlign w:val="center"/>
          </w:tcPr>
          <w:p>
            <w:pPr>
              <w:spacing w:after="60"/>
            </w:pPr>
            <w:r>
              <w:rPr>
                <w:rFonts w:ascii="Liberation Sans" w:hAnsi="Liberation Sans" w:eastAsia="Liberation Sans"/>
                <w:b/>
                <w:color w:val="B97878"/>
                <w:sz w:val="20"/>
              </w:rPr>
              <w:t>SÉQUENCE SYNTHÉTIQUE</w:t>
            </w:r>
          </w:p>
          <w:p>
            <w:pPr>
              <w:spacing w:after="0" w:line="259" w:lineRule="auto"/>
            </w:pPr>
            <w:r>
              <w:rPr>
                <w:rFonts w:ascii="Liberation Serif" w:hAnsi="Liberation Serif" w:eastAsia="Liberation Serif"/>
                <w:color w:val="2F3437"/>
                <w:sz w:val="20"/>
              </w:rPr>
              <w:t>1. Diminuer la persistance du signal → 2. Réduire la mobilisation devenue inutile → 3. Restaurer la disponibilité respiratoire → 4. Permettre le retour des fonctions viscérales et restauratrices.</w:t>
            </w:r>
          </w:p>
        </w:tc>
      </w:tr>
    </w:tbl>
    <w:p>
      <w:pPr>
        <w:spacing w:after="0"/>
        <w:widowControl/>
      </w:pPr>
    </w:p>
    <w:p>
      <w:pPr>
        <w:pStyle w:val="Heading1"/>
        <w:keepNext/>
        <w:widowControl/>
      </w:pPr>
      <w:r>
        <w:rPr>
          <w:rFonts w:ascii="Liberation Sans" w:hAnsi="Liberation Sans" w:eastAsia="Liberation Sans"/>
          <w:b/>
          <w:color w:val="2F3437"/>
          <w:sz w:val="32"/>
        </w:rPr>
        <w:t>16. Réactions après séance, récupération et loi de Hering</w:t>
      </w:r>
    </w:p>
    <w:p>
      <w:pPr>
        <w:pStyle w:val="BodyText"/>
        <w:widowControl/>
      </w:pPr>
      <w:r>
        <w:rPr>
          <w:rFonts w:ascii="Liberation Serif" w:hAnsi="Liberation Serif" w:eastAsia="Liberation Serif"/>
          <w:i w:val="0"/>
          <w:color w:val="2F3437"/>
          <w:sz w:val="21"/>
        </w:rPr>
        <w:t>La tradition ROP décrit parfois une fatigue, une recrudescence passagère de douleurs, des modifications du transit, des rêves ou des émotions après une séance. Ces réactions peuvent correspondre à une modification du tonus, à la relaxation, à l’attention accrue portée au corps, au contexte relationnel ou à une stimulation trop importante.</w:t>
      </w:r>
    </w:p>
    <w:p>
      <w:pPr>
        <w:pStyle w:val="BodyText"/>
        <w:widowControl/>
      </w:pPr>
      <w:r>
        <w:rPr>
          <w:rFonts w:ascii="Liberation Serif" w:hAnsi="Liberation Serif" w:eastAsia="Liberation Serif"/>
          <w:i w:val="0"/>
          <w:color w:val="2F3437"/>
          <w:sz w:val="21"/>
        </w:rPr>
        <w:t>La loi de Hering, souvent résumée par une évolution des symptômes « du haut vers le bas, du dedans vers le dehors et du chronique vers l’aigu », appartient à l’histoire de l’homéopathie et n’est pas reconnue comme une loi générale de guérison par la médecine fondée sur les preuves. Elle peut être conservée comme repère historique de la méthode, mais ne doit pas servir à interpréter automatiquement toute aggravation comme positive.</w:t>
      </w:r>
    </w:p>
    <w:p>
      <w:pPr>
        <w:pStyle w:val="BodyText"/>
        <w:widowControl/>
      </w:pPr>
      <w:r>
        <w:rPr>
          <w:rFonts w:ascii="Liberation Serif" w:hAnsi="Liberation Serif" w:eastAsia="Liberation Serif"/>
          <w:i w:val="0"/>
          <w:color w:val="2F3437"/>
          <w:sz w:val="21"/>
        </w:rPr>
        <w:t>Une réaction légère et brève peut être simplement surveillée. Une aggravation intense, prolongée, répétée ou associée à des signes neurologiques, cardiorespiratoires, infectieux ou digestifs inhabituels impose l’arrêt du protocole et une orientation adaptée.</w:t>
      </w:r>
    </w:p>
    <w:tbl>
      <w:tblPr>
        <w:tblW w:type="auto" w:w="0"/>
        <w:jc w:val="center"/>
        <w:tblLayout w:type="autofit"/>
        <w:tblLook w:firstColumn="1" w:firstRow="1" w:lastColumn="0" w:lastRow="0" w:noHBand="0" w:noVBand="1" w:val="04A0"/>
      </w:tblPr>
      <w:tblGrid>
        <w:gridCol w:w="9524"/>
      </w:tblGrid>
      <w:tr>
        <w:tc>
          <w:tcPr>
            <w:tcW w:type="dxa" w:w="9524"/>
            <w:shd w:fill="F1F1F1"/>
            <w:tcBorders>
              <w:top w:val="single" w:sz="8" w:color="6F777A"/>
              <w:left w:val="single" w:sz="12" w:color="6F777A"/>
              <w:bottom w:val="single" w:sz="8" w:color="6F777A"/>
              <w:right w:val="single" w:sz="8" w:color="6F777A"/>
            </w:tcBorders>
            <w:vAlign w:val="center"/>
          </w:tcPr>
          <w:p>
            <w:pPr>
              <w:spacing w:after="60"/>
            </w:pPr>
            <w:r>
              <w:rPr>
                <w:rFonts w:ascii="Liberation Sans" w:hAnsi="Liberation Sans" w:eastAsia="Liberation Sans"/>
                <w:b/>
                <w:color w:val="6F777A"/>
                <w:sz w:val="20"/>
              </w:rPr>
              <w:t>RÈGLE DE SÉCURITÉ</w:t>
            </w:r>
          </w:p>
          <w:p>
            <w:pPr>
              <w:spacing w:after="0" w:line="259" w:lineRule="auto"/>
            </w:pPr>
            <w:r>
              <w:rPr>
                <w:rFonts w:ascii="Liberation Serif" w:hAnsi="Liberation Serif" w:eastAsia="Liberation Serif"/>
                <w:color w:val="2F3437"/>
                <w:sz w:val="20"/>
              </w:rPr>
              <w:t>Une réaction post-séance n’est pas une preuve de guérison. Elle doit être évaluée selon son intensité, sa durée, son impact fonctionnel et le contexte médical du patient.</w:t>
            </w:r>
          </w:p>
        </w:tc>
      </w:tr>
    </w:tbl>
    <w:p>
      <w:pPr>
        <w:spacing w:after="0"/>
        <w:widowControl/>
      </w:pPr>
    </w:p>
    <w:p>
      <w:pPr>
        <w:pStyle w:val="Heading1"/>
        <w:keepNext/>
        <w:widowControl/>
      </w:pPr>
      <w:r>
        <w:rPr>
          <w:rFonts w:ascii="Liberation Sans" w:hAnsi="Liberation Sans" w:eastAsia="Liberation Sans"/>
          <w:b/>
          <w:color w:val="2F3437"/>
          <w:sz w:val="32"/>
        </w:rPr>
        <w:t>17. La place de la ROP selon le stade d’adaptation</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3175"/>
            <w:shd w:fill="2C6B6F"/>
          </w:tcPr>
          <w:p>
            <w:pPr>
              <w:jc w:val="center"/>
            </w:pPr>
            <w:r>
              <w:rPr>
                <w:rFonts w:ascii="Liberation Sans" w:hAnsi="Liberation Sans" w:eastAsia="Liberation Sans"/>
                <w:b/>
                <w:color w:val="FFFFFF"/>
                <w:sz w:val="18"/>
              </w:rPr>
              <w:t>Stade</w:t>
            </w:r>
          </w:p>
        </w:tc>
        <w:tc>
          <w:tcPr>
            <w:tcW w:type="dxa" w:w="3175"/>
            <w:shd w:fill="2C6B6F"/>
          </w:tcPr>
          <w:p>
            <w:pPr>
              <w:jc w:val="center"/>
            </w:pPr>
            <w:r>
              <w:rPr>
                <w:rFonts w:ascii="Liberation Sans" w:hAnsi="Liberation Sans" w:eastAsia="Liberation Sans"/>
                <w:b/>
                <w:color w:val="FFFFFF"/>
                <w:sz w:val="18"/>
              </w:rPr>
              <w:t>Lecture clinique</w:t>
            </w:r>
          </w:p>
        </w:tc>
        <w:tc>
          <w:tcPr>
            <w:tcW w:type="dxa" w:w="3175"/>
            <w:shd w:fill="2C6B6F"/>
          </w:tcPr>
          <w:p>
            <w:pPr>
              <w:jc w:val="center"/>
            </w:pPr>
            <w:r>
              <w:rPr>
                <w:rFonts w:ascii="Liberation Sans" w:hAnsi="Liberation Sans" w:eastAsia="Liberation Sans"/>
                <w:b/>
                <w:color w:val="FFFFFF"/>
                <w:sz w:val="18"/>
              </w:rPr>
              <w:t>Place de la ROP</w:t>
            </w:r>
          </w:p>
        </w:tc>
      </w:tr>
      <w:tr>
        <w:tc>
          <w:tcPr>
            <w:tcW w:type="dxa" w:w="3175"/>
            <w:shd w:fill="F7F7F5"/>
          </w:tcPr>
          <w:p>
            <w:pPr>
              <w:spacing w:after="0"/>
            </w:pPr>
            <w:r>
              <w:rPr>
                <w:rFonts w:ascii="Liberation Serif" w:hAnsi="Liberation Serif" w:eastAsia="Liberation Serif"/>
                <w:color w:val="2F3437"/>
                <w:sz w:val="19"/>
              </w:rPr>
              <w:t>Adaptation aiguë</w:t>
            </w:r>
          </w:p>
        </w:tc>
        <w:tc>
          <w:tcPr>
            <w:tcW w:type="dxa" w:w="3175"/>
            <w:shd w:fill="F7F7F5"/>
          </w:tcPr>
          <w:p>
            <w:pPr>
              <w:spacing w:after="0"/>
            </w:pPr>
            <w:r>
              <w:rPr>
                <w:rFonts w:ascii="Liberation Serif" w:hAnsi="Liberation Serif" w:eastAsia="Liberation Serif"/>
                <w:color w:val="2F3437"/>
                <w:sz w:val="19"/>
              </w:rPr>
              <w:t>Réponse proportionnée, retour spontané à l’équilibre</w:t>
            </w:r>
          </w:p>
        </w:tc>
        <w:tc>
          <w:tcPr>
            <w:tcW w:type="dxa" w:w="3175"/>
            <w:shd w:fill="F7F7F5"/>
          </w:tcPr>
          <w:p>
            <w:pPr>
              <w:spacing w:after="0"/>
            </w:pPr>
            <w:r>
              <w:rPr>
                <w:rFonts w:ascii="Liberation Serif" w:hAnsi="Liberation Serif" w:eastAsia="Liberation Serif"/>
                <w:color w:val="2F3437"/>
                <w:sz w:val="19"/>
              </w:rPr>
              <w:t>Soutien du confort et de la récupération ; intervention parfois inutile si le système se régule seul</w:t>
            </w:r>
          </w:p>
        </w:tc>
      </w:tr>
      <w:tr>
        <w:tc>
          <w:tcPr>
            <w:tcW w:type="dxa" w:w="3175"/>
          </w:tcPr>
          <w:p>
            <w:pPr>
              <w:spacing w:after="0"/>
            </w:pPr>
            <w:r>
              <w:rPr>
                <w:rFonts w:ascii="Liberation Serif" w:hAnsi="Liberation Serif" w:eastAsia="Liberation Serif"/>
                <w:color w:val="2F3437"/>
                <w:sz w:val="19"/>
              </w:rPr>
              <w:t>Trouble fonctionnel</w:t>
            </w:r>
          </w:p>
        </w:tc>
        <w:tc>
          <w:tcPr>
            <w:tcW w:type="dxa" w:w="3175"/>
          </w:tcPr>
          <w:p>
            <w:pPr>
              <w:spacing w:after="0"/>
            </w:pPr>
            <w:r>
              <w:rPr>
                <w:rFonts w:ascii="Liberation Serif" w:hAnsi="Liberation Serif" w:eastAsia="Liberation Serif"/>
                <w:color w:val="2F3437"/>
                <w:sz w:val="19"/>
              </w:rPr>
              <w:t>Alarme persistante, symptômes réversibles, intégrité anatomique globalement préservée</w:t>
            </w:r>
          </w:p>
        </w:tc>
        <w:tc>
          <w:tcPr>
            <w:tcW w:type="dxa" w:w="3175"/>
          </w:tcPr>
          <w:p>
            <w:pPr>
              <w:spacing w:after="0"/>
            </w:pPr>
            <w:r>
              <w:rPr>
                <w:rFonts w:ascii="Liberation Serif" w:hAnsi="Liberation Serif" w:eastAsia="Liberation Serif"/>
                <w:color w:val="2F3437"/>
                <w:sz w:val="19"/>
              </w:rPr>
              <w:t>Champ d’intervention privilégié : dosage, flexibilité autonome, respiration, confort viscéral</w:t>
            </w:r>
          </w:p>
        </w:tc>
      </w:tr>
      <w:tr>
        <w:tc>
          <w:tcPr>
            <w:tcW w:type="dxa" w:w="3175"/>
            <w:shd w:fill="F7F7F5"/>
          </w:tcPr>
          <w:p>
            <w:pPr>
              <w:spacing w:after="0"/>
            </w:pPr>
            <w:r>
              <w:rPr>
                <w:rFonts w:ascii="Liberation Serif" w:hAnsi="Liberation Serif" w:eastAsia="Liberation Serif"/>
                <w:color w:val="2F3437"/>
                <w:sz w:val="19"/>
              </w:rPr>
              <w:t>Pathologie chronique structurée</w:t>
            </w:r>
          </w:p>
        </w:tc>
        <w:tc>
          <w:tcPr>
            <w:tcW w:type="dxa" w:w="3175"/>
            <w:shd w:fill="F7F7F5"/>
          </w:tcPr>
          <w:p>
            <w:pPr>
              <w:spacing w:after="0"/>
            </w:pPr>
            <w:r>
              <w:rPr>
                <w:rFonts w:ascii="Liberation Serif" w:hAnsi="Liberation Serif" w:eastAsia="Liberation Serif"/>
                <w:color w:val="2F3437"/>
                <w:sz w:val="19"/>
              </w:rPr>
              <w:t>Lésions, maladie installée, réversibilité limitée</w:t>
            </w:r>
          </w:p>
        </w:tc>
        <w:tc>
          <w:tcPr>
            <w:tcW w:type="dxa" w:w="3175"/>
            <w:shd w:fill="F7F7F5"/>
          </w:tcPr>
          <w:p>
            <w:pPr>
              <w:spacing w:after="0"/>
            </w:pPr>
            <w:r>
              <w:rPr>
                <w:rFonts w:ascii="Liberation Serif" w:hAnsi="Liberation Serif" w:eastAsia="Liberation Serif"/>
                <w:color w:val="2F3437"/>
                <w:sz w:val="19"/>
              </w:rPr>
              <w:t>Approche intégrative de support, en complément du suivi médical</w:t>
            </w:r>
          </w:p>
        </w:tc>
      </w:tr>
      <w:tr>
        <w:tc>
          <w:tcPr>
            <w:tcW w:type="dxa" w:w="3175"/>
          </w:tcPr>
          <w:p>
            <w:pPr>
              <w:spacing w:after="0"/>
            </w:pPr>
            <w:r>
              <w:rPr>
                <w:rFonts w:ascii="Liberation Serif" w:hAnsi="Liberation Serif" w:eastAsia="Liberation Serif"/>
                <w:color w:val="2F3437"/>
                <w:sz w:val="19"/>
              </w:rPr>
              <w:t>État instable ou urgence</w:t>
            </w:r>
          </w:p>
        </w:tc>
        <w:tc>
          <w:tcPr>
            <w:tcW w:type="dxa" w:w="3175"/>
          </w:tcPr>
          <w:p>
            <w:pPr>
              <w:spacing w:after="0"/>
            </w:pPr>
            <w:r>
              <w:rPr>
                <w:rFonts w:ascii="Liberation Serif" w:hAnsi="Liberation Serif" w:eastAsia="Liberation Serif"/>
                <w:color w:val="2F3437"/>
                <w:sz w:val="19"/>
              </w:rPr>
              <w:t>Signes graves, décompensation, douleur aiguë inhabituelle</w:t>
            </w:r>
          </w:p>
        </w:tc>
        <w:tc>
          <w:tcPr>
            <w:tcW w:type="dxa" w:w="3175"/>
          </w:tcPr>
          <w:p>
            <w:pPr>
              <w:spacing w:after="0"/>
            </w:pPr>
            <w:r>
              <w:rPr>
                <w:rFonts w:ascii="Liberation Serif" w:hAnsi="Liberation Serif" w:eastAsia="Liberation Serif"/>
                <w:color w:val="2F3437"/>
                <w:sz w:val="19"/>
              </w:rPr>
              <w:t>ROP non prioritaire ; évaluation médicale ou urgence</w:t>
            </w:r>
          </w:p>
        </w:tc>
      </w:tr>
    </w:tbl>
    <w:p>
      <w:pPr>
        <w:spacing w:after="0"/>
        <w:widowControl/>
      </w:pPr>
    </w:p>
    <w:p>
      <w:pPr>
        <w:pStyle w:val="BodyText"/>
        <w:widowControl/>
      </w:pPr>
      <w:r>
        <w:rPr>
          <w:rFonts w:ascii="Liberation Serif" w:hAnsi="Liberation Serif" w:eastAsia="Liberation Serif"/>
          <w:i w:val="0"/>
          <w:color w:val="2F3437"/>
          <w:sz w:val="21"/>
        </w:rPr>
        <w:t>Cette gradation évite deux erreurs opposées : renoncer à toute intervention dès qu’une maladie chronique existe, ou promettre une action curative sur des lésions fixées. La ROP peut conserver une place d’accompagnement, notamment sur la douleur, la détente, la perception corporelle ou la qualité de vie, sans se substituer aux traitements nécessaires.</w:t>
      </w:r>
    </w:p>
    <w:p>
      <w:pPr>
        <w:pStyle w:val="Heading1"/>
        <w:keepNext/>
        <w:widowControl/>
      </w:pPr>
      <w:r>
        <w:rPr>
          <w:rFonts w:ascii="Liberation Sans" w:hAnsi="Liberation Sans" w:eastAsia="Liberation Sans"/>
          <w:b/>
          <w:color w:val="2F3437"/>
          <w:sz w:val="32"/>
        </w:rPr>
        <w:t>18. Illustration clinique : fibromyalgie et charge allostatique</w:t>
      </w:r>
    </w:p>
    <w:p>
      <w:pPr>
        <w:pStyle w:val="BodyText"/>
        <w:widowControl/>
      </w:pPr>
      <w:r>
        <w:rPr>
          <w:rFonts w:ascii="Liberation Serif" w:hAnsi="Liberation Serif" w:eastAsia="Liberation Serif"/>
          <w:i w:val="0"/>
          <w:color w:val="2F3437"/>
          <w:sz w:val="21"/>
        </w:rPr>
        <w:t>La fibromyalgie associe douleur diffuse, fatigue, troubles du sommeil, difficultés cognitives et hypersensibilité. Elle ne peut pas être expliquée par le seul stress, ni réduite à un épuisement hormonal. Les données actuelles impliquent des modifications de la modulation de la douleur, du sommeil, de l’activité autonome, de l’attention corporelle et de nombreux facteurs individuels.</w:t>
      </w:r>
    </w:p>
    <w:p>
      <w:pPr>
        <w:pStyle w:val="BodyText"/>
        <w:widowControl/>
      </w:pPr>
      <w:r>
        <w:rPr>
          <w:rFonts w:ascii="Liberation Serif" w:hAnsi="Liberation Serif" w:eastAsia="Liberation Serif"/>
          <w:i w:val="0"/>
          <w:color w:val="2F3437"/>
          <w:sz w:val="21"/>
        </w:rPr>
        <w:t>Dans une lecture allostatique, le stress chronique, la douleur et l’insomnie peuvent former une boucle : la douleur perturbe le sommeil ; le manque de sommeil augmente la sensibilité douloureuse ; l’inquiétude et l’évitement renforcent la vigilance ; les tensions musculaires et respiratoires entretiennent les signaux corporels d’alarme.</w:t>
      </w:r>
    </w:p>
    <w:p>
      <w:pPr>
        <w:pStyle w:val="BodyText"/>
        <w:widowControl/>
      </w:pPr>
      <w:r>
        <w:rPr>
          <w:rFonts w:ascii="Liberation Serif" w:hAnsi="Liberation Serif" w:eastAsia="Liberation Serif"/>
          <w:i w:val="0"/>
          <w:color w:val="2F3437"/>
          <w:sz w:val="21"/>
        </w:rPr>
        <w:t>L’intérêt potentiel de la ROP se situe alors dans une intervention douce, progressive et intégrative : réduire l’hypervigilance corporelle, favoriser une respiration plus disponible, soutenir le repos et éviter la surstimulation. Les objectifs doivent être fonctionnels et mesurables : qualité du sommeil, fatigue, tolérance à l’activité, intensité de la douleur, récupération après effort et qualité de vie.</w:t>
      </w:r>
    </w:p>
    <w:tbl>
      <w:tblPr>
        <w:tblW w:type="auto" w:w="0"/>
        <w:jc w:val="center"/>
        <w:tblLayout w:type="autofit"/>
        <w:tblLook w:firstColumn="1" w:firstRow="1" w:lastColumn="0" w:lastRow="0" w:noHBand="0" w:noVBand="1" w:val="04A0"/>
      </w:tblPr>
      <w:tblGrid>
        <w:gridCol w:w="9524"/>
      </w:tblGrid>
      <w:tr>
        <w:tc>
          <w:tcPr>
            <w:tcW w:type="dxa" w:w="9524"/>
            <w:shd w:fill="F1F1F1"/>
            <w:tcBorders>
              <w:top w:val="single" w:sz="8" w:color="6F777A"/>
              <w:left w:val="single" w:sz="12" w:color="6F777A"/>
              <w:bottom w:val="single" w:sz="8" w:color="6F777A"/>
              <w:right w:val="single" w:sz="8" w:color="6F777A"/>
            </w:tcBorders>
            <w:vAlign w:val="center"/>
          </w:tcPr>
          <w:p>
            <w:pPr>
              <w:spacing w:after="60"/>
            </w:pPr>
            <w:r>
              <w:rPr>
                <w:rFonts w:ascii="Liberation Sans" w:hAnsi="Liberation Sans" w:eastAsia="Liberation Sans"/>
                <w:b/>
                <w:color w:val="6F777A"/>
                <w:sz w:val="20"/>
              </w:rPr>
              <w:t>PRUDENCE CLINIQUE</w:t>
            </w:r>
          </w:p>
          <w:p>
            <w:pPr>
              <w:spacing w:after="0" w:line="259" w:lineRule="auto"/>
            </w:pPr>
            <w:r>
              <w:rPr>
                <w:rFonts w:ascii="Liberation Serif" w:hAnsi="Liberation Serif" w:eastAsia="Liberation Serif"/>
                <w:color w:val="2F3437"/>
                <w:sz w:val="20"/>
              </w:rPr>
              <w:t>Chez les patients hypersensibles, une stimulation forte peut ajouter de la charge. La progression doit être lente, avec réévaluation systématique de la réponse dans les heures et les jours qui suivent.</w:t>
            </w:r>
          </w:p>
        </w:tc>
      </w:tr>
    </w:tbl>
    <w:p>
      <w:pPr>
        <w:spacing w:after="0"/>
        <w:widowControl/>
      </w:pPr>
    </w:p>
    <w:p>
      <w:pPr>
        <w:pStyle w:val="Heading1"/>
        <w:keepNext/>
        <w:widowControl/>
      </w:pPr>
      <w:r>
        <w:rPr>
          <w:rFonts w:ascii="Liberation Sans" w:hAnsi="Liberation Sans" w:eastAsia="Liberation Sans"/>
          <w:b/>
          <w:color w:val="2F3437"/>
          <w:sz w:val="32"/>
        </w:rPr>
        <w:t>19. Vers une recherche sur la cinétique de récupération</w:t>
      </w:r>
    </w:p>
    <w:p>
      <w:pPr>
        <w:pStyle w:val="BodyText"/>
        <w:widowControl/>
      </w:pPr>
      <w:r>
        <w:rPr>
          <w:rFonts w:ascii="Liberation Serif" w:hAnsi="Liberation Serif" w:eastAsia="Liberation Serif"/>
          <w:i w:val="0"/>
          <w:color w:val="2F3437"/>
          <w:sz w:val="21"/>
        </w:rPr>
        <w:t>L’hypothèse la plus rigoureuse n’est pas que la ROP « augmente l’énergie » ou « stimule les mitochondries ». Elle est qu’une séance standardisée pourrait améliorer la récupération autonome après un stresseur, en réduisant la durée de la réponse physiologique et subjective.</w:t>
      </w:r>
    </w:p>
    <w:p>
      <w:pPr>
        <w:pStyle w:val="Heading2"/>
        <w:keepNext/>
        <w:widowControl/>
      </w:pPr>
      <w:r>
        <w:rPr>
          <w:rFonts w:ascii="Liberation Sans" w:hAnsi="Liberation Sans" w:eastAsia="Liberation Sans"/>
          <w:b/>
          <w:color w:val="2C6B6F"/>
          <w:sz w:val="25"/>
        </w:rPr>
        <w:t>19.1. Hypothèse principale</w:t>
      </w:r>
    </w:p>
    <w:tbl>
      <w:tblPr>
        <w:tblW w:type="auto" w:w="0"/>
        <w:jc w:val="center"/>
        <w:tblLayout w:type="autofit"/>
        <w:tblLook w:firstColumn="1" w:firstRow="1" w:lastColumn="0" w:lastRow="0" w:noHBand="0" w:noVBand="1" w:val="04A0"/>
      </w:tblPr>
      <w:tblGrid>
        <w:gridCol w:w="9524"/>
      </w:tblGrid>
      <w:tr>
        <w:tc>
          <w:tcPr>
            <w:tcW w:type="dxa" w:w="9524"/>
            <w:shd w:fill="EAF0F4"/>
            <w:tcBorders>
              <w:top w:val="single" w:sz="8" w:color="4A7087"/>
              <w:left w:val="single" w:sz="12" w:color="4A7087"/>
              <w:bottom w:val="single" w:sz="8" w:color="4A7087"/>
              <w:right w:val="single" w:sz="8" w:color="4A7087"/>
            </w:tcBorders>
            <w:vAlign w:val="center"/>
          </w:tcPr>
          <w:p>
            <w:pPr>
              <w:spacing w:after="60"/>
            </w:pPr>
            <w:r>
              <w:rPr>
                <w:rFonts w:ascii="Liberation Sans" w:hAnsi="Liberation Sans" w:eastAsia="Liberation Sans"/>
                <w:b/>
                <w:color w:val="4A7087"/>
                <w:sz w:val="20"/>
              </w:rPr>
              <w:t>HYPOTHÈSE TESTABLE</w:t>
            </w:r>
          </w:p>
          <w:p>
            <w:pPr>
              <w:spacing w:after="0" w:line="259" w:lineRule="auto"/>
            </w:pPr>
            <w:r>
              <w:rPr>
                <w:rFonts w:ascii="Liberation Serif" w:hAnsi="Liberation Serif" w:eastAsia="Liberation Serif"/>
                <w:color w:val="2F3437"/>
                <w:sz w:val="20"/>
              </w:rPr>
              <w:t>Une séquence ROP standardisée accélère le retour vers l’état autonome de base après un stress contrôlé, comparativement à un repos seul et à un toucher non spécifique de durée équivalente.</w:t>
            </w:r>
          </w:p>
        </w:tc>
      </w:tr>
    </w:tbl>
    <w:p>
      <w:pPr>
        <w:spacing w:after="0"/>
        <w:widowControl/>
      </w:pPr>
    </w:p>
    <w:p>
      <w:pPr>
        <w:pStyle w:val="Heading2"/>
        <w:keepNext/>
        <w:widowControl/>
      </w:pPr>
      <w:r>
        <w:rPr>
          <w:rFonts w:ascii="Liberation Sans" w:hAnsi="Liberation Sans" w:eastAsia="Liberation Sans"/>
          <w:b/>
          <w:color w:val="2C6B6F"/>
          <w:sz w:val="25"/>
        </w:rPr>
        <w:t>19.2. Dessin d’étude proposé</w:t>
      </w:r>
    </w:p>
    <w:p>
      <w:pPr>
        <w:pStyle w:val="ListNumber"/>
        <w:spacing w:after="40"/>
        <w:widowControl/>
      </w:pPr>
      <w:r>
        <w:rPr>
          <w:rFonts w:ascii="Liberation Serif" w:hAnsi="Liberation Serif" w:eastAsia="Liberation Serif"/>
          <w:color w:val="2F3437"/>
          <w:sz w:val="21"/>
        </w:rPr>
        <w:t>Groupe ROP : séquence standardisée respectant les quatre niveaux cliniques.</w:t>
      </w:r>
    </w:p>
    <w:p>
      <w:pPr>
        <w:pStyle w:val="ListNumber"/>
        <w:spacing w:after="40"/>
        <w:widowControl/>
      </w:pPr>
      <w:r>
        <w:rPr>
          <w:rFonts w:ascii="Liberation Serif" w:hAnsi="Liberation Serif" w:eastAsia="Liberation Serif"/>
          <w:color w:val="2F3437"/>
          <w:sz w:val="21"/>
        </w:rPr>
        <w:t>Groupe contrôle tactile : toucher occipital et podal de même durée, sans cartographie ni ordre ROP.</w:t>
      </w:r>
    </w:p>
    <w:p>
      <w:pPr>
        <w:pStyle w:val="ListNumber"/>
        <w:spacing w:after="40"/>
        <w:widowControl/>
      </w:pPr>
      <w:r>
        <w:rPr>
          <w:rFonts w:ascii="Liberation Serif" w:hAnsi="Liberation Serif" w:eastAsia="Liberation Serif"/>
          <w:color w:val="2F3437"/>
          <w:sz w:val="21"/>
        </w:rPr>
        <w:t>Groupe repos : position et durée identiques, sans toucher.</w:t>
      </w:r>
    </w:p>
    <w:p>
      <w:pPr>
        <w:pStyle w:val="BodyText"/>
        <w:widowControl/>
      </w:pPr>
      <w:r>
        <w:rPr>
          <w:rFonts w:ascii="Liberation Serif" w:hAnsi="Liberation Serif" w:eastAsia="Liberation Serif"/>
          <w:i w:val="0"/>
          <w:color w:val="2F3437"/>
          <w:sz w:val="21"/>
        </w:rPr>
        <w:t>Le protocole devrait être préenregistré, inclure une allocation randomisée, des évaluateurs aveugles lorsque cela est possible et un suivi des effets indésirables. La comparaison avec un toucher non spécifique est indispensable pour distinguer l’effet relationnel et sensoriel général de l’éventuel effet propre à la séquence ROP.</w:t>
      </w:r>
    </w:p>
    <w:p>
      <w:pPr>
        <w:pStyle w:val="Heading2"/>
        <w:keepNext/>
        <w:widowControl/>
      </w:pPr>
      <w:r>
        <w:rPr>
          <w:rFonts w:ascii="Liberation Sans" w:hAnsi="Liberation Sans" w:eastAsia="Liberation Sans"/>
          <w:b/>
          <w:color w:val="2C6B6F"/>
          <w:sz w:val="25"/>
        </w:rPr>
        <w:t>19.3. Mesures pertinentes</w:t>
      </w:r>
    </w:p>
    <w:p>
      <w:pPr>
        <w:pStyle w:val="ListBullet"/>
        <w:spacing w:after="40"/>
        <w:widowControl/>
      </w:pPr>
      <w:r>
        <w:rPr>
          <w:rFonts w:ascii="Liberation Serif" w:hAnsi="Liberation Serif" w:eastAsia="Liberation Serif"/>
          <w:color w:val="2F3437"/>
          <w:sz w:val="21"/>
        </w:rPr>
        <w:t>Variabilité de la fréquence cardiaque et vitesse de récupération de la fréquence cardiaque.</w:t>
      </w:r>
    </w:p>
    <w:p>
      <w:pPr>
        <w:pStyle w:val="ListBullet"/>
        <w:spacing w:after="40"/>
        <w:widowControl/>
      </w:pPr>
      <w:r>
        <w:rPr>
          <w:rFonts w:ascii="Liberation Serif" w:hAnsi="Liberation Serif" w:eastAsia="Liberation Serif"/>
          <w:color w:val="2F3437"/>
          <w:sz w:val="21"/>
        </w:rPr>
        <w:t>Fréquence et amplitude respiratoires.</w:t>
      </w:r>
    </w:p>
    <w:p>
      <w:pPr>
        <w:pStyle w:val="ListBullet"/>
        <w:spacing w:after="40"/>
        <w:widowControl/>
      </w:pPr>
      <w:r>
        <w:rPr>
          <w:rFonts w:ascii="Liberation Serif" w:hAnsi="Liberation Serif" w:eastAsia="Liberation Serif"/>
          <w:color w:val="2F3437"/>
          <w:sz w:val="21"/>
        </w:rPr>
        <w:t>Conductance cutanée et température périphérique.</w:t>
      </w:r>
    </w:p>
    <w:p>
      <w:pPr>
        <w:pStyle w:val="ListBullet"/>
        <w:spacing w:after="40"/>
        <w:widowControl/>
      </w:pPr>
      <w:r>
        <w:rPr>
          <w:rFonts w:ascii="Liberation Serif" w:hAnsi="Liberation Serif" w:eastAsia="Liberation Serif"/>
          <w:color w:val="2F3437"/>
          <w:sz w:val="21"/>
        </w:rPr>
        <w:t>Cinétique du cortisol et de l’alpha-amylase salivaires, en tenant compte des rythmes circadiens.</w:t>
      </w:r>
    </w:p>
    <w:p>
      <w:pPr>
        <w:pStyle w:val="ListBullet"/>
        <w:spacing w:after="40"/>
        <w:widowControl/>
      </w:pPr>
      <w:r>
        <w:rPr>
          <w:rFonts w:ascii="Liberation Serif" w:hAnsi="Liberation Serif" w:eastAsia="Liberation Serif"/>
          <w:color w:val="2F3437"/>
          <w:sz w:val="21"/>
        </w:rPr>
        <w:t>Tension corporelle, stress perçu, rumination et sentiment de sécurité.</w:t>
      </w:r>
    </w:p>
    <w:p>
      <w:pPr>
        <w:pStyle w:val="ListBullet"/>
        <w:spacing w:after="40"/>
        <w:widowControl/>
      </w:pPr>
      <w:r>
        <w:rPr>
          <w:rFonts w:ascii="Liberation Serif" w:hAnsi="Liberation Serif" w:eastAsia="Liberation Serif"/>
          <w:color w:val="2F3437"/>
          <w:sz w:val="21"/>
        </w:rPr>
        <w:t>Qualité du sommeil et fatigue dans les jours suivants.</w:t>
      </w:r>
    </w:p>
    <w:p>
      <w:pPr>
        <w:pStyle w:val="ListBullet"/>
        <w:spacing w:after="40"/>
        <w:widowControl/>
      </w:pPr>
      <w:r>
        <w:rPr>
          <w:rFonts w:ascii="Liberation Serif" w:hAnsi="Liberation Serif" w:eastAsia="Liberation Serif"/>
          <w:color w:val="2F3437"/>
          <w:sz w:val="21"/>
        </w:rPr>
        <w:t>Résultats spécifiques au patient : douleur, transit, activité et qualité de vie.</w:t>
      </w:r>
    </w:p>
    <w:p>
      <w:pPr>
        <w:pStyle w:val="BodyText"/>
        <w:widowControl/>
      </w:pPr>
      <w:r>
        <w:rPr>
          <w:rFonts w:ascii="Liberation Serif" w:hAnsi="Liberation Serif" w:eastAsia="Liberation Serif"/>
          <w:i w:val="0"/>
          <w:color w:val="2F3437"/>
          <w:sz w:val="21"/>
        </w:rPr>
        <w:t>L’indicateur principal devrait être la pente de récupération, et non la seule différence avant-après. Deux personnes peuvent atteindre la même valeur finale, mais l’une peut retrouver son équilibre en dix minutes et l’autre en deux heures. C’est cette cinétique qui correspond le mieux à la notion de flexibilité autonome.</w:t>
      </w:r>
    </w:p>
    <w:p>
      <w:pPr>
        <w:pStyle w:val="Heading1"/>
        <w:keepNext/>
        <w:widowControl/>
      </w:pPr>
      <w:r>
        <w:rPr>
          <w:rFonts w:ascii="Liberation Sans" w:hAnsi="Liberation Sans" w:eastAsia="Liberation Sans"/>
          <w:b/>
          <w:color w:val="2F3437"/>
          <w:sz w:val="32"/>
        </w:rPr>
        <w:t>20. Conclusion</w:t>
      </w:r>
    </w:p>
    <w:p>
      <w:pPr>
        <w:pStyle w:val="BodyText"/>
        <w:widowControl/>
      </w:pPr>
      <w:r>
        <w:rPr>
          <w:rFonts w:ascii="Liberation Serif" w:hAnsi="Liberation Serif" w:eastAsia="Liberation Serif"/>
          <w:i w:val="0"/>
          <w:color w:val="2F3437"/>
          <w:sz w:val="21"/>
        </w:rPr>
        <w:t>Le stress est une mobilisation adaptative. Il protège lorsqu’il est proportionné, limité et suivi de récupération. Son coût apparaît lorsque l’organisme reste bloqué dans la défense, lorsque les stresseurs physiques, émotionnels et biochimiques s’accumulent, ou lorsque la rumination et le déficit de sommeil réactivent continuellement la menace.</w:t>
      </w:r>
    </w:p>
    <w:p>
      <w:pPr>
        <w:pStyle w:val="BodyText"/>
        <w:widowControl/>
      </w:pPr>
      <w:r>
        <w:rPr>
          <w:rFonts w:ascii="Liberation Serif" w:hAnsi="Liberation Serif" w:eastAsia="Liberation Serif"/>
          <w:i w:val="0"/>
          <w:color w:val="2F3437"/>
          <w:sz w:val="21"/>
        </w:rPr>
        <w:t>À l’échelle cellulaire, la contrainte chronique peut s’accompagner d’un hypermétabolisme compensatoire et de modifications mitochondriales. Les travaux sur les cheveux humains suggèrent par ailleurs que certaines manifestations du vieillissement possèdent une composante dynamique et temporairement réversible. Ces résultats n’autorisent toutefois ni à généraliser la réversibilité du vieillissement, ni à attribuer à la ROP une action directe sur les mitochondries ou la pigmentation.</w:t>
      </w:r>
    </w:p>
    <w:p>
      <w:pPr>
        <w:pStyle w:val="BodyText"/>
        <w:widowControl/>
      </w:pPr>
      <w:r>
        <w:rPr>
          <w:rFonts w:ascii="Liberation Serif" w:hAnsi="Liberation Serif" w:eastAsia="Liberation Serif"/>
          <w:i w:val="0"/>
          <w:color w:val="2F3437"/>
          <w:sz w:val="21"/>
        </w:rPr>
        <w:t>Le pont le plus crédible avec la ROP repose sur la régulation de la réponse et de la récupération. Par un toucher mesuré, une lecture tissulaire et une séquence allant du niveau crânien au niveau viscéral, la méthode cherche à fournir au système nerveux une information corporelle nouvelle, à réduire une mobilisation devenue inutile et à favoriser le retour des fonctions respiratoires, digestives et restauratrices.</w:t>
      </w:r>
    </w:p>
    <w:p>
      <w:pPr>
        <w:pStyle w:val="Quote"/>
        <w:jc w:val="center"/>
        <w:widowControl/>
      </w:pPr>
      <w:r>
        <w:rPr>
          <w:rFonts w:ascii="Liberation Serif" w:hAnsi="Liberation Serif" w:eastAsia="Liberation Serif"/>
          <w:i/>
          <w:color w:val="2C6B6F"/>
          <w:sz w:val="24"/>
        </w:rPr>
        <w:t>L’objectif de la ROP n’est pas de supprimer la réaction de stress, mais de fournir au système nerveux l’information dont il a besoin pour pouvoir la terminer.</w:t>
      </w:r>
    </w:p>
    <w:p>
      <w:pPr>
        <w:pStyle w:val="Heading2"/>
        <w:keepNext/>
        <w:widowControl/>
      </w:pPr>
      <w:r>
        <w:rPr>
          <w:rFonts w:ascii="Liberation Sans" w:hAnsi="Liberation Sans" w:eastAsia="Liberation Sans"/>
          <w:b/>
          <w:color w:val="2C6B6F"/>
          <w:sz w:val="25"/>
        </w:rPr>
        <w:t>À retenir</w:t>
      </w:r>
    </w:p>
    <w:p>
      <w:pPr>
        <w:pStyle w:val="ListBullet"/>
        <w:spacing w:after="40"/>
        <w:widowControl/>
      </w:pPr>
      <w:r>
        <w:rPr>
          <w:rFonts w:ascii="Liberation Serif" w:hAnsi="Liberation Serif" w:eastAsia="Liberation Serif"/>
          <w:color w:val="2F3437"/>
          <w:sz w:val="21"/>
        </w:rPr>
        <w:t>Le stress est d’abord une réponse protectrice, et non une pathologie.</w:t>
      </w:r>
    </w:p>
    <w:p>
      <w:pPr>
        <w:pStyle w:val="ListBullet"/>
        <w:spacing w:after="40"/>
        <w:widowControl/>
      </w:pPr>
      <w:r>
        <w:rPr>
          <w:rFonts w:ascii="Liberation Serif" w:hAnsi="Liberation Serif" w:eastAsia="Liberation Serif"/>
          <w:color w:val="2F3437"/>
          <w:sz w:val="21"/>
        </w:rPr>
        <w:t>La charge allostatique est le coût cumulé de l’adaptation répétée ou prolongée.</w:t>
      </w:r>
    </w:p>
    <w:p>
      <w:pPr>
        <w:pStyle w:val="ListBullet"/>
        <w:spacing w:after="40"/>
        <w:widowControl/>
      </w:pPr>
      <w:r>
        <w:rPr>
          <w:rFonts w:ascii="Liberation Serif" w:hAnsi="Liberation Serif" w:eastAsia="Liberation Serif"/>
          <w:color w:val="2F3437"/>
          <w:sz w:val="21"/>
        </w:rPr>
        <w:t>La santé dépend de la capacité à déclencher une réponse appropriée puis à revenir à l’état de base.</w:t>
      </w:r>
    </w:p>
    <w:p>
      <w:pPr>
        <w:pStyle w:val="ListBullet"/>
        <w:spacing w:after="40"/>
        <w:widowControl/>
      </w:pPr>
      <w:r>
        <w:rPr>
          <w:rFonts w:ascii="Liberation Serif" w:hAnsi="Liberation Serif" w:eastAsia="Liberation Serif"/>
          <w:color w:val="2F3437"/>
          <w:sz w:val="21"/>
        </w:rPr>
        <w:t>Le corps ne fonctionne pas comme une batterie fixe ; il réorganise continuellement ses flux et ses priorités.</w:t>
      </w:r>
    </w:p>
    <w:p>
      <w:pPr>
        <w:pStyle w:val="ListBullet"/>
        <w:spacing w:after="40"/>
        <w:widowControl/>
      </w:pPr>
      <w:r>
        <w:rPr>
          <w:rFonts w:ascii="Liberation Serif" w:hAnsi="Liberation Serif" w:eastAsia="Liberation Serif"/>
          <w:color w:val="2F3437"/>
          <w:sz w:val="21"/>
        </w:rPr>
        <w:t>L’hypermétabolisme cellulaire observé in vitro ne peut pas être transposé directement à la dépense énergétique d’une personne.</w:t>
      </w:r>
    </w:p>
    <w:p>
      <w:pPr>
        <w:pStyle w:val="ListBullet"/>
        <w:spacing w:after="40"/>
        <w:widowControl/>
      </w:pPr>
      <w:r>
        <w:rPr>
          <w:rFonts w:ascii="Liberation Serif" w:hAnsi="Liberation Serif" w:eastAsia="Liberation Serif"/>
          <w:color w:val="2F3437"/>
          <w:sz w:val="21"/>
        </w:rPr>
        <w:t>Certaines dysfonctions restent réversibles tant que l’intégrité structurelle et les réserves adaptatives sont préservées.</w:t>
      </w:r>
    </w:p>
    <w:p>
      <w:pPr>
        <w:pStyle w:val="ListBullet"/>
        <w:spacing w:after="40"/>
        <w:widowControl/>
      </w:pPr>
      <w:r>
        <w:rPr>
          <w:rFonts w:ascii="Liberation Serif" w:hAnsi="Liberation Serif" w:eastAsia="Liberation Serif"/>
          <w:color w:val="2F3437"/>
          <w:sz w:val="21"/>
        </w:rPr>
        <w:t>La cible autonome n’est pas la domination vagale, mais la flexibilité entre mobilisation et récupération.</w:t>
      </w:r>
    </w:p>
    <w:p>
      <w:pPr>
        <w:pStyle w:val="ListBullet"/>
        <w:spacing w:after="40"/>
        <w:widowControl/>
      </w:pPr>
      <w:r>
        <w:rPr>
          <w:rFonts w:ascii="Liberation Serif" w:hAnsi="Liberation Serif" w:eastAsia="Liberation Serif"/>
          <w:color w:val="2F3437"/>
          <w:sz w:val="21"/>
        </w:rPr>
        <w:t>La ROP est surtout pertinente comme approche fonctionnelle et intégrative, dont les effets spécifiques restent à tester par des protocoles comparatifs.</w:t>
      </w:r>
    </w:p>
    <w:p>
      <w:pPr>
        <w:pStyle w:val="Heading1"/>
        <w:keepNext/>
        <w:widowControl/>
      </w:pPr>
      <w:r>
        <w:rPr>
          <w:rFonts w:ascii="Liberation Sans" w:hAnsi="Liberation Sans" w:eastAsia="Liberation Sans"/>
          <w:b/>
          <w:color w:val="2F3437"/>
          <w:sz w:val="32"/>
        </w:rPr>
        <w:t>Repères bibliographiques</w:t>
      </w:r>
    </w:p>
    <w:p>
      <w:pPr>
        <w:pStyle w:val="BodyText"/>
        <w:spacing w:after="60"/>
        <w:ind w:hanging="312" w:left="312"/>
        <w:widowControl/>
      </w:pPr>
      <w:r>
        <w:rPr>
          <w:rFonts w:ascii="Liberation Serif" w:hAnsi="Liberation Serif" w:eastAsia="Liberation Serif"/>
          <w:color w:val="2F3437"/>
          <w:sz w:val="18"/>
        </w:rPr>
        <w:t>1. McEwen BS. Physiology and neurobiology of stress and adaptation: central role of the brain. Physiological Reviews. 2007;87(3):873-904. doi:10.1152/physrev.00041.2006.</w:t>
      </w:r>
    </w:p>
    <w:p>
      <w:pPr>
        <w:pStyle w:val="BodyText"/>
        <w:spacing w:after="60"/>
        <w:ind w:hanging="312" w:left="312"/>
        <w:widowControl/>
      </w:pPr>
      <w:r>
        <w:rPr>
          <w:rFonts w:ascii="Liberation Serif" w:hAnsi="Liberation Serif" w:eastAsia="Liberation Serif"/>
          <w:color w:val="2F3437"/>
          <w:sz w:val="18"/>
        </w:rPr>
        <w:t>2. Bobba-Alves N, Juster RP, Picard M. The energetic cost of allostasis and allostatic load. Psychoneuroendocrinology. 2022;146:105951. doi:10.1016/j.psyneuen.2022.105951.</w:t>
      </w:r>
    </w:p>
    <w:p>
      <w:pPr>
        <w:pStyle w:val="BodyText"/>
        <w:spacing w:after="60"/>
        <w:ind w:hanging="312" w:left="312"/>
        <w:widowControl/>
      </w:pPr>
      <w:r>
        <w:rPr>
          <w:rFonts w:ascii="Liberation Serif" w:hAnsi="Liberation Serif" w:eastAsia="Liberation Serif"/>
          <w:color w:val="2F3437"/>
          <w:sz w:val="18"/>
        </w:rPr>
        <w:t>3. Bobba-Alves N, et al. Cellular allostatic load is linked to increased energy expenditure and accelerated biological aging. Psychoneuroendocrinology. 2023;155:106322. doi:10.1016/j.psyneuen.2023.106322.</w:t>
      </w:r>
    </w:p>
    <w:p>
      <w:pPr>
        <w:pStyle w:val="BodyText"/>
        <w:spacing w:after="60"/>
        <w:ind w:hanging="312" w:left="312"/>
        <w:widowControl/>
      </w:pPr>
      <w:r>
        <w:rPr>
          <w:rFonts w:ascii="Liberation Serif" w:hAnsi="Liberation Serif" w:eastAsia="Liberation Serif"/>
          <w:color w:val="2F3437"/>
          <w:sz w:val="18"/>
        </w:rPr>
        <w:t>4. Rosenberg AM, et al. Quantitative mapping of human hair greying and reversal in relation to life stress. eLife. 2021;10:e67437. doi:10.7554/eLife.67437.</w:t>
      </w:r>
    </w:p>
    <w:p>
      <w:pPr>
        <w:pStyle w:val="BodyText"/>
        <w:spacing w:after="60"/>
        <w:ind w:hanging="312" w:left="312"/>
        <w:widowControl/>
      </w:pPr>
      <w:r>
        <w:rPr>
          <w:rFonts w:ascii="Liberation Serif" w:hAnsi="Liberation Serif" w:eastAsia="Liberation Serif"/>
          <w:color w:val="2F3437"/>
          <w:sz w:val="18"/>
        </w:rPr>
        <w:t>5. Zhang B, et al. Hyperactivation of sympathetic nerves drives depletion of melanocyte stem cells. Nature. 2020;577:676-681. doi:10.1038/s41586-020-1935-3.</w:t>
      </w:r>
    </w:p>
    <w:p>
      <w:pPr>
        <w:pStyle w:val="BodyText"/>
        <w:spacing w:after="60"/>
        <w:ind w:hanging="312" w:left="312"/>
        <w:widowControl/>
      </w:pPr>
      <w:r>
        <w:rPr>
          <w:rFonts w:ascii="Liberation Serif" w:hAnsi="Liberation Serif" w:eastAsia="Liberation Serif"/>
          <w:color w:val="2F3437"/>
          <w:sz w:val="18"/>
        </w:rPr>
        <w:t>6. Picard M, Murugan NJ. The energy resistance principle. Cell Metabolism. 2025;37. doi:10.1016/j.cmet.2025.09.002.</w:t>
      </w:r>
    </w:p>
    <w:p>
      <w:pPr>
        <w:pStyle w:val="BodyText"/>
        <w:spacing w:after="60"/>
        <w:ind w:hanging="312" w:left="312"/>
        <w:widowControl/>
      </w:pPr>
      <w:r>
        <w:rPr>
          <w:rFonts w:ascii="Liberation Serif" w:hAnsi="Liberation Serif" w:eastAsia="Liberation Serif"/>
          <w:color w:val="2F3437"/>
          <w:sz w:val="18"/>
        </w:rPr>
        <w:t>7. Descamps E, Boussac M, Joineau K, et al. Changes of cerebral functional connectivity induced by foot reflexology in a randomized controlled trial. Scientific Reports. 2023;13:17139. doi:10.1038/s41598-023-44325-x.</w:t>
      </w:r>
    </w:p>
    <w:p>
      <w:pPr>
        <w:pStyle w:val="BodyText"/>
        <w:spacing w:after="60"/>
        <w:ind w:hanging="312" w:left="312"/>
        <w:widowControl/>
      </w:pPr>
      <w:r>
        <w:rPr>
          <w:rFonts w:ascii="Liberation Serif" w:hAnsi="Liberation Serif" w:eastAsia="Liberation Serif"/>
          <w:color w:val="2F3437"/>
          <w:sz w:val="18"/>
        </w:rPr>
        <w:t>8. Khalsa SS, et al. Interoception and mental health: a roadmap. Biological Psychiatry: Cognitive Neuroscience and Neuroimaging. 2018;3(6):501-513. doi:10.1016/j.bpsc.2017.12.004.</w:t>
      </w:r>
    </w:p>
    <w:p>
      <w:pPr>
        <w:pStyle w:val="BodyText"/>
        <w:spacing w:after="60"/>
        <w:ind w:hanging="312" w:left="312"/>
        <w:widowControl/>
      </w:pPr>
      <w:r>
        <w:rPr>
          <w:rFonts w:ascii="Liberation Serif" w:hAnsi="Liberation Serif" w:eastAsia="Liberation Serif"/>
          <w:color w:val="2F3437"/>
          <w:sz w:val="18"/>
        </w:rPr>
        <w:t>9. Chen WG, et al. The emerging science of interoception: sensing, integrating, interpreting, and regulating signals within the self. Trends in Neurosciences. 2021;44(1):3-16. doi:10.1016/j.tins.2020.10.007.</w:t>
      </w:r>
    </w:p>
    <w:p>
      <w:pPr>
        <w:pStyle w:val="BodyText"/>
        <w:spacing w:after="60"/>
        <w:ind w:hanging="312" w:left="312"/>
        <w:widowControl/>
      </w:pPr>
      <w:r>
        <w:rPr>
          <w:rFonts w:ascii="Liberation Serif" w:hAnsi="Liberation Serif" w:eastAsia="Liberation Serif"/>
          <w:color w:val="2F3437"/>
          <w:sz w:val="18"/>
        </w:rPr>
        <w:t>10. Hopper SI, et al. Effectiveness of diaphragmatic breathing for reducing physiological and psychological stress in adults: a quantitative systematic review. JBI Database of Systematic Reviews and Implementation Reports. 2019;17(9):1855-1876. doi:10.11124/JBISRIR-2017-003848.</w:t>
      </w:r>
    </w:p>
    <w:p>
      <w:pPr>
        <w:pStyle w:val="BodyText"/>
        <w:spacing w:after="60"/>
        <w:ind w:hanging="312" w:left="312"/>
        <w:widowControl/>
      </w:pPr>
      <w:r>
        <w:rPr>
          <w:rFonts w:ascii="Liberation Serif" w:hAnsi="Liberation Serif" w:eastAsia="Liberation Serif"/>
          <w:color w:val="2F3437"/>
          <w:sz w:val="18"/>
        </w:rPr>
        <w:t>11. Cannon WB. The Wisdom of the Body. New York: W.W. Norton; 1932.</w:t>
      </w:r>
    </w:p>
    <w:p>
      <w:pPr>
        <w:pStyle w:val="BodyText"/>
        <w:spacing w:after="60"/>
        <w:ind w:hanging="312" w:left="312"/>
        <w:widowControl/>
      </w:pPr>
      <w:r>
        <w:rPr>
          <w:rFonts w:ascii="Liberation Serif" w:hAnsi="Liberation Serif" w:eastAsia="Liberation Serif"/>
          <w:color w:val="2F3437"/>
          <w:sz w:val="18"/>
        </w:rPr>
        <w:t>12. Selye H. The Stress of Life. New York: McGraw-Hill; 1956.</w:t>
      </w:r>
    </w:p>
    <w:sectPr w:rsidR="00FC693F" w:rsidRPr="0006063C" w:rsidSect="00034616">
      <w:headerReference w:type="default" r:id="rId9"/>
      <w:footerReference w:type="default" r:id="rId10"/>
      <w:pgSz w:w="11906" w:h="16838"/>
      <w:pgMar w:top="1020" w:right="1191" w:bottom="96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6F777A"/>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6" w:color="E8DED0"/>
      </w:pBdr>
    </w:pPr>
    <w:r>
      <w:rPr>
        <w:rFonts w:ascii="Liberation Sans" w:hAnsi="Liberation Sans" w:eastAsia="Liberation Sans"/>
        <w:b/>
        <w:color w:val="6F777A"/>
        <w:sz w:val="17"/>
      </w:rPr>
      <w:t>CHAPITRE 5  |  MÉCANISME DE STRESS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erif" w:hAnsi="Liberation Serif" w:eastAsia="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eastAsia="Liberation Sans"/>
      <w:b/>
      <w:bCs/>
      <w:color w:val="2F3437"/>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Liberation Sans" w:hAnsi="Liberation Sans" w:eastAsia="Liberation Sans"/>
      <w:b/>
      <w:bCs/>
      <w:color w:val="2C6B6F"/>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iberation Sans" w:hAnsi="Liberation Sans" w:eastAsia="Liberation Sans"/>
      <w:b/>
      <w:bCs/>
      <w:color w:val="B978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ind w:firstLine="255"/>
      <w:jc w:val="both"/>
    </w:pPr>
    <w:rPr>
      <w:rFonts w:ascii="Liberation Serif" w:hAnsi="Liberation Serif" w:eastAsia="Liberation Serif"/>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567" w:right="567"/>
    </w:pPr>
    <w:rPr>
      <w:rFonts w:ascii="Liberation Serif" w:hAnsi="Liberation Serif" w:eastAsia="Liberation Serif"/>
      <w:i/>
      <w:iCs/>
      <w:color w:val="000000" w:themeColor="text1"/>
      <w:sz w:val="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5 - Mécanisme de stress : physiologie de l’adaptation, coût allostatique et approche ROP</dc:title>
  <dc:subject>Réécriture du chapitre 5 selon la ligne directrice des diapositives ROP et physiologie de l’allostasie</dc:subject>
  <dc:creator>Guy Boitout - version éditoriale préparée pour révision</dc:creator>
  <cp:keywords>ROP, stress, allostasie, système nerveux autonome, mitochondries, récupération</cp:keywords>
  <dc:description>generated by python-docx</dc:description>
  <cp:lastModifiedBy/>
  <cp:revision>1</cp:revision>
  <dcterms:created xsi:type="dcterms:W3CDTF">2013-12-23T23:15:00Z</dcterms:created>
  <dcterms:modified xsi:type="dcterms:W3CDTF">2013-12-23T23:15:00Z</dcterms:modified>
  <cp:category/>
</cp:coreProperties>
</file>