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F75B2" w14:textId="77777777" w:rsidR="00051789" w:rsidRDefault="00000000">
      <w:pPr>
        <w:pStyle w:val="Title"/>
        <w:jc w:val="center"/>
      </w:pPr>
      <w:r>
        <w:rPr w:lang="en-GB">
          <w:lang w:val="de-DE" w:eastAsia="de-DE"/>
        </w:rPr>
        <w:t>Kapitel 14 — Dünndarm</w:t>
      </w:r>
    </w:p>
    <w:p w14:paraId="4852E64F" w14:textId="77777777" w:rsidR="00051789" w:rsidRDefault="00000000">
      <w:pPr>
        <w:pStyle w:val="Heading1"/>
        <w:numPr>
          <w:ilvl w:val="0"/>
          <w:numId w:val="1"/>
        </w:numPr>
        <w:rPr>
          <w:rFonts w:ascii="Times New Roman" w:hAnsi="Times New Roman" w:cs="Times New Roman"/>
          <w:color w:val="auto"/>
          <w:highlight w:val="yellow"/>
        </w:rPr>
      </w:pPr>
      <w:r>
        <w:rPr w:lang="en-GB">
          <w:rFonts w:ascii="Times New Roman" w:hAnsi="Times New Roman" w:cs="Times New Roman"/>
          <w:color w:val="auto"/>
          <w:highlight w:val="yellow"/>
          <w:lang w:val="de-DE" w:eastAsia="de-DE"/>
        </w:rPr>
        <w:t>Überblick</w:t>
      </w:r>
    </w:p>
    <w:p w14:paraId="2F5A4AD4" w14:textId="77777777" w:rsidR="00051789" w:rsidRDefault="00000000">
      <w:pPr>
        <w:jc w:val="both"/>
        <w:rPr>
          <w:rFonts w:ascii="Times New Roman" w:hAnsi="Times New Roman" w:cs="Times New Roman"/>
          <w:sz w:val="24"/>
          <w:szCs w:val="24"/>
        </w:rPr>
      </w:pPr>
      <w:r>
        <w:rPr w:lang="en-GB">
          <w:rFonts w:ascii="Times New Roman" w:hAnsi="Times New Roman" w:cs="Times New Roman"/>
          <w:sz w:val="24"/>
          <w:szCs w:val="24"/>
          <w:lang w:val="de-DE" w:eastAsia="de-DE"/>
        </w:rPr>
        <w:t>Der Dünndarm ist das längste Abdominalorgan des Körpers. Bei Leichen misst er etwa 6–7 Meter, während er bei lebenden Menschen aufgrund des physiologischen Muskeltonus deutlich kürzer ist. Er besteht aus zwei Abschnitten:</w:t>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
    <w:p w14:paraId="35F57099" w14:textId="77777777" w:rsidR="00051789" w:rsidRDefault="00000000">
      <w:pPr>
        <w:pStyle w:val="ListParagraph"/>
        <w:numPr>
          <w:ilvl w:val="0"/>
          <w:numId w:val="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Duodenum</w:t>
      </w:r>
    </w:p>
    <w:p w14:paraId="23ED5F4C" w14:textId="77777777" w:rsidR="00051789" w:rsidRDefault="00000000">
      <w:pPr>
        <w:pStyle w:val="ListParagraph"/>
        <w:numPr>
          <w:ilvl w:val="0"/>
          <w:numId w:val="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Jejunum und Ileum.</w:t>
      </w:r>
    </w:p>
    <w:p w14:paraId="646DA58C" w14:textId="77777777" w:rsidR="00051789" w:rsidRDefault="00000000">
      <w:pPr>
        <w:jc w:val="both"/>
        <w:rPr>
          <w:rFonts w:ascii="Times New Roman" w:hAnsi="Times New Roman" w:cs="Times New Roman"/>
          <w:sz w:val="24"/>
          <w:szCs w:val="24"/>
        </w:rPr>
      </w:pPr>
      <w:r>
        <w:rPr w:lang="en-GB">
          <w:rFonts w:ascii="Times New Roman" w:hAnsi="Times New Roman" w:cs="Times New Roman"/>
          <w:sz w:val="24"/>
          <w:szCs w:val="24"/>
          <w:lang w:val="de-DE" w:eastAsia="de-DE"/>
        </w:rPr>
        <w:t>Sie erstrecken sich vom Pylorus bis zur Ileozäkalklappe und spielen eine wesentliche Rolle bei Verdauung und Resorption. Obwohl das Duodenum Teil des Dünndarms ist, wird es aufgrund seiner besonderen Anatomie und Physiologie in einem eigenen Kapitel behandelt (siehe Kapitel 10, Duodenum, S. …).</w:t>
      </w:r>
      <w:r>
        <w:rPr w:lang="en-GB">
          <w:rFonts w:ascii="Times New Roman" w:hAnsi="Times New Roman" w:cs="Times New Roman"/>
          <w:b/>
          <w:color w:val="FF0000"/>
          <w:sz w:val="24"/>
          <w:szCs w:val="24"/>
          <w:lang w:val="de-DE" w:eastAsia="de-DE"/>
        </w:rPr>
      </w:r>
      <w:r>
        <w:rPr w:lang="en-GB">
          <w:rFonts w:ascii="Times New Roman" w:hAnsi="Times New Roman" w:cs="Times New Roman"/>
          <w:sz w:val="24"/>
          <w:szCs w:val="24"/>
          <w:lang w:val="de-DE" w:eastAsia="de-DE"/>
        </w:rPr>
      </w:r>
    </w:p>
    <w:p w14:paraId="5D74DBE0" w14:textId="77777777" w:rsidR="00051789" w:rsidRDefault="00000000">
      <w:pPr>
        <w:jc w:val="both"/>
        <w:rPr>
          <w:rFonts w:ascii="Times New Roman" w:hAnsi="Times New Roman" w:cs="Times New Roman"/>
          <w:sz w:val="24"/>
          <w:szCs w:val="24"/>
        </w:rPr>
      </w:pPr>
      <w:r>
        <w:rPr w:lang="en-GB">
          <w:rFonts w:ascii="Times New Roman" w:hAnsi="Times New Roman" w:cs="Times New Roman"/>
          <w:sz w:val="24"/>
          <w:szCs w:val="24"/>
          <w:lang w:val="de-DE" w:eastAsia="de-DE"/>
        </w:rPr>
        <w:t>Jejunum und Ileum unterscheiden sich vom Duodenum in folgenden Punkten:</w:t>
      </w:r>
    </w:p>
    <w:p w14:paraId="67240F6B"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Eine dünne, glatte, vollständig peritonealisierte und hochmobile Wand. Das Lumen hat nur einen Durchmesser von 2–3 cm;</w:t>
      </w:r>
    </w:p>
    <w:p w14:paraId="6D705D0D"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Eine wesentliche Rolle bei der Verdauung durch das Zusammenspiel von Schleimhaut, intestinalen Sekreten und Mikrobiota (Darmflora);</w:t>
      </w:r>
    </w:p>
    <w:p w14:paraId="0AAEAC1E"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Eine wichtige Rolle im Stoffwechsel und in der Immunfunktion;</w:t>
      </w:r>
    </w:p>
    <w:p w14:paraId="6A0DC00E"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Ein besonders gut entwickeltes intrinsisches Nervensystem;</w:t>
      </w:r>
    </w:p>
    <w:p w14:paraId="2C8DCC07"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Enge Wechselwirkungen mit der Darm-Hirn-Achse, die mit Auswirkungen auf die emotionale Sphäre einhergehen können.</w:t>
      </w:r>
    </w:p>
    <w:p w14:paraId="56D8F472" w14:textId="77777777" w:rsidR="00051789" w:rsidRDefault="00000000">
      <w:pPr>
        <w:pStyle w:val="ListParagraph"/>
        <w:ind w:left="0"/>
        <w:jc w:val="both"/>
        <w:rPr>
          <w:rFonts w:ascii="Times New Roman" w:hAnsi="Times New Roman" w:cs="Times New Roman"/>
          <w:sz w:val="24"/>
          <w:szCs w:val="24"/>
        </w:rPr>
      </w:pPr>
      <w:r>
        <w:rPr w:lang="en-GB">
          <w:rFonts w:ascii="Times New Roman" w:hAnsi="Times New Roman" w:cs="Times New Roman"/>
          <w:sz w:val="24"/>
          <w:szCs w:val="24"/>
          <w:lang w:val="de-DE" w:eastAsia="de-DE"/>
        </w:rPr>
        <w:t>Funktionell sind Dünndarm und Kolon voneinander abhängig.</w:t>
      </w:r>
    </w:p>
    <w:p w14:paraId="5C269354" w14:textId="77777777" w:rsidR="00051789" w:rsidRDefault="00000000">
      <w:pPr>
        <w:pStyle w:val="Heading1"/>
        <w:numPr>
          <w:ilvl w:val="0"/>
          <w:numId w:val="1"/>
        </w:numPr>
        <w:rPr>
          <w:rFonts w:ascii="Times New Roman" w:hAnsi="Times New Roman" w:cs="Times New Roman"/>
          <w:color w:val="auto"/>
          <w:highlight w:val="yellow"/>
        </w:rPr>
      </w:pPr>
      <w:r>
        <w:rPr w:lang="en-GB">
          <w:rFonts w:ascii="Times New Roman" w:hAnsi="Times New Roman" w:cs="Times New Roman"/>
          <w:color w:val="auto"/>
          <w:highlight w:val="yellow"/>
          <w:lang w:val="de-DE" w:eastAsia="de-DE"/>
        </w:rPr>
        <w:t>Lage</w:t>
      </w:r>
    </w:p>
    <w:p w14:paraId="4EEED628" w14:textId="77777777" w:rsidR="00051789" w:rsidRDefault="00000000">
      <w:pPr>
        <w:jc w:val="both"/>
        <w:rPr>
          <w:rFonts w:ascii="Times New Roman" w:hAnsi="Times New Roman" w:cs="Times New Roman"/>
          <w:sz w:val="24"/>
          <w:szCs w:val="24"/>
        </w:rPr>
      </w:pPr>
      <w:r>
        <w:rPr w:lang="en-GB">
          <w:rFonts w:ascii="Times New Roman" w:hAnsi="Times New Roman" w:cs="Times New Roman"/>
          <w:sz w:val="24"/>
          <w:szCs w:val="24"/>
          <w:lang w:val="de-DE" w:eastAsia="de-DE"/>
        </w:rPr>
        <w:t>Jejunum und Ileum nehmen einen großen Teil der Bauchhöhle ein, häufiger links als rechts, innerhalb des Kolonrahmens. Das Jejunum liegt überwiegend im linken oberen Quadranten des Abdomens. Das Ileum liegt überwiegend im rechten unteren Quadranten.</w:t>
      </w:r>
      <w:r>
        <w:rPr w:lang="en-GB">
          <w:rFonts w:ascii="Times New Roman" w:hAnsi="Times New Roman" w:cs="Times New Roman"/>
          <w:color w:val="FF0000"/>
          <w:sz w:val="24"/>
          <w:szCs w:val="24"/>
          <w:lang w:val="de-DE" w:eastAsia="de-DE"/>
        </w:rPr>
      </w:r>
      <w:r>
        <w:rPr w:lang="en-GB">
          <w:rFonts w:ascii="Times New Roman" w:hAnsi="Times New Roman" w:cs="Times New Roman"/>
          <w:sz w:val="24"/>
          <w:szCs w:val="24"/>
          <w:lang w:val="de-DE" w:eastAsia="de-DE"/>
        </w:rPr>
      </w:r>
    </w:p>
    <w:p w14:paraId="3B9A91CD" w14:textId="77777777" w:rsidR="00051789" w:rsidRDefault="00000000">
      <w:pPr>
        <w:pStyle w:val="Heading1"/>
        <w:numPr>
          <w:ilvl w:val="0"/>
          <w:numId w:val="1"/>
        </w:numPr>
        <w:rPr>
          <w:rFonts w:ascii="Times New Roman" w:hAnsi="Times New Roman" w:cs="Times New Roman"/>
          <w:color w:val="auto"/>
        </w:rPr>
      </w:pPr>
      <w:r>
        <w:rPr w:lang="en-GB">
          <w:rFonts w:ascii="Times New Roman" w:hAnsi="Times New Roman" w:cs="Times New Roman"/>
          <w:color w:val="auto"/>
          <w:highlight w:val="yellow"/>
          <w:lang w:val="de-DE" w:eastAsia="de-DE"/>
        </w:rPr>
        <w:t>Anatomie</w:t>
      </w:r>
    </w:p>
    <w:p w14:paraId="33D83413" w14:textId="77777777" w:rsidR="00051789" w:rsidRDefault="00000000">
      <w:pPr>
        <w:pStyle w:val="Heading2"/>
      </w:pPr>
      <w:r>
        <w:rPr w:lang="en-GB">
          <w:lang w:val="de-DE" w:eastAsia="de-DE"/>
        </w:rPr>
        <w:t>3.1. Jejunum und Ileum</w:t>
      </w:r>
    </w:p>
    <w:p w14:paraId="08528523" w14:textId="77777777" w:rsidR="00051789" w:rsidRDefault="00000000">
      <w:pPr>
        <w:numPr>
          <w:ilvl w:val="0"/>
          <w:numId w:val="4"/>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Sie bilden 15–16 U-förmige Darmschlingen, die in zwei Gruppen angeordnet sind:</w:t>
      </w:r>
      <w:proofErr w:type="gramEnd"/>
      <w:r>
        <w:rPr w:lang="en-GB">
          <w:rFonts w:ascii="Times New Roman" w:hAnsi="Times New Roman" w:cs="Times New Roman"/>
          <w:b/>
          <w:sz w:val="24"/>
          <w:szCs w:val="24"/>
          <w:lang w:val="de-DE" w:eastAsia="de-DE"/>
        </w:rPr>
      </w:r>
    </w:p>
    <w:p w14:paraId="60CA4716" w14:textId="77777777" w:rsidR="00051789" w:rsidRDefault="00000000">
      <w:pPr>
        <w:pStyle w:val="ListParagraph"/>
        <w:numPr>
          <w:ilvl w:val="1"/>
          <w:numId w:val="4"/>
        </w:numPr>
        <w:ind w:left="993" w:hanging="284"/>
        <w:jc w:val="both"/>
        <w:rPr>
          <w:rFonts w:ascii="Times New Roman" w:hAnsi="Times New Roman" w:cs="Times New Roman"/>
          <w:sz w:val="24"/>
          <w:szCs w:val="24"/>
        </w:rPr>
      </w:pPr>
      <w:r>
        <w:rPr w:lang="en-GB">
          <w:rFonts w:ascii="Times New Roman" w:hAnsi="Times New Roman" w:cs="Times New Roman"/>
          <w:sz w:val="24"/>
          <w:szCs w:val="24"/>
          <w:lang w:val="de-DE" w:eastAsia="de-DE"/>
        </w:rPr>
        <w:t>Eine obere linke Gruppe, das Jejunum, das stärker entwickelt ist als das Ileum. Seine Schlingen und sein Gefäßsystem sind überwiegend horizontal ausgerichtet. Das Jejunum überlagert das Colon descendens;</w:t>
      </w:r>
      <w:r>
        <w:rPr w:lang="en-GB">
          <w:rFonts w:ascii="Times New Roman" w:hAnsi="Times New Roman" w:cs="Times New Roman"/>
          <w:i/>
          <w:sz w:val="24"/>
          <w:szCs w:val="24"/>
          <w:lang w:val="de-DE" w:eastAsia="de-DE"/>
        </w:rPr>
      </w:r>
      <w:r>
        <w:rPr w:lang="en-GB">
          <w:rFonts w:ascii="Times New Roman" w:hAnsi="Times New Roman" w:cs="Times New Roman"/>
          <w:sz w:val="24"/>
          <w:szCs w:val="24"/>
          <w:lang w:val="de-DE" w:eastAsia="de-DE"/>
        </w:rPr>
      </w:r>
    </w:p>
    <w:p w14:paraId="4B15F9BF" w14:textId="77777777" w:rsidR="00051789" w:rsidRDefault="00000000">
      <w:pPr>
        <w:pStyle w:val="ListParagraph"/>
        <w:numPr>
          <w:ilvl w:val="1"/>
          <w:numId w:val="4"/>
        </w:numPr>
        <w:ind w:left="993" w:hanging="284"/>
        <w:jc w:val="both"/>
        <w:rPr>
          <w:rFonts w:ascii="Times New Roman" w:hAnsi="Times New Roman" w:cs="Times New Roman"/>
          <w:sz w:val="24"/>
          <w:szCs w:val="24"/>
        </w:rPr>
      </w:pPr>
      <w:r>
        <w:rPr w:lang="en-GB">
          <w:rFonts w:ascii="Times New Roman" w:hAnsi="Times New Roman" w:cs="Times New Roman"/>
          <w:sz w:val="24"/>
          <w:szCs w:val="24"/>
          <w:lang w:val="de-DE" w:eastAsia="de-DE"/>
        </w:rPr>
        <w:t>Eine untere rechte Gruppe, das Ileum, dessen Schlingen und Gefäßsystem überwiegend vertikal ausgerichtet sind. Das Ileum überlagert das Colon ascendens nicht.</w:t>
      </w:r>
      <w:r>
        <w:rPr w:lang="en-GB">
          <w:rFonts w:ascii="Times New Roman" w:hAnsi="Times New Roman" w:cs="Times New Roman"/>
          <w:i/>
          <w:sz w:val="24"/>
          <w:szCs w:val="24"/>
          <w:lang w:val="de-DE" w:eastAsia="de-DE"/>
        </w:rPr>
      </w:r>
      <w:r>
        <w:rPr w:lang="en-GB">
          <w:rFonts w:ascii="Times New Roman" w:hAnsi="Times New Roman" w:cs="Times New Roman"/>
          <w:sz w:val="24"/>
          <w:szCs w:val="24"/>
          <w:lang w:val="de-DE" w:eastAsia="de-DE"/>
        </w:rPr>
      </w:r>
    </w:p>
    <w:p w14:paraId="251AFDAA" w14:textId="77777777" w:rsidR="00051789" w:rsidRDefault="00000000">
      <w:pPr>
        <w:pStyle w:val="Heading2"/>
      </w:pPr>
      <w:r>
        <w:rPr w:lang="en-GB">
          <w:lang w:val="de-DE" w:eastAsia="de-DE"/>
        </w:rPr>
        <w:t>3.2. Mesenterium</w:t>
      </w:r>
    </w:p>
    <w:p w14:paraId="17821E1B" w14:textId="0E622DA1" w:rsidR="00051789" w:rsidRDefault="00000000">
      <w:pPr>
        <w:numPr>
          <w:ilvl w:val="0"/>
          <w:numId w:val="5"/>
        </w:numPr>
        <w:ind w:left="709" w:hanging="283"/>
        <w:jc w:val="both"/>
        <w:rPr>
          <w:rFonts w:ascii="Times New Roman" w:hAnsi="Times New Roman" w:cs="Times New Roman"/>
          <w:b/>
          <w:color w:val="FF0000"/>
          <w:sz w:val="24"/>
          <w:szCs w:val="24"/>
        </w:rPr>
      </w:pPr>
      <w:proofErr w:type="gramStart"/>
      <w:r>
        <w:rPr w:lang="en-GB">
          <w:rFonts w:ascii="Times New Roman" w:hAnsi="Times New Roman" w:cs="Times New Roman"/>
          <w:b/>
          <w:sz w:val="24"/>
          <w:szCs w:val="24"/>
          <w:lang w:val="de-DE" w:eastAsia="de-DE"/>
        </w:rPr>
        <w:t>Es handelt sich um ein Mesenterium (siehe Kapitel 1, Allgemeine Grundsätze), das heißt um eine doppelschichtige Peritonealduplikatur. Es umhüllt Jejunum und Ileum und verbindet sie über die Mesenterialwurzel mit der hinteren Bauchwand. Siehe Kapitel 1, Allgemeine Grundsätze, und Kapitel 7, Bauch- und Peritonealhöhlen, S. …</w:t>
      </w:r>
      <w:proofErr w:type="gramEnd"/>
      <w:r>
        <w:rPr w:lang="en-GB">
          <w:rFonts w:ascii="Times New Roman" w:hAnsi="Times New Roman" w:cs="Times New Roman"/>
          <w:b/>
          <w:sz w:val="24"/>
          <w:szCs w:val="24"/>
          <w:lang w:val="de-DE" w:eastAsia="de-DE"/>
        </w:rPr>
      </w:r>
    </w:p>
    <w:p w14:paraId="75C99FE3" w14:textId="77777777" w:rsidR="00051789" w:rsidRDefault="00051789">
      <w:pPr>
        <w:jc w:val="both"/>
        <w:rPr>
          <w:rFonts w:ascii="Times New Roman" w:hAnsi="Times New Roman" w:cs="Times New Roman"/>
          <w:b/>
          <w:color w:val="FF0000"/>
          <w:sz w:val="24"/>
          <w:szCs w:val="24"/>
        </w:rPr>
      </w:pPr>
    </w:p>
    <w:p w14:paraId="5307BC81" w14:textId="77777777" w:rsidR="00051789" w:rsidRDefault="00051789">
      <w:pPr>
        <w:jc w:val="both"/>
        <w:rPr>
          <w:rFonts w:ascii="Times New Roman" w:hAnsi="Times New Roman" w:cs="Times New Roman"/>
          <w:b/>
          <w:color w:val="FF0000"/>
          <w:sz w:val="24"/>
          <w:szCs w:val="24"/>
        </w:rPr>
      </w:pPr>
    </w:p>
    <w:p w14:paraId="6AD77036" w14:textId="77777777" w:rsidR="00051789" w:rsidRDefault="00051789">
      <w:pPr>
        <w:jc w:val="both"/>
        <w:rPr>
          <w:rFonts w:ascii="Times New Roman" w:hAnsi="Times New Roman" w:cs="Times New Roman"/>
          <w:b/>
          <w:color w:val="FF0000"/>
          <w:sz w:val="24"/>
          <w:szCs w:val="24"/>
        </w:rPr>
      </w:pPr>
    </w:p>
    <w:p w14:paraId="65F8AF2B" w14:textId="77777777" w:rsidR="00051789" w:rsidRDefault="00000000">
      <w:pPr>
        <w:pStyle w:val="Heading2"/>
      </w:pPr>
      <w:r>
        <w:rPr w:lang="en-GB">
          <w:lang w:val="de-DE" w:eastAsia="de-DE"/>
        </w:rPr>
        <w:t>3.3. Mesenterialwurzel</w:t>
      </w:r>
    </w:p>
    <w:p w14:paraId="1064DFAA" w14:textId="77777777" w:rsidR="00051789" w:rsidRDefault="00000000">
      <w:pPr>
        <w:numPr>
          <w:ilvl w:val="0"/>
          <w:numId w:val="5"/>
        </w:numPr>
        <w:ind w:left="709" w:hanging="283"/>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Sie bildet die Ansatzlinie des Mesenteriums und trägt zur Stabilität des ansonsten hochmobilen Dünndarms bei (siehe Kapitel 7, Bauch- und Peritonealhöhlen). Sie misst 16–18 cm und erstreckt sich vom Duodenojejunalübergang bis zum Ileozäkalübergang; dabei kreuzt sie die Mittellinie des Abdomens auf Höhe des Nabels, entsprechend der Bandscheibe L3–L4. Der Duodenojejunalübergang wird durch den M. suspensorius duodeni (Treitz-Muskel) gestützt, dessen glatte Muskelfasern am rechten Zwerchfellschenkel ansetzen (siehe Kapitel 10, Duodenum).</w:t>
      </w:r>
      <w:proofErr w:type="gramEnd"/>
      <w:r>
        <w:rPr w:lang="en-GB">
          <w:rFonts w:ascii="Times New Roman" w:hAnsi="Times New Roman" w:cs="Times New Roman"/>
          <w:b/>
          <w:sz w:val="24"/>
          <w:szCs w:val="24"/>
          <w:lang w:val="de-DE" w:eastAsia="de-DE"/>
        </w:rPr>
      </w:r>
    </w:p>
    <w:p w14:paraId="08E52479" w14:textId="77777777" w:rsidR="00051789" w:rsidRDefault="00051789">
      <w:pPr>
        <w:pStyle w:val="ListParagraph"/>
        <w:ind w:left="709"/>
        <w:jc w:val="both"/>
        <w:rPr>
          <w:rFonts w:ascii="Times New Roman" w:hAnsi="Times New Roman" w:cs="Times New Roman"/>
          <w:sz w:val="24"/>
          <w:szCs w:val="24"/>
        </w:rPr>
      </w:pPr>
    </w:p>
    <w:p w14:paraId="59B4F3C6" w14:textId="77777777" w:rsidR="00051789" w:rsidRDefault="00000000">
      <w:pPr>
        <w:pStyle w:val="ListParagraph"/>
        <w:ind w:left="709"/>
        <w:jc w:val="both"/>
        <w:rPr>
          <w:rFonts w:ascii="Times New Roman" w:hAnsi="Times New Roman" w:cs="Times New Roman"/>
          <w:sz w:val="24"/>
          <w:szCs w:val="24"/>
        </w:rPr>
      </w:pPr>
      <w:r>
        <w:rPr w:lang="en-GB">
          <w:rFonts w:ascii="Times New Roman" w:hAnsi="Times New Roman" w:cs="Times New Roman"/>
          <w:sz w:val="24"/>
          <w:szCs w:val="24"/>
          <w:lang w:val="de-DE" w:eastAsia="de-DE"/>
        </w:rPr>
        <w:t>Der M. suspensorius duodeni trägt zur Aufrechterhaltung des Duodenojejunalwinkels bei, indem er sich kontrahiert und die Mesenterialwurzel nach kranial und links zieht. Durch die Förderung einer Längsspannung unterstützt er die Passage des Duodenalinhalts in das Jejunum (siehe Kapitel 10, Duodenum, S. …). Die Mesenterialwurzel führt die Gefäß- und Nervenversorgung des Dünndarms.</w:t>
      </w:r>
      <w:r>
        <w:rPr w:lang="en-GB">
          <w:rFonts w:ascii="Times New Roman" w:hAnsi="Times New Roman" w:cs="Times New Roman"/>
          <w:b/>
          <w:sz w:val="24"/>
          <w:szCs w:val="24"/>
          <w:lang w:val="de-DE" w:eastAsia="de-DE"/>
        </w:rPr>
      </w:r>
      <w:r>
        <w:rPr w:lang="en-GB">
          <w:lang w:val="de-DE" w:eastAsia="de-DE"/>
        </w:rPr>
      </w:r>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r>
        <w:rPr w:lang="en-GB">
          <w:rFonts w:ascii="Times New Roman" w:hAnsi="Times New Roman" w:cs="Times New Roman"/>
          <w:b/>
          <w:color w:val="FF0000"/>
          <w:sz w:val="24"/>
          <w:szCs w:val="24"/>
          <w:lang w:val="de-DE" w:eastAsia="de-DE"/>
        </w:rPr>
      </w:r>
      <w:r>
        <w:rPr w:lang="en-GB">
          <w:rFonts w:ascii="Times New Roman" w:hAnsi="Times New Roman" w:cs="Times New Roman"/>
          <w:sz w:val="24"/>
          <w:szCs w:val="24"/>
          <w:lang w:val="de-DE" w:eastAsia="de-DE"/>
        </w:rPr>
      </w:r>
      <w:r>
        <w:rPr w:lang="en-GB">
          <w:rFonts w:ascii="Times New Roman" w:hAnsi="Times New Roman" w:cs="Times New Roman"/>
          <w:color w:val="FF0000"/>
          <w:sz w:val="24"/>
          <w:szCs w:val="24"/>
          <w:lang w:val="de-DE" w:eastAsia="de-DE"/>
        </w:rPr>
      </w:r>
      <w:r>
        <w:rPr w:lang="en-GB">
          <w:rFonts w:ascii="Times New Roman" w:hAnsi="Times New Roman" w:cs="Times New Roman"/>
          <w:sz w:val="24"/>
          <w:szCs w:val="24"/>
          <w:lang w:val="de-DE" w:eastAsia="de-DE"/>
        </w:rPr>
      </w:r>
    </w:p>
    <w:p w14:paraId="0DF8C727" w14:textId="77777777" w:rsidR="00051789" w:rsidRDefault="00000000">
      <w:pPr>
        <w:pStyle w:val="Heading31"/>
        <w:jc w:val="both"/>
        <w:rPr>
          <w:rFonts w:ascii="Times New Roman" w:hAnsi="Times New Roman" w:cs="Times New Roman"/>
          <w:sz w:val="24"/>
          <w:szCs w:val="24"/>
        </w:rPr>
      </w:pPr>
      <w:r>
        <w:rPr w:lang="en-GB">
          <w:rFonts w:ascii="Times New Roman" w:hAnsi="Times New Roman" w:cs="Times New Roman"/>
          <w:sz w:val="24"/>
          <w:szCs w:val="24"/>
          <w:lang w:val="de-DE" w:eastAsia="de-DE"/>
        </w:rPr>
        <w:t>Relevanz für ROP</w:t>
      </w:r>
    </w:p>
    <w:p w14:paraId="1BFCDCF1" w14:textId="77777777" w:rsidR="00051789" w:rsidRDefault="00000000">
      <w:pPr>
        <w:pStyle w:val="ListParagraph"/>
        <w:numPr>
          <w:ilvl w:val="0"/>
          <w:numId w:val="3"/>
        </w:numPr>
        <w:ind w:left="720"/>
        <w:jc w:val="both"/>
        <w:rPr>
          <w:rFonts w:ascii="Times New Roman" w:hAnsi="Times New Roman" w:cs="Times New Roman"/>
          <w:sz w:val="24"/>
          <w:szCs w:val="24"/>
        </w:rPr>
      </w:pPr>
      <w:r>
        <w:rPr w:lang="en-GB">
          <w:rFonts w:ascii="Times New Roman" w:hAnsi="Times New Roman" w:cs="Times New Roman"/>
          <w:sz w:val="24"/>
          <w:szCs w:val="24"/>
          <w:lang w:val="de-DE" w:eastAsia="de-DE"/>
        </w:rPr>
        <w:t>Klinisch kann ein Verlust der Längsspannung der Mesenterialwurzel im Zusammenhang mit aortomesenterialen Kompressionssyndromen betrachtet werden: Kompression des vierten Duodenalabschnitts (Arteria-mesenterica-superior-Syndrom) oder der linken Nierenvene (Nussknacker-Syndrom) zwischen Aorta und A. mesenterica superior (siehe Kapitel 10, Duodenum, S. …). Die Passage des Duodenalinhalts in das Jejunum kann verzögert sein, mit dem Risiko eines gastroduodenalen Refluxes.</w:t>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i/>
          <w:sz w:val="24"/>
          <w:szCs w:val="24"/>
          <w:lang w:val="de-DE" w:eastAsia="de-DE"/>
        </w:rPr>
      </w:r>
      <w:r>
        <w:rPr w:lang="en-GB">
          <w:rFonts w:ascii="Times New Roman" w:hAnsi="Times New Roman" w:cs="Times New Roman"/>
          <w:sz w:val="24"/>
          <w:szCs w:val="24"/>
          <w:lang w:val="de-DE" w:eastAsia="de-DE"/>
        </w:rPr>
      </w:r>
      <w:r>
        <w:rPr w:lang="en-GB">
          <w:rFonts w:ascii="Times New Roman" w:hAnsi="Times New Roman" w:cs="Times New Roman"/>
          <w:i/>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r>
        <w:rPr w:lang="en-GB">
          <w:rFonts w:ascii="Times New Roman" w:hAnsi="Times New Roman" w:cs="Times New Roman"/>
          <w:sz w:val="24"/>
          <w:szCs w:val="24"/>
          <w:vertAlign w:val="superscript"/>
          <w:lang w:val="de-DE" w:eastAsia="de-DE"/>
        </w:rPr>
      </w:r>
      <w:r>
        <w:rPr w:lang="en-GB">
          <w:rFonts w:ascii="Times New Roman" w:hAnsi="Times New Roman" w:cs="Times New Roman"/>
          <w:sz w:val="24"/>
          <w:szCs w:val="24"/>
          <w:lang w:val="de-DE" w:eastAsia="de-DE"/>
        </w:rPr>
      </w:r>
      <w:r>
        <w:rPr w:lang="en-GB">
          <w:rFonts w:ascii="Times New Roman" w:hAnsi="Times New Roman" w:cs="Times New Roman"/>
          <w:b/>
          <w:color w:val="FF0000"/>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b/>
          <w:color w:val="FF0000"/>
          <w:sz w:val="24"/>
          <w:szCs w:val="24"/>
          <w:lang w:val="de-DE" w:eastAsia="de-DE"/>
        </w:rPr>
      </w:r>
      <w:r>
        <w:rPr w:lang="en-GB">
          <w:rFonts w:ascii="Times New Roman" w:hAnsi="Times New Roman" w:cs="Times New Roman"/>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p>
    <w:p w14:paraId="4EB4BEC0" w14:textId="77777777" w:rsidR="00051789" w:rsidRDefault="00000000">
      <w:pPr>
        <w:pStyle w:val="ListParagraph"/>
        <w:numPr>
          <w:ilvl w:val="0"/>
          <w:numId w:val="3"/>
        </w:numPr>
        <w:ind w:left="720"/>
        <w:jc w:val="both"/>
        <w:rPr>
          <w:rFonts w:ascii="Times New Roman" w:hAnsi="Times New Roman" w:cs="Times New Roman"/>
          <w:sz w:val="24"/>
          <w:szCs w:val="24"/>
        </w:rPr>
      </w:pPr>
      <w:r>
        <w:rPr w:lang="en-GB">
          <w:rFonts w:ascii="Times New Roman" w:hAnsi="Times New Roman" w:cs="Times New Roman"/>
          <w:sz w:val="24"/>
          <w:szCs w:val="24"/>
          <w:lang w:val="de-DE" w:eastAsia="de-DE"/>
        </w:rPr>
        <w:t>Das reichhaltige vaskuläre, neurale und lymphatische Netzwerk der Mesenterialwurzel ist stark reflexogen. Die Stimulation ihrer Reflexzone soll eine funktionelle Reaktion von Jejunum und Ileum fördern.</w:t>
      </w:r>
      <w:r>
        <w:rPr w:lang="en-GB">
          <w:lang w:val="de-DE" w:eastAsia="de-DE"/>
        </w:rPr>
      </w:r>
      <w:r>
        <w:rPr w:lang="en-GB">
          <w:rFonts w:ascii="Times New Roman" w:hAnsi="Times New Roman" w:cs="Times New Roman"/>
          <w:sz w:val="24"/>
          <w:szCs w:val="24"/>
          <w:lang w:val="de-DE" w:eastAsia="de-DE"/>
        </w:rPr>
      </w:r>
      <w:r>
        <w:rPr w:lang="en-GB">
          <w:lang w:val="de-DE" w:eastAsia="de-DE"/>
        </w:rPr>
      </w:r>
    </w:p>
    <w:p w14:paraId="0706A43E" w14:textId="77777777" w:rsidR="00051789" w:rsidRDefault="00000000">
      <w:pPr>
        <w:pStyle w:val="Heading1"/>
        <w:numPr>
          <w:ilvl w:val="0"/>
          <w:numId w:val="1"/>
        </w:numPr>
        <w:rPr>
          <w:rFonts w:ascii="Times New Roman" w:hAnsi="Times New Roman" w:cs="Times New Roman"/>
          <w:color w:val="auto"/>
          <w:highlight w:val="yellow"/>
        </w:rPr>
      </w:pPr>
      <w:r>
        <w:rPr w:lang="en-GB">
          <w:rFonts w:ascii="Times New Roman" w:hAnsi="Times New Roman" w:cs="Times New Roman"/>
          <w:color w:val="auto"/>
          <w:highlight w:val="yellow"/>
          <w:lang w:val="de-DE" w:eastAsia="de-DE"/>
        </w:rPr>
        <w:t>Topographische Beziehungen</w:t>
      </w:r>
    </w:p>
    <w:p w14:paraId="24D7A5DB" w14:textId="77777777" w:rsidR="00051789" w:rsidRDefault="00000000">
      <w:pPr>
        <w:pStyle w:val="ListParagraph"/>
        <w:numPr>
          <w:ilvl w:val="0"/>
          <w:numId w:val="15"/>
        </w:numPr>
        <w:rPr>
          <w:rFonts w:ascii="Times New Roman" w:hAnsi="Times New Roman" w:cs="Times New Roman"/>
          <w:sz w:val="24"/>
          <w:szCs w:val="24"/>
        </w:rPr>
      </w:pPr>
      <w:r>
        <w:rPr w:lang="en-GB">
          <w:rFonts w:ascii="Times New Roman" w:hAnsi="Times New Roman" w:cs="Times New Roman"/>
          <w:sz w:val="24"/>
          <w:szCs w:val="24"/>
          <w:lang w:val="de-DE" w:eastAsia="de-DE"/>
        </w:rPr>
        <w:t>Der Dünndarm liegt intraperitoneal;</w:t>
      </w:r>
    </w:p>
    <w:p w14:paraId="00029968" w14:textId="77777777" w:rsidR="00051789" w:rsidRDefault="00000000">
      <w:pPr>
        <w:pStyle w:val="ListParagraph"/>
        <w:numPr>
          <w:ilvl w:val="0"/>
          <w:numId w:val="15"/>
        </w:numPr>
        <w:rPr>
          <w:rFonts w:ascii="Times New Roman" w:hAnsi="Times New Roman" w:cs="Times New Roman"/>
          <w:sz w:val="24"/>
          <w:szCs w:val="24"/>
        </w:rPr>
      </w:pPr>
      <w:r>
        <w:rPr w:lang="en-GB">
          <w:rFonts w:ascii="Times New Roman" w:hAnsi="Times New Roman" w:cs="Times New Roman"/>
          <w:sz w:val="24"/>
          <w:szCs w:val="24"/>
          <w:lang w:val="de-DE" w:eastAsia="de-DE"/>
        </w:rPr>
        <w:t>Links überlagert das Jejunum das Colon descendens;</w:t>
      </w:r>
    </w:p>
    <w:p w14:paraId="7EC3CBE5" w14:textId="77777777" w:rsidR="00051789" w:rsidRDefault="00000000">
      <w:pPr>
        <w:pStyle w:val="ListParagraph"/>
        <w:numPr>
          <w:ilvl w:val="0"/>
          <w:numId w:val="15"/>
        </w:numPr>
        <w:rPr>
          <w:rFonts w:ascii="Times New Roman" w:hAnsi="Times New Roman" w:cs="Times New Roman"/>
          <w:sz w:val="24"/>
          <w:szCs w:val="24"/>
        </w:rPr>
      </w:pPr>
      <w:r>
        <w:rPr w:lang="en-GB">
          <w:rFonts w:ascii="Times New Roman" w:hAnsi="Times New Roman" w:cs="Times New Roman"/>
          <w:sz w:val="24"/>
          <w:szCs w:val="24"/>
          <w:lang w:val="de-DE" w:eastAsia="de-DE"/>
        </w:rPr>
        <w:t>Rechts lässt das Ileum das Colon ascendens unbedeckt;</w:t>
      </w:r>
    </w:p>
    <w:p w14:paraId="38721B56" w14:textId="77777777" w:rsidR="00051789" w:rsidRDefault="00000000">
      <w:pPr>
        <w:pStyle w:val="ListParagraph"/>
        <w:numPr>
          <w:ilvl w:val="0"/>
          <w:numId w:val="15"/>
        </w:numPr>
        <w:rPr>
          <w:rFonts w:ascii="Times New Roman" w:hAnsi="Times New Roman" w:cs="Times New Roman"/>
          <w:sz w:val="24"/>
          <w:szCs w:val="24"/>
        </w:rPr>
      </w:pPr>
      <w:r>
        <w:rPr w:lang="en-GB">
          <w:rFonts w:ascii="Times New Roman" w:hAnsi="Times New Roman" w:cs="Times New Roman"/>
          <w:sz w:val="24"/>
          <w:szCs w:val="24"/>
          <w:lang w:val="de-DE" w:eastAsia="de-DE"/>
        </w:rPr>
        <w:t>Dorsal steht der Dünndarm in Beziehung zur hinteren Bauchwand und zu den retroperitonealen Organen, insbesondere zum supramesokolischen Anteil des Duodenums, zu den Nieren, Ureteren sowie zum Colon ascendens und Colon descendens;</w:t>
      </w:r>
    </w:p>
    <w:p w14:paraId="0C8F7F59" w14:textId="77777777" w:rsidR="00051789" w:rsidRDefault="00000000">
      <w:pPr>
        <w:pStyle w:val="ListParagraph"/>
        <w:numPr>
          <w:ilvl w:val="0"/>
          <w:numId w:val="15"/>
        </w:numPr>
        <w:rPr>
          <w:rFonts w:ascii="Times New Roman" w:hAnsi="Times New Roman" w:cs="Times New Roman"/>
          <w:sz w:val="24"/>
          <w:szCs w:val="24"/>
        </w:rPr>
      </w:pPr>
      <w:r>
        <w:rPr w:lang="en-GB">
          <w:rFonts w:ascii="Times New Roman" w:hAnsi="Times New Roman" w:cs="Times New Roman"/>
          <w:sz w:val="24"/>
          <w:szCs w:val="24"/>
          <w:lang w:val="de-DE" w:eastAsia="de-DE"/>
        </w:rPr>
        <w:t>Ventral: das Omentum majus;</w:t>
      </w:r>
    </w:p>
    <w:p w14:paraId="78152948" w14:textId="77777777" w:rsidR="00051789" w:rsidRDefault="00000000">
      <w:pPr>
        <w:pStyle w:val="ListParagraph"/>
        <w:numPr>
          <w:ilvl w:val="0"/>
          <w:numId w:val="15"/>
        </w:numPr>
        <w:rPr>
          <w:rFonts w:ascii="Times New Roman" w:hAnsi="Times New Roman" w:cs="Times New Roman"/>
          <w:sz w:val="24"/>
          <w:szCs w:val="24"/>
        </w:rPr>
      </w:pPr>
      <w:r>
        <w:rPr w:lang="en-GB">
          <w:rFonts w:ascii="Times New Roman" w:hAnsi="Times New Roman" w:cs="Times New Roman"/>
          <w:sz w:val="24"/>
          <w:szCs w:val="24"/>
          <w:lang w:val="de-DE" w:eastAsia="de-DE"/>
        </w:rPr>
        <w:t>Kaudal: die Beckenorgane, insbesondere die Harnblase;</w:t>
      </w:r>
    </w:p>
    <w:p w14:paraId="5EDDB8F3" w14:textId="77777777" w:rsidR="00051789" w:rsidRDefault="00000000">
      <w:pPr>
        <w:pStyle w:val="ListParagraph"/>
        <w:numPr>
          <w:ilvl w:val="0"/>
          <w:numId w:val="15"/>
        </w:numPr>
        <w:rPr>
          <w:rFonts w:ascii="Times New Roman" w:hAnsi="Times New Roman" w:cs="Times New Roman"/>
          <w:sz w:val="24"/>
          <w:szCs w:val="24"/>
        </w:rPr>
      </w:pPr>
      <w:r>
        <w:rPr w:lang="en-GB">
          <w:rFonts w:ascii="Times New Roman" w:hAnsi="Times New Roman" w:cs="Times New Roman"/>
          <w:sz w:val="24"/>
          <w:szCs w:val="24"/>
          <w:lang w:val="de-DE" w:eastAsia="de-DE"/>
        </w:rPr>
        <w:t>Kranial: das Mesocolon transversum.</w:t>
      </w:r>
    </w:p>
    <w:p w14:paraId="7B0D1D9D" w14:textId="77777777" w:rsidR="00051789" w:rsidRDefault="00000000">
      <w:pPr>
        <w:pStyle w:val="Heading1"/>
        <w:numPr>
          <w:ilvl w:val="0"/>
          <w:numId w:val="1"/>
        </w:numPr>
        <w:rPr>
          <w:rFonts w:ascii="Times New Roman" w:hAnsi="Times New Roman" w:cs="Times New Roman"/>
          <w:color w:val="auto"/>
          <w:highlight w:val="yellow"/>
        </w:rPr>
      </w:pPr>
      <w:r>
        <w:rPr w:lang="en-GB">
          <w:rFonts w:ascii="Times New Roman" w:hAnsi="Times New Roman" w:cs="Times New Roman"/>
          <w:color w:val="auto"/>
          <w:highlight w:val="yellow"/>
          <w:lang w:val="de-DE" w:eastAsia="de-DE"/>
        </w:rPr>
        <w:t>Gefäßversorgung</w:t>
      </w:r>
    </w:p>
    <w:p w14:paraId="4135F9FC" w14:textId="77777777" w:rsidR="00051789" w:rsidRDefault="00000000">
      <w:pPr>
        <w:jc w:val="both"/>
        <w:rPr>
          <w:rFonts w:ascii="Times New Roman" w:hAnsi="Times New Roman" w:cs="Times New Roman"/>
          <w:sz w:val="24"/>
          <w:szCs w:val="24"/>
        </w:rPr>
      </w:pPr>
      <w:r>
        <w:rPr w:lang="en-GB">
          <w:rFonts w:ascii="Times New Roman" w:hAnsi="Times New Roman" w:cs="Times New Roman"/>
          <w:sz w:val="24"/>
          <w:szCs w:val="24"/>
          <w:lang w:val="de-DE" w:eastAsia="de-DE"/>
        </w:rPr>
        <w:t>Der Dünndarm benötigt eine umfangreiche Blut- und Lymphversorgung, um seine Verdauungs-, Resorptions- und Immunfunktionen zu erfüllen.</w:t>
      </w:r>
    </w:p>
    <w:p w14:paraId="4EC40C64" w14:textId="77777777" w:rsidR="00051789" w:rsidRDefault="00000000">
      <w:pPr>
        <w:pStyle w:val="Heading2"/>
      </w:pPr>
      <w:r>
        <w:rPr w:lang="en-GB">
          <w:lang w:val="de-DE" w:eastAsia="de-DE"/>
        </w:rPr>
        <w:t>5.1. Arterielle Versorgung</w:t>
      </w:r>
    </w:p>
    <w:p w14:paraId="521C3BFB" w14:textId="77777777" w:rsidR="00051789" w:rsidRDefault="00000000">
      <w:pPr>
        <w:numPr>
          <w:ilvl w:val="0"/>
          <w:numId w:val="4"/>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Die A. mesenterica superior bildet die wichtigste arterielle Achse des Dünndarms. Sie entspringt etwa 1 cm unterhalb des Truncus coeliacus aus der Aorta abdominalis, gegenüber der Bandscheibe T12–L1. Sie verläuft zunächst hinter dem Pankreas und anschließend vor dem dritten Duodenalabschnitt, zieht zwischen den beiden Blättern des Mesenteriums und gibt zahlreiche Kollateraläste ab. Sie versorgt den gesamten Dünndarm, das Colon ascendens und die proximalen zwei Drittel des Colon transversum.</w:t>
      </w:r>
      <w:proofErr w:type="gramEnd"/>
      <w:r>
        <w:rPr w:lang="en-GB">
          <w:rFonts w:ascii="Times New Roman" w:hAnsi="Times New Roman" w:cs="Times New Roman"/>
          <w:b/>
          <w:sz w:val="24"/>
          <w:szCs w:val="24"/>
          <w:lang w:val="de-DE" w:eastAsia="de-DE"/>
        </w:rPr>
      </w:r>
    </w:p>
    <w:p w14:paraId="2035FC5A" w14:textId="77777777" w:rsidR="00051789" w:rsidRDefault="00051789">
      <w:pPr>
        <w:pStyle w:val="ListParagraph"/>
        <w:jc w:val="both"/>
        <w:rPr>
          <w:rFonts w:ascii="Times New Roman" w:hAnsi="Times New Roman" w:cs="Times New Roman"/>
          <w:sz w:val="24"/>
          <w:szCs w:val="24"/>
        </w:rPr>
      </w:pPr>
    </w:p>
    <w:p w14:paraId="521EDF50" w14:textId="77777777" w:rsidR="00051789" w:rsidRDefault="00000000">
      <w:pPr>
        <w:pStyle w:val="ListParagraph"/>
        <w:jc w:val="both"/>
        <w:rPr>
          <w:rFonts w:ascii="Times New Roman" w:hAnsi="Times New Roman" w:cs="Times New Roman"/>
          <w:b/>
          <w:color w:val="FF0000"/>
          <w:sz w:val="24"/>
          <w:szCs w:val="24"/>
        </w:rPr>
      </w:pPr>
      <w:r>
        <w:rPr w:lang="en-GB">
          <w:rFonts w:ascii="Times New Roman" w:hAnsi="Times New Roman" w:cs="Times New Roman"/>
          <w:sz w:val="24"/>
          <w:szCs w:val="24"/>
          <w:lang w:val="de-DE" w:eastAsia="de-DE"/>
        </w:rPr>
        <w:t>Ihr Puls, der über dem dritten Duodenalabschnitt rechts des Nabels palpierbar ist, kann als klinischer vaskulärer Orientierungspunkt dienen, erlaubt für sich allein jedoch keine Aussage über die Darmfunktion.</w:t>
      </w:r>
      <w:r>
        <w:rPr w:lang="en-GB">
          <w:rFonts w:ascii="Times New Roman" w:hAnsi="Times New Roman" w:cs="Times New Roman"/>
          <w:sz w:val="24"/>
          <w:szCs w:val="24"/>
          <w:vertAlign w:val="superscript"/>
          <w:lang w:val="de-DE" w:eastAsia="de-DE"/>
        </w:rPr>
      </w:r>
      <w:r>
        <w:rPr w:lang="en-GB">
          <w:rFonts w:ascii="Times New Roman" w:hAnsi="Times New Roman" w:cs="Times New Roman"/>
          <w:sz w:val="24"/>
          <w:szCs w:val="24"/>
          <w:lang w:val="de-DE" w:eastAsia="de-DE"/>
        </w:rPr>
      </w:r>
    </w:p>
    <w:p w14:paraId="0569D902" w14:textId="77777777" w:rsidR="00051789" w:rsidRDefault="00051789">
      <w:pPr>
        <w:pStyle w:val="ListParagraph"/>
        <w:jc w:val="both"/>
        <w:rPr>
          <w:rFonts w:ascii="Times New Roman" w:hAnsi="Times New Roman" w:cs="Times New Roman"/>
          <w:b/>
          <w:color w:val="FF0000"/>
          <w:sz w:val="24"/>
          <w:szCs w:val="24"/>
        </w:rPr>
      </w:pPr>
    </w:p>
    <w:p w14:paraId="48B6C624" w14:textId="77777777" w:rsidR="00051789" w:rsidRDefault="00051789">
      <w:pPr>
        <w:pStyle w:val="ListParagraph"/>
        <w:jc w:val="both"/>
        <w:rPr>
          <w:rFonts w:ascii="Times New Roman" w:hAnsi="Times New Roman" w:cs="Times New Roman"/>
          <w:sz w:val="24"/>
          <w:szCs w:val="24"/>
        </w:rPr>
      </w:pPr>
    </w:p>
    <w:p w14:paraId="26DC378F" w14:textId="77777777" w:rsidR="00051789" w:rsidRDefault="00000000">
      <w:pPr>
        <w:pStyle w:val="Heading2"/>
      </w:pPr>
      <w:r>
        <w:rPr w:lang="en-GB">
          <w:lang w:val="de-DE" w:eastAsia="de-DE"/>
        </w:rPr>
        <w:t>5.2. Venöser Abfluss</w:t>
      </w:r>
    </w:p>
    <w:p w14:paraId="694C32AD" w14:textId="77777777" w:rsidR="00051789" w:rsidRDefault="00000000">
      <w:pPr>
        <w:numPr>
          <w:ilvl w:val="0"/>
          <w:numId w:val="4"/>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Die V. mesenterica superior liegt rechts der A. mesenterica superior und ist Teil des Pfortadersystems. Sie leitet nährstoffreiches venöses Blut aus dem Dünndarm zur Leber (siehe Kapitel 11, Leber, S. …).</w:t>
      </w:r>
      <w:proofErr w:type="gramEnd"/>
      <w:r>
        <w:rPr w:lang="en-GB">
          <w:rFonts w:ascii="Times New Roman" w:hAnsi="Times New Roman" w:cs="Times New Roman"/>
          <w:b/>
          <w:sz w:val="24"/>
          <w:szCs w:val="24"/>
          <w:lang w:val="de-DE" w:eastAsia="de-DE"/>
        </w:rPr>
      </w:r>
    </w:p>
    <w:p w14:paraId="2B410CDC" w14:textId="77777777" w:rsidR="00051789" w:rsidRDefault="00051789">
      <w:pPr>
        <w:jc w:val="both"/>
        <w:rPr>
          <w:rFonts w:ascii="Times New Roman" w:hAnsi="Times New Roman" w:cs="Times New Roman"/>
          <w:sz w:val="24"/>
          <w:szCs w:val="24"/>
        </w:rPr>
      </w:pPr>
    </w:p>
    <w:p w14:paraId="383EFDF4" w14:textId="77777777" w:rsidR="00051789" w:rsidRDefault="00000000">
      <w:pPr>
        <w:pStyle w:val="Heading2"/>
      </w:pPr>
      <w:r>
        <w:rPr w:lang="en-GB">
          <w:lang w:val="de-DE" w:eastAsia="de-DE"/>
        </w:rPr>
        <w:t>5.3. Lymphabfluss</w:t>
      </w:r>
    </w:p>
    <w:p w14:paraId="63A13B5A" w14:textId="677D30EF" w:rsidR="00051789" w:rsidRDefault="00000000">
      <w:pPr>
        <w:numPr>
          <w:ilvl w:val="0"/>
          <w:numId w:val="4"/>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Der Dünndarm verfügt über ein hochentwickeltes lymphatisches Netzwerk, das zur Immunfunktion beiträgt. Es transportiert langkettige Lipid- und Proteinmoleküle sowie die fettlöslichen Vitamine A, D, E und K über die Cisterna chyli und den Ductus thoracicus zum linken Venenwinkel (siehe Kapitel 11, Leber und Gallenblase).</w:t>
      </w:r>
      <w:proofErr w:type="gramEnd"/>
      <w:r>
        <w:rPr w:lang="en-GB">
          <w:rFonts w:ascii="Times New Roman" w:hAnsi="Times New Roman" w:cs="Times New Roman"/>
          <w:b/>
          <w:sz w:val="24"/>
          <w:szCs w:val="24"/>
          <w:lang w:val="de-DE" w:eastAsia="de-DE"/>
        </w:rPr>
      </w:r>
    </w:p>
    <w:p w14:paraId="3B6ED100" w14:textId="77777777" w:rsidR="00051789" w:rsidRDefault="00051789">
      <w:pPr>
        <w:jc w:val="both"/>
        <w:rPr>
          <w:rFonts w:ascii="Times New Roman" w:hAnsi="Times New Roman" w:cs="Times New Roman"/>
          <w:sz w:val="24"/>
          <w:szCs w:val="24"/>
        </w:rPr>
      </w:pPr>
    </w:p>
    <w:p w14:paraId="2554B6A8" w14:textId="77777777" w:rsidR="00051789" w:rsidRDefault="00000000">
      <w:pPr>
        <w:pStyle w:val="Heading1"/>
        <w:numPr>
          <w:ilvl w:val="0"/>
          <w:numId w:val="1"/>
        </w:numPr>
        <w:rPr>
          <w:rFonts w:ascii="Times New Roman" w:hAnsi="Times New Roman" w:cs="Times New Roman"/>
          <w:color w:val="auto"/>
          <w:highlight w:val="yellow"/>
        </w:rPr>
      </w:pPr>
      <w:r>
        <w:rPr w:lang="en-GB">
          <w:rFonts w:ascii="Times New Roman" w:hAnsi="Times New Roman" w:cs="Times New Roman"/>
          <w:color w:val="auto"/>
          <w:highlight w:val="yellow"/>
          <w:lang w:val="de-DE" w:eastAsia="de-DE"/>
        </w:rPr>
        <w:t>Innervation</w:t>
      </w:r>
    </w:p>
    <w:p w14:paraId="3DF013B6" w14:textId="77777777" w:rsidR="00051789" w:rsidRDefault="00000000">
      <w:pPr>
        <w:pStyle w:val="Heading2"/>
        <w:numPr>
          <w:ilvl w:val="0"/>
          <w:numId w:val="18"/>
        </w:numPr>
        <w:rPr>
          <w:rFonts w:ascii="Times New Roman" w:hAnsi="Times New Roman" w:cs="Times New Roman"/>
          <w:color w:val="auto"/>
          <w:sz w:val="24"/>
          <w:szCs w:val="24"/>
        </w:rPr>
      </w:pPr>
      <w:r>
        <w:rPr w:lang="en-GB">
          <w:rFonts w:ascii="Times New Roman" w:hAnsi="Times New Roman" w:cs="Times New Roman"/>
          <w:color w:val="auto"/>
          <w:sz w:val="24"/>
          <w:szCs w:val="24"/>
          <w:lang w:val="de-DE" w:eastAsia="de-DE"/>
        </w:rPr>
        <w:t>Innervation des Peritoneums</w:t>
      </w:r>
      <w:r>
        <w:rPr w:lang="en-GB">
          <w:rFonts w:ascii="Times New Roman" w:hAnsi="Times New Roman" w:cs="Times New Roman"/>
          <w:b w:val="0"/>
          <w:color w:val="auto"/>
          <w:sz w:val="24"/>
          <w:szCs w:val="24"/>
          <w:lang w:val="de-DE" w:eastAsia="de-DE"/>
        </w:rPr>
      </w:r>
      <w:r>
        <w:rPr w:lang="en-GB">
          <w:rFonts w:ascii="Times New Roman" w:hAnsi="Times New Roman" w:cs="Times New Roman"/>
          <w:color w:val="auto"/>
          <w:sz w:val="24"/>
          <w:szCs w:val="24"/>
          <w:lang w:val="de-DE" w:eastAsia="de-DE"/>
        </w:rPr>
      </w:r>
    </w:p>
    <w:p w14:paraId="3E310E4D" w14:textId="77777777" w:rsidR="00051789" w:rsidRDefault="00000000">
      <w:pPr>
        <w:pStyle w:val="ListParagraph"/>
        <w:jc w:val="both"/>
        <w:rPr>
          <w:rFonts w:ascii="Times New Roman" w:hAnsi="Times New Roman" w:cs="Times New Roman"/>
          <w:sz w:val="24"/>
          <w:szCs w:val="24"/>
        </w:rPr>
      </w:pPr>
      <w:r>
        <w:rPr w:lang="en-GB">
          <w:rFonts w:ascii="Times New Roman" w:hAnsi="Times New Roman" w:cs="Times New Roman"/>
          <w:sz w:val="24"/>
          <w:szCs w:val="24"/>
          <w:lang w:val="de-DE" w:eastAsia="de-DE"/>
        </w:rPr>
        <w:t>Es erhält eine doppelte somatische und autonome Innervation:</w:t>
      </w:r>
    </w:p>
    <w:p w14:paraId="7AFE6A00" w14:textId="77777777" w:rsidR="00051789" w:rsidRDefault="00000000">
      <w:pPr>
        <w:pStyle w:val="Heading31"/>
      </w:pPr>
      <w:r>
        <w:rPr w:lang="en-GB">
          <w:lang w:val="de-DE" w:eastAsia="de-DE"/>
        </w:rPr>
        <w:t>6.1.1. Parietales Peritoneum</w:t>
      </w:r>
    </w:p>
    <w:p w14:paraId="0D356D87" w14:textId="77777777" w:rsidR="00051789" w:rsidRDefault="00000000">
      <w:pPr>
        <w:numPr>
          <w:ilvl w:val="0"/>
          <w:numId w:val="32"/>
        </w:numPr>
        <w:jc w:val="both"/>
        <w:rPr>
          <w:rFonts w:ascii="Times New Roman" w:hAnsi="Times New Roman" w:cs="Times New Roman"/>
          <w:b/>
          <w:color w:val="FF0000"/>
          <w:sz w:val="24"/>
          <w:szCs w:val="24"/>
        </w:rPr>
      </w:pPr>
      <w:r>
        <w:rPr w:lang="en-GB">
          <w:rFonts w:ascii="Times New Roman" w:hAnsi="Times New Roman" w:cs="Times New Roman"/>
          <w:b/>
          <w:sz w:val="24"/>
          <w:szCs w:val="24"/>
          <w:lang w:val="de-DE" w:eastAsia="de-DE"/>
        </w:rPr>
        <w:t>(Siehe Kapitel 7, Innervation des Peritoneums, S. …)</w:t>
      </w:r>
    </w:p>
    <w:p w14:paraId="55B77A55" w14:textId="77777777" w:rsidR="00051789" w:rsidRDefault="00000000">
      <w:pPr>
        <w:pStyle w:val="ListParagraph"/>
        <w:ind w:left="1070"/>
        <w:jc w:val="both"/>
        <w:rPr>
          <w:rFonts w:ascii="Times New Roman" w:hAnsi="Times New Roman" w:cs="Times New Roman"/>
          <w:sz w:val="24"/>
          <w:szCs w:val="24"/>
        </w:rPr>
      </w:pPr>
      <w:proofErr w:type="gramStart"/>
      <w:r>
        <w:rPr w:lang="en-GB">
          <w:rFonts w:ascii="Times New Roman" w:hAnsi="Times New Roman" w:cs="Times New Roman"/>
          <w:sz w:val="24"/>
          <w:szCs w:val="24"/>
          <w:lang w:val="de-DE" w:eastAsia="de-DE"/>
        </w:rPr>
        <w:t>Es teilt seine somatische Innervation mit der Bauchwand über die Nn. phrenici, die unteren sechs Interkostalnerven und die Nerven des Plexus lumbalis. Es enthält zahlreiche Nervenendigungen, die auf Temperatur, Druck und Schmerz reagieren.</w:t>
      </w:r>
      <w:proofErr w:type="gramEnd"/>
      <w:r>
        <w:rPr w:lang="en-GB">
          <w:rFonts w:ascii="Times New Roman" w:hAnsi="Times New Roman" w:cs="Times New Roman"/>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p>
    <w:p w14:paraId="7ADCE1BF" w14:textId="77777777" w:rsidR="00051789" w:rsidRDefault="00051789">
      <w:pPr>
        <w:pStyle w:val="ListParagraph"/>
        <w:ind w:left="1070"/>
        <w:jc w:val="both"/>
        <w:rPr>
          <w:rFonts w:ascii="Times New Roman" w:hAnsi="Times New Roman" w:cs="Times New Roman"/>
          <w:sz w:val="24"/>
          <w:szCs w:val="24"/>
        </w:rPr>
      </w:pPr>
    </w:p>
    <w:p w14:paraId="06CD588C" w14:textId="77777777" w:rsidR="00051789" w:rsidRDefault="00000000">
      <w:pPr>
        <w:pStyle w:val="ListParagraph"/>
        <w:ind w:left="1070"/>
        <w:jc w:val="both"/>
        <w:rPr>
          <w:rFonts w:ascii="Times New Roman" w:hAnsi="Times New Roman" w:cs="Times New Roman"/>
          <w:b/>
          <w:sz w:val="24"/>
          <w:szCs w:val="24"/>
        </w:rPr>
      </w:pPr>
      <w:r>
        <w:rPr w:lang="en-GB">
          <w:rFonts w:ascii="Times New Roman" w:hAnsi="Times New Roman" w:cs="Times New Roman"/>
          <w:sz w:val="24"/>
          <w:szCs w:val="24"/>
          <w:lang w:val="de-DE" w:eastAsia="de-DE"/>
        </w:rPr>
        <w:t>Diese gemeinsame Innervation mit der Bauchwand trägt dazu bei, die Projektion von Schmerzen peritonealen oder viszeralen Ursprungs in die zervikale, skapuläre, abdominale und lumbale Region zu erklären. Solche Schmerzen – unabhängig davon, ob sie funktionellen, infektiösen, postoperativen oder traumatischen Ursprungs sind – werden über die somatischen Fasern des parietalen Blattes auf den Bewegungsapparat übertragen (siehe Kapitel 7, Peritoneosomatische Beziehungen, S. …).</w:t>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r>
        <w:rPr w:lang="en-GB">
          <w:rFonts w:ascii="Times New Roman" w:hAnsi="Times New Roman" w:cs="Times New Roman"/>
          <w:b/>
          <w:color w:val="FF0000"/>
          <w:sz w:val="24"/>
          <w:szCs w:val="24"/>
          <w:lang w:val="de-DE" w:eastAsia="de-DE"/>
        </w:rPr>
      </w:r>
    </w:p>
    <w:p w14:paraId="0ECAA597" w14:textId="77777777" w:rsidR="00051789" w:rsidRDefault="00000000">
      <w:pPr>
        <w:pStyle w:val="Heading31"/>
      </w:pPr>
      <w:r>
        <w:rPr w:lang="en-GB">
          <w:lang w:val="de-DE" w:eastAsia="de-DE"/>
        </w:rPr>
        <w:t>6.1.2. Viszerales Peritoneum</w:t>
      </w:r>
    </w:p>
    <w:p w14:paraId="0F3F4436" w14:textId="77777777" w:rsidR="00051789" w:rsidRDefault="00000000">
      <w:pPr>
        <w:numPr>
          <w:ilvl w:val="0"/>
          <w:numId w:val="30"/>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Es teilt seine extrinsische autonome Innervation mit den Viszera:</w:t>
      </w:r>
      <w:proofErr w:type="gramEnd"/>
      <w:r>
        <w:rPr w:lang="en-GB">
          <w:rFonts w:ascii="Times New Roman" w:hAnsi="Times New Roman" w:cs="Times New Roman"/>
          <w:b/>
          <w:sz w:val="24"/>
          <w:szCs w:val="24"/>
          <w:lang w:val="de-DE" w:eastAsia="de-DE"/>
        </w:rPr>
      </w:r>
    </w:p>
    <w:p w14:paraId="2A1F49DE" w14:textId="77777777" w:rsidR="00FA7859" w:rsidRDefault="00000000" w:rsidP="00FA7859">
      <w:pPr>
        <w:pStyle w:val="ListParagraph"/>
        <w:numPr>
          <w:ilvl w:val="0"/>
          <w:numId w:val="39"/>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Sympathische Innervation: Die Wurzeln stammen aus T8 bis T11 und erreichen über die Nn. splanchnici major et minor die prävertebralen Plexus coeliacus und mesentericus superior.</w:t>
      </w:r>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
    <w:p w14:paraId="35C07C65" w14:textId="77777777" w:rsidR="00FA7859" w:rsidRPr="00FA7859" w:rsidRDefault="00000000" w:rsidP="00FA7859">
      <w:pPr>
        <w:pStyle w:val="ListParagraph"/>
        <w:numPr>
          <w:ilvl w:val="0"/>
          <w:numId w:val="39"/>
        </w:numPr>
        <w:jc w:val="both"/>
        <w:rPr>
          <w:rFonts w:ascii="Times New Roman" w:hAnsi="Times New Roman" w:cs="Times New Roman"/>
          <w:sz w:val="24"/>
          <w:szCs w:val="24"/>
        </w:rPr>
      </w:pPr>
      <w:r w:rsidRPr="00FA7859">
        <w:rPr w:lang="en-GB">
          <w:rFonts w:ascii="Times New Roman" w:hAnsi="Times New Roman" w:cs="Times New Roman"/>
          <w:b/>
          <w:sz w:val="24"/>
          <w:szCs w:val="24"/>
          <w:lang w:val="de-DE" w:eastAsia="de-DE"/>
        </w:rPr>
        <w:t>Sensibilität: Das viszerale Peritoneum ist relativ unempfindlich gegenüber Berührung, Temperaturschwankungen und chirurgischer Inzision. Die viszerale Sensibilität wird über das sympathische Nervensystem vermittelt und durch Darmdistension sowie chemische Substanzen stimuliert (siehe Kapitel 4, Autonomes Nervensystem, S. …).</w:t>
      </w:r>
      <w:r w:rsidRPr="00FA7859">
        <w:rPr w:lang="en-GB">
          <w:rFonts w:ascii="Times New Roman" w:hAnsi="Times New Roman" w:cs="Times New Roman"/>
          <w:sz w:val="24"/>
          <w:szCs w:val="24"/>
          <w:lang w:val="de-DE" w:eastAsia="de-DE"/>
        </w:rPr>
      </w:r>
      <w:r>
        <w:rPr w:lang="en-GB">
          <w:lang w:val="de-DE" w:eastAsia="de-DE"/>
        </w:rPr>
      </w:r>
      <w:r w:rsidRPr="00FA7859">
        <w:rPr w:lang="en-GB">
          <w:rFonts w:ascii="Times New Roman" w:hAnsi="Times New Roman" w:cs="Times New Roman"/>
          <w:sz w:val="24"/>
          <w:szCs w:val="24"/>
          <w:lang w:val="de-DE" w:eastAsia="de-DE"/>
        </w:rPr>
      </w:r>
      <w:r w:rsidRPr="00FA7859">
        <w:rPr w:lang="en-GB">
          <w:rFonts w:ascii="Times New Roman" w:hAnsi="Times New Roman" w:cs="Times New Roman"/>
          <w:b/>
          <w:color w:val="FF0000"/>
          <w:sz w:val="24"/>
          <w:szCs w:val="24"/>
          <w:lang w:val="de-DE" w:eastAsia="de-DE"/>
        </w:rPr>
      </w:r>
    </w:p>
    <w:p w14:paraId="68A484F8" w14:textId="180FEB3F" w:rsidR="00051789" w:rsidRPr="00FA7859" w:rsidRDefault="00000000" w:rsidP="00FA7859">
      <w:pPr>
        <w:pStyle w:val="ListParagraph"/>
        <w:numPr>
          <w:ilvl w:val="0"/>
          <w:numId w:val="39"/>
        </w:numPr>
        <w:jc w:val="both"/>
        <w:rPr>
          <w:rFonts w:ascii="Times New Roman" w:hAnsi="Times New Roman" w:cs="Times New Roman"/>
          <w:sz w:val="24"/>
          <w:szCs w:val="24"/>
        </w:rPr>
      </w:pPr>
      <w:r w:rsidRPr="00FA7859">
        <w:rPr w:lang="en-GB">
          <w:rFonts w:ascii="Times New Roman" w:hAnsi="Times New Roman" w:cs="Times New Roman"/>
          <w:b/>
          <w:sz w:val="24"/>
          <w:szCs w:val="24"/>
          <w:lang w:val="de-DE" w:eastAsia="de-DE"/>
        </w:rPr>
        <w:t>Motorik: Sympathische Aktivität vermindert Peristaltik und intestinale Sekretionen, insbesondere bei Stress, Angst, Furcht oder körperlicher Anstrengung.</w:t>
      </w:r>
      <w:r w:rsidRPr="00FA7859">
        <w:rPr w:lang="en-GB">
          <w:rFonts w:ascii="Times New Roman" w:hAnsi="Times New Roman" w:cs="Times New Roman"/>
          <w:sz w:val="24"/>
          <w:szCs w:val="24"/>
          <w:lang w:val="de-DE" w:eastAsia="de-DE"/>
        </w:rPr>
      </w:r>
    </w:p>
    <w:p w14:paraId="0A8E1383" w14:textId="77777777" w:rsidR="00051789" w:rsidRDefault="00000000">
      <w:pPr>
        <w:pStyle w:val="ListParagraph"/>
        <w:numPr>
          <w:ilvl w:val="0"/>
          <w:numId w:val="38"/>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N. vagus: Er trägt zur Regulation der Verdauungsfunktion bei:</w:t>
      </w:r>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
    <w:p w14:paraId="078F2DE8" w14:textId="77777777" w:rsidR="00051789" w:rsidRDefault="00000000">
      <w:pPr>
        <w:pStyle w:val="ListParagraph"/>
        <w:numPr>
          <w:ilvl w:val="0"/>
          <w:numId w:val="43"/>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Motorik: Er wirkt dem sympathischen System weitgehend antagonistisch entgegen. Er fördert Peristaltik und intestinale Sekretionen sowie die physiologische Darmpermeabilität zur Unterstützung der Resorption. Je nach Kontext kann er außerdem mit einer koordinierten intestinalen Relaxation einhergehen.</w:t>
      </w:r>
      <w:r>
        <w:rPr w:lang="en-GB">
          <w:rFonts w:ascii="Times New Roman" w:hAnsi="Times New Roman" w:cs="Times New Roman"/>
          <w:sz w:val="24"/>
          <w:szCs w:val="24"/>
          <w:lang w:val="de-DE" w:eastAsia="de-DE"/>
        </w:rPr>
      </w:r>
    </w:p>
    <w:p w14:paraId="1AE0E24B" w14:textId="77777777" w:rsidR="00051789" w:rsidRDefault="00000000">
      <w:pPr>
        <w:pStyle w:val="ListParagraph"/>
        <w:numPr>
          <w:ilvl w:val="0"/>
          <w:numId w:val="43"/>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Sensibilität: 70–80 % der Vagusfasern sind afferent und informieren das Gehirn kontinuierlich über den Zustand der Viszera. Der N. vagus ist mit dem intrinsischen Nervensystem verbunden.</w:t>
      </w:r>
      <w:r>
        <w:rPr w:lang="en-GB">
          <w:rFonts w:ascii="Times New Roman" w:hAnsi="Times New Roman" w:cs="Times New Roman"/>
          <w:sz w:val="24"/>
          <w:szCs w:val="24"/>
          <w:lang w:val="de-DE" w:eastAsia="de-DE"/>
        </w:rPr>
      </w:r>
    </w:p>
    <w:p w14:paraId="405615E3" w14:textId="77777777" w:rsidR="00051789" w:rsidRDefault="00000000">
      <w:pPr>
        <w:pStyle w:val="Heading2"/>
      </w:pPr>
      <w:r>
        <w:rPr w:lang="en-GB">
          <w:lang w:val="de-DE" w:eastAsia="de-DE"/>
        </w:rPr>
        <w:t>6.2. Intrinsisches oder enterisches Nervensystem (ENS)</w:t>
      </w:r>
    </w:p>
    <w:p w14:paraId="4192799C" w14:textId="77777777" w:rsidR="00051789" w:rsidRDefault="00000000">
      <w:pPr>
        <w:numPr>
          <w:ilvl w:val="0"/>
          <w:numId w:val="6"/>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Es wird häufig als zweites Gehirn oder Bauchhirn bezeichnet. Es besteht aus intramuralen Plexus, die innerhalb der Darmwand selbst liegen: dem Plexus myentericus (Auerbach-Plexus) und dem Plexus submucosus (Meissner-Plexus).</w:t>
      </w:r>
      <w:proofErr w:type="gramEnd"/>
      <w:r>
        <w:rPr w:lang="en-GB">
          <w:rFonts w:ascii="Times New Roman" w:hAnsi="Times New Roman" w:cs="Times New Roman"/>
          <w:b/>
          <w:sz w:val="24"/>
          <w:szCs w:val="24"/>
          <w:lang w:val="de-DE" w:eastAsia="de-DE"/>
        </w:rPr>
      </w:r>
      <w:proofErr w:type="gramStart"/>
      <w:r>
        <w:rPr w:lang="en-GB">
          <w:rFonts w:ascii="Times New Roman" w:hAnsi="Times New Roman" w:cs="Times New Roman"/>
          <w:b/>
          <w:sz w:val="24"/>
          <w:szCs w:val="24"/>
          <w:lang w:val="de-DE" w:eastAsia="de-DE"/>
        </w:rPr>
      </w:r>
      <w:proofErr w:type="gramEnd"/>
      <w:r>
        <w:rPr w:lang="en-GB">
          <w:rFonts w:ascii="Times New Roman" w:hAnsi="Times New Roman" w:cs="Times New Roman"/>
          <w:b/>
          <w:sz w:val="24"/>
          <w:szCs w:val="24"/>
          <w:lang w:val="de-DE" w:eastAsia="de-DE"/>
        </w:rPr>
      </w:r>
    </w:p>
    <w:p w14:paraId="2B502ED7" w14:textId="77777777" w:rsidR="00051789" w:rsidRDefault="00051789">
      <w:pPr>
        <w:pStyle w:val="ListParagraph"/>
        <w:ind w:left="1070"/>
        <w:jc w:val="both"/>
        <w:rPr>
          <w:rFonts w:ascii="Times New Roman" w:hAnsi="Times New Roman" w:cs="Times New Roman"/>
          <w:sz w:val="24"/>
          <w:szCs w:val="24"/>
        </w:rPr>
      </w:pPr>
    </w:p>
    <w:p w14:paraId="3E21A76D" w14:textId="77777777" w:rsidR="00051789" w:rsidRDefault="00000000">
      <w:pPr>
        <w:pStyle w:val="ListParagraph"/>
        <w:ind w:left="1069"/>
        <w:jc w:val="both"/>
        <w:rPr>
          <w:rFonts w:ascii="Times New Roman" w:hAnsi="Times New Roman" w:cs="Times New Roman"/>
          <w:sz w:val="24"/>
          <w:szCs w:val="24"/>
        </w:rPr>
      </w:pPr>
      <w:r>
        <w:rPr w:lang="en-GB">
          <w:rFonts w:ascii="Times New Roman" w:hAnsi="Times New Roman" w:cs="Times New Roman"/>
          <w:sz w:val="24"/>
          <w:szCs w:val="24"/>
          <w:lang w:val="de-DE" w:eastAsia="de-DE"/>
        </w:rPr>
        <w:t>Das ENS reagiert auf neurohormonelle Signale und auf die chemische Zusammensetzung des Darminhalts.</w:t>
      </w:r>
    </w:p>
    <w:p w14:paraId="2C20D8B7" w14:textId="77777777" w:rsidR="00051789" w:rsidRDefault="00000000">
      <w:pPr>
        <w:pStyle w:val="ListParagraph"/>
        <w:numPr>
          <w:ilvl w:val="0"/>
          <w:numId w:val="38"/>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Funktion: Es kann weitgehend unabhängig von Gehirn und Rückenmark arbeiten, solange die physiologischen Bedingungen dies zulassen.</w:t>
      </w:r>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
    <w:p w14:paraId="0326AF56" w14:textId="77777777" w:rsidR="00051789" w:rsidRDefault="00000000">
      <w:pPr>
        <w:pStyle w:val="ListParagraph"/>
        <w:ind w:left="1353"/>
        <w:jc w:val="both"/>
        <w:rPr>
          <w:rFonts w:ascii="Times New Roman" w:hAnsi="Times New Roman" w:cs="Times New Roman"/>
          <w:sz w:val="24"/>
          <w:szCs w:val="24"/>
        </w:rPr>
      </w:pPr>
      <w:r>
        <w:rPr w:lang="en-GB">
          <w:rFonts w:ascii="Times New Roman" w:hAnsi="Times New Roman" w:cs="Times New Roman"/>
          <w:sz w:val="24"/>
          <w:szCs w:val="24"/>
          <w:lang w:val="de-DE" w:eastAsia="de-DE"/>
        </w:rPr>
        <w:t>Es spielt eine wesentliche Rolle bei der Bildung neurochemischer Mediatoren, darunter ein großer Anteil des körpereigenen Serotonins sowie Acetylcholin, Noradrenalin und GABA, innerhalb eines hochaktiven intestinalen Immunmilieus (siehe Kapitel 4, Autonomes Nervensystem, S. …).</w:t>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r>
        <w:rPr w:lang="en-GB">
          <w:rFonts w:ascii="Times New Roman" w:hAnsi="Times New Roman" w:cs="Times New Roman"/>
          <w:b/>
          <w:color w:val="FF0000"/>
          <w:sz w:val="24"/>
          <w:szCs w:val="24"/>
          <w:lang w:val="de-DE" w:eastAsia="de-DE"/>
        </w:rPr>
      </w:r>
      <w:r>
        <w:rPr w:lang="en-GB">
          <w:rFonts w:ascii="Times New Roman" w:hAnsi="Times New Roman" w:cs="Times New Roman"/>
          <w:color w:val="FF0000"/>
          <w:sz w:val="24"/>
          <w:szCs w:val="24"/>
          <w:lang w:val="de-DE" w:eastAsia="de-DE"/>
        </w:rPr>
      </w:r>
    </w:p>
    <w:p w14:paraId="7E213B53" w14:textId="77777777" w:rsidR="00051789" w:rsidRDefault="00000000">
      <w:pPr>
        <w:pStyle w:val="ListParagraph"/>
        <w:numPr>
          <w:ilvl w:val="0"/>
          <w:numId w:val="38"/>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Intestinaler Schrittmacher: Die Dünndarmwand enthält außerdem spezialisierte interstitielle Cajal-Zellen in der Längs- und Ringmuskelschicht. Diese Zellen erzeugen langsame Wellen, die sich von peristaltischen Wellen unterscheiden, und tragen zur Koordination der Darmmotilität bei.</w:t>
      </w:r>
      <w:r>
        <w:rPr w:lang="en-GB">
          <w:rFonts w:ascii="Times New Roman" w:hAnsi="Times New Roman" w:cs="Times New Roman"/>
          <w:sz w:val="24"/>
          <w:szCs w:val="24"/>
          <w:lang w:val="de-DE" w:eastAsia="de-DE"/>
        </w:rPr>
      </w:r>
      <w:r>
        <w:rPr w:lang="en-GB">
          <w:rFonts w:ascii="Times New Roman" w:hAnsi="Times New Roman" w:cs="Times New Roman"/>
          <w:i/>
          <w:sz w:val="24"/>
          <w:szCs w:val="24"/>
          <w:lang w:val="de-DE" w:eastAsia="de-DE"/>
        </w:rPr>
      </w:r>
      <w:r>
        <w:rPr w:lang="en-GB">
          <w:rFonts w:ascii="Times New Roman" w:hAnsi="Times New Roman" w:cs="Times New Roman"/>
          <w:sz w:val="24"/>
          <w:szCs w:val="24"/>
          <w:lang w:val="de-DE" w:eastAsia="de-DE"/>
        </w:rPr>
      </w:r>
    </w:p>
    <w:p w14:paraId="5BEDCB20" w14:textId="77777777" w:rsidR="00051789" w:rsidRDefault="00000000">
      <w:pPr>
        <w:pStyle w:val="Heading1"/>
        <w:numPr>
          <w:ilvl w:val="0"/>
          <w:numId w:val="1"/>
        </w:numPr>
        <w:rPr>
          <w:rFonts w:ascii="Times New Roman" w:hAnsi="Times New Roman" w:cs="Times New Roman"/>
          <w:color w:val="auto"/>
          <w:highlight w:val="yellow"/>
        </w:rPr>
      </w:pPr>
      <w:r>
        <w:rPr w:lang="en-GB">
          <w:rFonts w:ascii="Times New Roman" w:hAnsi="Times New Roman" w:cs="Times New Roman"/>
          <w:color w:val="auto"/>
          <w:highlight w:val="yellow"/>
          <w:lang w:val="de-DE" w:eastAsia="de-DE"/>
        </w:rPr>
        <w:t>Physiologie</w:t>
      </w:r>
    </w:p>
    <w:p w14:paraId="4C9671A7" w14:textId="77777777" w:rsidR="00051789" w:rsidRDefault="00000000">
      <w:pPr>
        <w:pStyle w:val="Heading2"/>
        <w:numPr>
          <w:ilvl w:val="0"/>
          <w:numId w:val="14"/>
        </w:numPr>
        <w:rPr>
          <w:rFonts w:ascii="Times New Roman" w:hAnsi="Times New Roman" w:cs="Times New Roman"/>
          <w:color w:val="auto"/>
          <w:sz w:val="24"/>
          <w:szCs w:val="24"/>
        </w:rPr>
      </w:pPr>
      <w:r>
        <w:rPr w:lang="en-GB">
          <w:rFonts w:ascii="Times New Roman" w:hAnsi="Times New Roman" w:cs="Times New Roman"/>
          <w:color w:val="auto"/>
          <w:sz w:val="24"/>
          <w:szCs w:val="24"/>
          <w:lang w:val="de-DE" w:eastAsia="de-DE"/>
        </w:rPr>
        <w:t>7.1. Motilität</w:t>
      </w:r>
    </w:p>
    <w:p w14:paraId="4292E424" w14:textId="77777777" w:rsidR="00051789" w:rsidRDefault="00000000">
      <w:pPr>
        <w:rPr>
          <w:rFonts w:ascii="Times New Roman" w:hAnsi="Times New Roman" w:cs="Times New Roman"/>
          <w:sz w:val="24"/>
          <w:szCs w:val="24"/>
        </w:rPr>
      </w:pPr>
      <w:r>
        <w:rPr w:lang="en-GB">
          <w:rFonts w:ascii="Times New Roman" w:hAnsi="Times New Roman" w:cs="Times New Roman"/>
          <w:sz w:val="24"/>
          <w:szCs w:val="24"/>
          <w:lang w:val="de-DE" w:eastAsia="de-DE"/>
        </w:rPr>
        <w:t>Sie wird durch drei Haupttypen von Mechanismen eingeleitet:</w:t>
      </w:r>
    </w:p>
    <w:p w14:paraId="18471611" w14:textId="77777777" w:rsidR="00051789" w:rsidRDefault="00000000">
      <w:pPr>
        <w:pStyle w:val="ListParagraph"/>
        <w:numPr>
          <w:ilvl w:val="1"/>
          <w:numId w:val="7"/>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Mechanisch: Dehnung der Darmwand bei der Passage des Chymus;</w:t>
      </w:r>
      <w:r>
        <w:rPr w:lang="en-GB">
          <w:rFonts w:ascii="Times New Roman" w:hAnsi="Times New Roman" w:cs="Times New Roman"/>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p>
    <w:p w14:paraId="7A264D9C" w14:textId="77777777" w:rsidR="00051789" w:rsidRDefault="00000000">
      <w:pPr>
        <w:pStyle w:val="ListParagraph"/>
        <w:numPr>
          <w:ilvl w:val="1"/>
          <w:numId w:val="7"/>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Neural: vagale Aktivität, beeinflusst durch zephale Signale wie Anblick, Geruch, Geschmack und Textur der Nahrung sowie durch intestinale Mechanorezeptoren. Die vagale Stimulation wird durch die Sekretion des intestinalen Hormons glukoseabhängiges insulinotropes Polypeptid (GIP), früher als gastrisches inhibitorisches Peptid bezeichnet, moduliert;</w:t>
      </w:r>
      <w:r>
        <w:rPr w:lang="en-GB">
          <w:rFonts w:ascii="Times New Roman" w:hAnsi="Times New Roman" w:cs="Times New Roman"/>
          <w:sz w:val="24"/>
          <w:szCs w:val="24"/>
          <w:lang w:val="de-DE" w:eastAsia="de-DE"/>
        </w:rPr>
      </w:r>
      <w:r>
        <w:rPr w:lang="en-GB">
          <w:lang w:val="de-DE" w:eastAsia="de-DE"/>
        </w:rPr>
      </w:r>
      <w:r>
        <w:rPr w:lang="en-GB">
          <w:rFonts w:ascii="Times New Roman" w:hAnsi="Times New Roman" w:cs="Times New Roman"/>
          <w:sz w:val="24"/>
          <w:szCs w:val="24"/>
          <w:lang w:val="de-DE" w:eastAsia="de-DE"/>
        </w:rPr>
      </w:r>
      <w:r>
        <w:rPr w:lang="en-GB">
          <w:rFonts w:ascii="Times New Roman" w:hAnsi="Times New Roman" w:cs="Times New Roman"/>
          <w:i/>
          <w:sz w:val="24"/>
          <w:szCs w:val="24"/>
          <w:lang w:val="de-DE" w:eastAsia="de-DE"/>
        </w:rPr>
      </w:r>
      <w:r>
        <w:rPr w:lang="en-GB">
          <w:rFonts w:ascii="Times New Roman" w:hAnsi="Times New Roman" w:cs="Times New Roman"/>
          <w:sz w:val="24"/>
          <w:szCs w:val="24"/>
          <w:lang w:val="de-DE" w:eastAsia="de-DE"/>
        </w:rPr>
      </w:r>
    </w:p>
    <w:p w14:paraId="2A7C45CC" w14:textId="77777777" w:rsidR="00051789" w:rsidRDefault="00000000">
      <w:pPr>
        <w:pStyle w:val="ListParagraph"/>
        <w:numPr>
          <w:ilvl w:val="1"/>
          <w:numId w:val="7"/>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Hormonell und chemisch: gastrische, duodenale, hepatobiliäre und pankreatische Sekretionen.</w:t>
      </w:r>
      <w:r>
        <w:rPr w:lang="en-GB">
          <w:rFonts w:ascii="Times New Roman" w:hAnsi="Times New Roman" w:cs="Times New Roman"/>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p>
    <w:p w14:paraId="7C8E5AC7" w14:textId="77777777" w:rsidR="00051789" w:rsidRDefault="00000000">
      <w:pPr>
        <w:ind w:left="851"/>
        <w:jc w:val="both"/>
        <w:rPr>
          <w:rFonts w:ascii="Times New Roman" w:hAnsi="Times New Roman" w:cs="Times New Roman"/>
          <w:sz w:val="24"/>
          <w:szCs w:val="24"/>
        </w:rPr>
      </w:pPr>
      <w:r>
        <w:rPr w:lang="en-GB">
          <w:rFonts w:ascii="Times New Roman" w:hAnsi="Times New Roman" w:cs="Times New Roman"/>
          <w:sz w:val="24"/>
          <w:szCs w:val="24"/>
          <w:lang w:val="de-DE" w:eastAsia="de-DE"/>
        </w:rPr>
        <w:t>Der Dünndarm zeigt rhythmische Kontraktionen, Pendelbewegungen und Segmentationsbewegungen, die den Chymus homogenisieren, sowie peristaltische Aktivität, die ihn vorwärts transportiert.</w:t>
      </w:r>
      <w:r>
        <w:rPr w:lang="en-GB">
          <w:rFonts w:ascii="Times New Roman" w:hAnsi="Times New Roman" w:cs="Times New Roman"/>
          <w:i/>
          <w:sz w:val="24"/>
          <w:szCs w:val="24"/>
          <w:lang w:val="de-DE" w:eastAsia="de-DE"/>
        </w:rPr>
      </w:r>
      <w:r>
        <w:rPr w:lang="en-GB">
          <w:rFonts w:ascii="Times New Roman" w:hAnsi="Times New Roman" w:cs="Times New Roman"/>
          <w:sz w:val="24"/>
          <w:szCs w:val="24"/>
          <w:lang w:val="de-DE" w:eastAsia="de-DE"/>
        </w:rPr>
      </w:r>
      <w:r>
        <w:rPr w:lang="en-GB">
          <w:rFonts w:ascii="Times New Roman" w:hAnsi="Times New Roman" w:cs="Times New Roman"/>
          <w:i/>
          <w:sz w:val="24"/>
          <w:szCs w:val="24"/>
          <w:lang w:val="de-DE" w:eastAsia="de-DE"/>
        </w:rPr>
      </w:r>
      <w:r>
        <w:rPr w:lang="en-GB">
          <w:rFonts w:ascii="Times New Roman" w:hAnsi="Times New Roman" w:cs="Times New Roman"/>
          <w:sz w:val="24"/>
          <w:szCs w:val="24"/>
          <w:lang w:val="de-DE" w:eastAsia="de-DE"/>
        </w:rPr>
      </w:r>
    </w:p>
    <w:p w14:paraId="7C3D82EB" w14:textId="77777777" w:rsidR="00051789" w:rsidRDefault="00000000">
      <w:pPr>
        <w:pStyle w:val="Heading2"/>
      </w:pPr>
      <w:r>
        <w:rPr w:lang="en-GB">
          <w:lang w:val="de-DE" w:eastAsia="de-DE"/>
        </w:rPr>
        <w:t>7.2. Intestinales Ökosystem</w:t>
      </w:r>
    </w:p>
    <w:p w14:paraId="5ED470AC" w14:textId="77777777" w:rsidR="00051789" w:rsidRDefault="00000000">
      <w:pPr>
        <w:numPr>
          <w:ilvl w:val="0"/>
          <w:numId w:val="14"/>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Das intestinale Ökosystem besteht aus:</w:t>
      </w:r>
      <w:proofErr w:type="gramEnd"/>
      <w:r>
        <w:rPr w:lang="en-GB">
          <w:rFonts w:ascii="Times New Roman" w:hAnsi="Times New Roman" w:cs="Times New Roman"/>
          <w:b/>
          <w:sz w:val="24"/>
          <w:szCs w:val="24"/>
          <w:lang w:val="de-DE" w:eastAsia="de-DE"/>
        </w:rPr>
      </w:r>
    </w:p>
    <w:p w14:paraId="16F367B4" w14:textId="77777777" w:rsidR="00051789" w:rsidRDefault="00000000">
      <w:pPr>
        <w:pStyle w:val="ListParagraph"/>
        <w:ind w:left="786"/>
        <w:jc w:val="both"/>
        <w:rPr>
          <w:rFonts w:ascii="Times New Roman" w:hAnsi="Times New Roman" w:cs="Times New Roman"/>
          <w:sz w:val="24"/>
          <w:szCs w:val="24"/>
        </w:rPr>
      </w:pPr>
      <w:r>
        <w:rPr w:lang="en-GB">
          <w:rFonts w:ascii="Times New Roman" w:hAnsi="Times New Roman" w:cs="Times New Roman"/>
          <w:sz w:val="24"/>
          <w:szCs w:val="24"/>
          <w:lang w:val="de-DE" w:eastAsia="de-DE"/>
        </w:rPr>
        <w:t>Der Darmschleimhaut;</w:t>
      </w:r>
    </w:p>
    <w:p w14:paraId="12DE297A" w14:textId="77777777" w:rsidR="00051789" w:rsidRDefault="00000000">
      <w:pPr>
        <w:pStyle w:val="ListParagraph"/>
        <w:ind w:left="786"/>
        <w:jc w:val="both"/>
        <w:rPr>
          <w:rFonts w:ascii="Times New Roman" w:hAnsi="Times New Roman" w:cs="Times New Roman"/>
          <w:sz w:val="24"/>
          <w:szCs w:val="24"/>
        </w:rPr>
      </w:pPr>
      <w:r>
        <w:rPr w:lang="en-GB">
          <w:rFonts w:ascii="Times New Roman" w:hAnsi="Times New Roman" w:cs="Times New Roman"/>
          <w:sz w:val="24"/>
          <w:szCs w:val="24"/>
          <w:lang w:val="de-DE" w:eastAsia="de-DE"/>
        </w:rPr>
        <w:t>Dem Immunsystem;</w:t>
      </w:r>
    </w:p>
    <w:p w14:paraId="6FE9F2ED" w14:textId="77777777" w:rsidR="00051789" w:rsidRDefault="00000000">
      <w:pPr>
        <w:pStyle w:val="ListParagraph"/>
        <w:ind w:left="786"/>
        <w:jc w:val="both"/>
        <w:rPr>
          <w:rFonts w:ascii="Times New Roman" w:hAnsi="Times New Roman" w:cs="Times New Roman"/>
          <w:sz w:val="24"/>
          <w:szCs w:val="24"/>
        </w:rPr>
      </w:pPr>
      <w:r>
        <w:rPr w:lang="en-GB">
          <w:rFonts w:ascii="Times New Roman" w:hAnsi="Times New Roman" w:cs="Times New Roman"/>
          <w:sz w:val="24"/>
          <w:szCs w:val="24"/>
          <w:lang w:val="de-DE" w:eastAsia="de-DE"/>
        </w:rPr>
        <w:t>Der intestinalen Mikrobiota.</w:t>
      </w:r>
    </w:p>
    <w:p w14:paraId="7D19647B" w14:textId="77777777" w:rsidR="00051789" w:rsidRDefault="00000000">
      <w:pPr>
        <w:pStyle w:val="Heading31"/>
      </w:pPr>
      <w:r>
        <w:rPr w:lang="en-GB">
          <w:lang w:val="de-DE" w:eastAsia="de-DE"/>
        </w:rPr>
        <w:t>7.2.1. Darmschleimhaut</w:t>
      </w:r>
    </w:p>
    <w:p w14:paraId="5230C296" w14:textId="77777777" w:rsidR="00051789" w:rsidRDefault="00000000">
      <w:pPr>
        <w:numPr>
          <w:ilvl w:val="0"/>
          <w:numId w:val="8"/>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Sie bildet die Grenzfläche zwischen dem inneren Milieu des Körpers und dem Inhalt des Darmlumens:</w:t>
      </w:r>
      <w:proofErr w:type="gramEnd"/>
      <w:r>
        <w:rPr w:lang="en-GB">
          <w:rFonts w:ascii="Times New Roman" w:hAnsi="Times New Roman" w:cs="Times New Roman"/>
          <w:b/>
          <w:sz w:val="24"/>
          <w:szCs w:val="24"/>
          <w:lang w:val="de-DE" w:eastAsia="de-DE"/>
        </w:rPr>
      </w:r>
      <w:proofErr w:type="gramStart"/>
      <w:r>
        <w:rPr w:lang="en-GB">
          <w:rFonts w:ascii="Times New Roman" w:hAnsi="Times New Roman" w:cs="Times New Roman"/>
          <w:b/>
          <w:sz w:val="24"/>
          <w:szCs w:val="24"/>
          <w:lang w:val="de-DE" w:eastAsia="de-DE"/>
        </w:rPr>
      </w:r>
      <w:proofErr w:type="gramEnd"/>
      <w:r>
        <w:rPr w:lang="en-GB">
          <w:rFonts w:ascii="Times New Roman" w:hAnsi="Times New Roman" w:cs="Times New Roman"/>
          <w:b/>
          <w:sz w:val="24"/>
          <w:szCs w:val="24"/>
          <w:lang w:val="de-DE" w:eastAsia="de-DE"/>
        </w:rPr>
      </w:r>
    </w:p>
    <w:p w14:paraId="33A5D0BB" w14:textId="77777777" w:rsidR="00051789" w:rsidRDefault="00000000">
      <w:pPr>
        <w:pStyle w:val="ListParagraph"/>
        <w:numPr>
          <w:ilvl w:val="0"/>
          <w:numId w:val="10"/>
        </w:numPr>
        <w:jc w:val="both"/>
        <w:rPr>
          <w:rFonts w:ascii="Times New Roman" w:hAnsi="Times New Roman" w:cs="Times New Roman"/>
          <w:sz w:val="24"/>
          <w:szCs w:val="24"/>
        </w:rPr>
      </w:pPr>
      <w:r>
        <w:rPr w:lang="en-GB">
          <w:rFonts w:ascii="Times New Roman" w:hAnsi="Times New Roman" w:cs="Times New Roman"/>
          <w:i/>
          <w:sz w:val="24"/>
          <w:szCs w:val="24"/>
          <w:lang w:val="de-DE" w:eastAsia="de-DE"/>
        </w:rPr>
        <w:t>Äußeres Milieu: Das Lumen des Gastrointestinaltrakts, von der Mundhöhle bis zum Anus, steht in Kontinuität mit der Außenwelt.</w:t>
      </w:r>
      <w:r>
        <w:rPr w:lang="en-GB">
          <w:rFonts w:ascii="Times New Roman" w:hAnsi="Times New Roman" w:cs="Times New Roman"/>
          <w:sz w:val="24"/>
          <w:szCs w:val="24"/>
          <w:lang w:val="de-DE" w:eastAsia="de-DE"/>
        </w:rPr>
      </w:r>
    </w:p>
    <w:p w14:paraId="7B456069" w14:textId="77777777" w:rsidR="00051789" w:rsidRDefault="00000000">
      <w:pPr>
        <w:pStyle w:val="ListParagraph"/>
        <w:numPr>
          <w:ilvl w:val="0"/>
          <w:numId w:val="10"/>
        </w:numPr>
        <w:jc w:val="both"/>
        <w:rPr>
          <w:rFonts w:ascii="Times New Roman" w:hAnsi="Times New Roman" w:cs="Times New Roman"/>
          <w:sz w:val="24"/>
          <w:szCs w:val="24"/>
        </w:rPr>
      </w:pPr>
      <w:r>
        <w:rPr w:lang="en-GB">
          <w:rFonts w:ascii="Times New Roman" w:hAnsi="Times New Roman" w:cs="Times New Roman"/>
          <w:i/>
          <w:sz w:val="24"/>
          <w:szCs w:val="24"/>
          <w:lang w:val="de-DE" w:eastAsia="de-DE"/>
        </w:rPr>
        <w:t>Inneres Milieu: Es umfasst die Körperflüssigkeiten – Blut, Lymphe und Interstitialflüssigkeit –, in die die Zellen eingebettet sind. Seine Zusammensetzung wird durch die Homöostase innerhalb enger Grenzen konstant gehalten.</w:t>
      </w:r>
      <w:r>
        <w:rPr w:lang="en-GB">
          <w:rFonts w:ascii="Times New Roman" w:hAnsi="Times New Roman" w:cs="Times New Roman"/>
          <w:sz w:val="24"/>
          <w:szCs w:val="24"/>
          <w:lang w:val="de-DE" w:eastAsia="de-DE"/>
        </w:rPr>
      </w:r>
    </w:p>
    <w:p w14:paraId="2F908B1D" w14:textId="77777777" w:rsidR="00051789" w:rsidRDefault="00000000">
      <w:pPr>
        <w:pStyle w:val="ListParagraph"/>
        <w:ind w:left="1353"/>
        <w:jc w:val="both"/>
        <w:rPr>
          <w:rFonts w:ascii="Times New Roman" w:hAnsi="Times New Roman" w:cs="Times New Roman"/>
          <w:sz w:val="24"/>
          <w:szCs w:val="24"/>
        </w:rPr>
      </w:pPr>
      <w:r>
        <w:rPr w:lang="en-GB">
          <w:rFonts w:ascii="Times New Roman" w:hAnsi="Times New Roman" w:cs="Times New Roman"/>
          <w:sz w:val="24"/>
          <w:szCs w:val="24"/>
          <w:lang w:val="de-DE" w:eastAsia="de-DE"/>
        </w:rPr>
        <w:t>Die Schleimhaut wirkt als selektive Barriere zwischen diesen beiden Milieus und ermöglicht Verdauung und Resorption. Der Dünndarm reguliert einen sehr großen Anteil beider Funktionen.</w:t>
      </w:r>
    </w:p>
    <w:p w14:paraId="5735B1D3" w14:textId="77777777" w:rsidR="00051789" w:rsidRDefault="00000000">
      <w:pPr>
        <w:pStyle w:val="ListParagraph"/>
        <w:numPr>
          <w:ilvl w:val="0"/>
          <w:numId w:val="40"/>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Verdauung: Darunter versteht man die Zerlegung der Nahrung in einfache Moleküle, die anschließend resorbiert werden können. Die Darmschleimhaut enthält Zellen mit unterschiedlichen Funktionen:</w:t>
      </w:r>
      <w:r>
        <w:rPr w:lang="en-GB">
          <w:rFonts w:ascii="Times New Roman" w:hAnsi="Times New Roman" w:cs="Times New Roman"/>
          <w:sz w:val="24"/>
          <w:szCs w:val="24"/>
          <w:lang w:val="de-DE" w:eastAsia="de-DE"/>
        </w:rPr>
      </w:r>
    </w:p>
    <w:p w14:paraId="41F3C0C5" w14:textId="77777777" w:rsidR="00051789" w:rsidRDefault="00000000">
      <w:pPr>
        <w:pStyle w:val="ListParagraph"/>
        <w:numPr>
          <w:ilvl w:val="0"/>
          <w:numId w:val="41"/>
        </w:numPr>
        <w:jc w:val="both"/>
        <w:rPr>
          <w:rFonts w:ascii="Times New Roman" w:hAnsi="Times New Roman" w:cs="Times New Roman"/>
          <w:sz w:val="24"/>
          <w:szCs w:val="24"/>
        </w:rPr>
      </w:pPr>
      <w:r>
        <w:rPr w:lang="en-GB">
          <w:rFonts w:ascii="Times New Roman" w:hAnsi="Times New Roman" w:cs="Times New Roman"/>
          <w:i/>
          <w:sz w:val="24"/>
          <w:szCs w:val="24"/>
          <w:lang w:val="de-DE" w:eastAsia="de-DE"/>
        </w:rPr>
        <w:t>Becherzellen: Sie produzieren schützenden Schleim, der die Schleimhaut bedeckt.</w:t>
      </w:r>
      <w:r>
        <w:rPr w:lang="en-GB">
          <w:rFonts w:ascii="Times New Roman" w:hAnsi="Times New Roman" w:cs="Times New Roman"/>
          <w:sz w:val="24"/>
          <w:szCs w:val="24"/>
          <w:lang w:val="de-DE" w:eastAsia="de-DE"/>
        </w:rPr>
      </w:r>
    </w:p>
    <w:p w14:paraId="3F372C98" w14:textId="77777777" w:rsidR="00051789" w:rsidRDefault="00000000">
      <w:pPr>
        <w:pStyle w:val="ListParagraph"/>
        <w:numPr>
          <w:ilvl w:val="0"/>
          <w:numId w:val="41"/>
        </w:numPr>
        <w:jc w:val="both"/>
        <w:rPr>
          <w:rFonts w:ascii="Times New Roman" w:hAnsi="Times New Roman" w:cs="Times New Roman"/>
          <w:sz w:val="24"/>
          <w:szCs w:val="24"/>
        </w:rPr>
      </w:pPr>
      <w:r>
        <w:rPr w:lang="en-GB">
          <w:rFonts w:ascii="Times New Roman" w:hAnsi="Times New Roman" w:cs="Times New Roman"/>
          <w:i/>
          <w:sz w:val="24"/>
          <w:szCs w:val="24"/>
          <w:lang w:val="de-DE" w:eastAsia="de-DE"/>
        </w:rPr>
        <w:t>Kryptenzellen der Lieberkühn-Krypten: Sie tragen zur Sekretion einer leicht alkalischen Darmflüssigkeit bei und erfüllen enzymatische sowie antimikrobielle Funktionen. Täglich wird etwa 1 L Darmsaft produziert.</w:t>
      </w:r>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
    <w:p w14:paraId="42B693B1" w14:textId="77777777" w:rsidR="00051789" w:rsidRDefault="00000000">
      <w:pPr>
        <w:pStyle w:val="ListParagraph"/>
        <w:numPr>
          <w:ilvl w:val="0"/>
          <w:numId w:val="41"/>
        </w:numPr>
        <w:ind w:left="2124" w:hanging="564"/>
        <w:jc w:val="both"/>
        <w:rPr>
          <w:rFonts w:ascii="Times New Roman" w:hAnsi="Times New Roman" w:cs="Times New Roman"/>
          <w:sz w:val="24"/>
          <w:szCs w:val="24"/>
        </w:rPr>
      </w:pPr>
      <w:r>
        <w:rPr w:lang="en-GB">
          <w:rFonts w:ascii="Times New Roman" w:hAnsi="Times New Roman" w:cs="Times New Roman"/>
          <w:i/>
          <w:sz w:val="24"/>
          <w:szCs w:val="24"/>
          <w:lang w:val="de-DE" w:eastAsia="de-DE"/>
        </w:rPr>
        <w:t>Enterozyten oder resorptive Zellen: Ihre interzelluläre Organisation, einschließlich Desmosomen und Tight Junctions, bildet eine selektive Barriere, die die Resorption von Mikronährstoffen ermöglicht und gleichzeitig den Durchtritt unzureichend verdauter oder unerwünschter Makromoleküle begrenzt.</w:t>
      </w:r>
      <w:r>
        <w:rPr w:lang="en-GB">
          <w:rFonts w:ascii="Times New Roman" w:hAnsi="Times New Roman" w:cs="Times New Roman"/>
          <w:sz w:val="24"/>
          <w:szCs w:val="24"/>
          <w:lang w:val="de-DE" w:eastAsia="de-DE"/>
        </w:rPr>
      </w:r>
    </w:p>
    <w:p w14:paraId="714CCA49" w14:textId="77777777" w:rsidR="00051789" w:rsidRDefault="00000000">
      <w:pPr>
        <w:pStyle w:val="ListParagraph"/>
        <w:numPr>
          <w:ilvl w:val="2"/>
          <w:numId w:val="8"/>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Resorption: Sie erfordert eine physiologische Darmpermeabilität. Die Darmschleimhaut ist mit fingerförmigen Zotten bedeckt, deren zentraler Kern glatte Muskelzellen sowie ein Blut- und Lymphgefäßnetz enthält.</w:t>
      </w:r>
      <w:r>
        <w:rPr w:lang="en-GB">
          <w:rFonts w:ascii="Times New Roman" w:hAnsi="Times New Roman" w:cs="Times New Roman"/>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r>
        <w:rPr w:lang="en-GB">
          <w:rFonts w:ascii="Times New Roman" w:hAnsi="Times New Roman" w:cs="Times New Roman"/>
          <w:color w:val="FF0000"/>
          <w:sz w:val="24"/>
          <w:szCs w:val="24"/>
          <w:lang w:val="de-DE" w:eastAsia="de-DE"/>
        </w:rPr>
      </w:r>
    </w:p>
    <w:p w14:paraId="29F93C52" w14:textId="77777777" w:rsidR="00051789" w:rsidRDefault="00051789">
      <w:pPr>
        <w:pStyle w:val="ListParagraph"/>
        <w:ind w:left="1495"/>
        <w:jc w:val="both"/>
        <w:rPr>
          <w:rFonts w:ascii="Times New Roman" w:hAnsi="Times New Roman" w:cs="Times New Roman"/>
          <w:sz w:val="24"/>
          <w:szCs w:val="24"/>
        </w:rPr>
      </w:pPr>
    </w:p>
    <w:p w14:paraId="598BDB8C" w14:textId="77777777" w:rsidR="00051789" w:rsidRDefault="00000000">
      <w:pPr>
        <w:pStyle w:val="ListParagraph"/>
        <w:ind w:left="1637"/>
        <w:jc w:val="both"/>
        <w:rPr>
          <w:rFonts w:ascii="Times New Roman" w:hAnsi="Times New Roman" w:cs="Times New Roman"/>
          <w:sz w:val="24"/>
          <w:szCs w:val="24"/>
        </w:rPr>
      </w:pPr>
      <w:r>
        <w:rPr w:lang="en-GB">
          <w:rFonts w:ascii="Times New Roman" w:hAnsi="Times New Roman" w:cs="Times New Roman"/>
          <w:sz w:val="24"/>
          <w:szCs w:val="24"/>
          <w:lang w:val="de-DE" w:eastAsia="de-DE"/>
        </w:rPr>
        <w:t>Die Zotten selbst sind mit Mikrovilli bedeckt, die einen Bürstensaum bilden und dadurch die Austauschfläche zwischen Mikronährstoffen und Kapillaren erheblich vergrößern. Entfaltet wurde dem Dünndarm traditionell eine Oberfläche zugeschrieben, die mit der eines Tennisplatzes vergleichbar ist.</w:t>
      </w:r>
    </w:p>
    <w:p w14:paraId="657267D1" w14:textId="77777777" w:rsidR="00051789" w:rsidRDefault="00000000">
      <w:pPr>
        <w:pStyle w:val="ListParagraph"/>
        <w:ind w:left="1637"/>
        <w:jc w:val="both"/>
        <w:rPr>
          <w:rFonts w:ascii="Times New Roman" w:hAnsi="Times New Roman" w:cs="Times New Roman"/>
          <w:sz w:val="24"/>
          <w:szCs w:val="24"/>
        </w:rPr>
      </w:pPr>
      <w:r>
        <w:rPr w:lang="en-GB">
          <w:rFonts w:ascii="Times New Roman" w:hAnsi="Times New Roman" w:cs="Times New Roman"/>
          <w:sz w:val="24"/>
          <w:szCs w:val="24"/>
          <w:lang w:val="de-DE" w:eastAsia="de-DE"/>
        </w:rPr>
        <w:t>Peristaltische Bewegungen verkürzen zusammen mit der Kontraktion der glatten Muskelzellen in den Zotten die Zotten und erleichtern den Übertritt von Mikronährstoffen in Blut- und Lymphkreislauf:</w:t>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r>
        <w:rPr w:lang="en-GB">
          <w:rFonts w:ascii="Times New Roman" w:hAnsi="Times New Roman" w:cs="Times New Roman"/>
          <w:b/>
          <w:sz w:val="24"/>
          <w:szCs w:val="24"/>
          <w:lang w:val="de-DE" w:eastAsia="de-DE"/>
        </w:rPr>
      </w:r>
    </w:p>
    <w:p w14:paraId="7105B495" w14:textId="77777777" w:rsidR="00051789" w:rsidRDefault="00000000">
      <w:pPr>
        <w:pStyle w:val="ListParagraph"/>
        <w:numPr>
          <w:ilvl w:val="2"/>
          <w:numId w:val="8"/>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Blutweg: Blutkapillaren resorbieren Wasser, Mineralsalze, Monosaccharide, Aminosäuren, kurzkettige Fettsäuren und wasserlösliche Vitamine. Diese Nährstoffe werden über das Pfortadersystem zur Leber transportiert.</w:t>
      </w:r>
      <w:r>
        <w:rPr w:lang="en-GB">
          <w:rFonts w:ascii="Times New Roman" w:hAnsi="Times New Roman" w:cs="Times New Roman"/>
          <w:sz w:val="24"/>
          <w:szCs w:val="24"/>
          <w:lang w:val="de-DE" w:eastAsia="de-DE"/>
        </w:rPr>
      </w:r>
    </w:p>
    <w:p w14:paraId="02EDBB68" w14:textId="77777777" w:rsidR="00051789" w:rsidRDefault="00000000">
      <w:pPr>
        <w:pStyle w:val="ListParagraph"/>
        <w:numPr>
          <w:ilvl w:val="2"/>
          <w:numId w:val="8"/>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Lymphweg: Lymphkapillaren bzw. Laktalen resorbieren vorwiegend Fette, langkettige Proteine und die fettlöslichen Vitamine A, D, E und K. Sie gelangen nacheinander in das lymphatische Netzwerk, die Cisterna chyli und den Ductus thoracicus, bevor sie am linken Venenwinkel in den venösen Kreislauf eintreten.</w:t>
      </w:r>
      <w:r>
        <w:rPr w:lang="en-GB">
          <w:rFonts w:ascii="Times New Roman" w:hAnsi="Times New Roman" w:cs="Times New Roman"/>
          <w:sz w:val="24"/>
          <w:szCs w:val="24"/>
          <w:lang w:val="de-DE" w:eastAsia="de-DE"/>
        </w:rPr>
      </w:r>
    </w:p>
    <w:p w14:paraId="753B413F" w14:textId="77777777" w:rsidR="00051789" w:rsidRDefault="00000000">
      <w:pPr>
        <w:pStyle w:val="Heading31"/>
        <w:ind w:left="708"/>
        <w:jc w:val="both"/>
        <w:rPr>
          <w:rFonts w:ascii="Times New Roman" w:hAnsi="Times New Roman" w:cs="Times New Roman"/>
          <w:sz w:val="24"/>
          <w:szCs w:val="24"/>
          <w:highlight w:val="yellow"/>
        </w:rPr>
      </w:pPr>
      <w:r>
        <w:rPr w:lang="en-GB">
          <w:rFonts w:ascii="Times New Roman" w:hAnsi="Times New Roman" w:cs="Times New Roman"/>
          <w:sz w:val="24"/>
          <w:szCs w:val="24"/>
          <w:lang w:val="de-DE" w:eastAsia="de-DE"/>
        </w:rPr>
        <w:t>Relevanz für ROP</w:t>
      </w:r>
    </w:p>
    <w:p w14:paraId="7D42FE21" w14:textId="77777777" w:rsidR="00051789" w:rsidRDefault="00000000">
      <w:pPr>
        <w:pStyle w:val="ListParagraph"/>
        <w:numPr>
          <w:ilvl w:val="0"/>
          <w:numId w:val="35"/>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Die Reflexwirkung auf die Darmmotilität soll Verdauung und Resorption unterstützen;</w:t>
      </w:r>
    </w:p>
    <w:p w14:paraId="0E1C2CA8" w14:textId="77777777" w:rsidR="00051789" w:rsidRDefault="00000000">
      <w:pPr>
        <w:pStyle w:val="ListParagraph"/>
        <w:numPr>
          <w:ilvl w:val="0"/>
          <w:numId w:val="35"/>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Die Reflexwirkung auf Leber und Lymphsystem soll die Qualität der Resorption und die Immunfunktion unterstützen.</w:t>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p>
    <w:p w14:paraId="69E9D576" w14:textId="77777777" w:rsidR="00051789" w:rsidRDefault="00051789">
      <w:pPr>
        <w:pStyle w:val="ListParagraph"/>
        <w:ind w:left="1429"/>
        <w:jc w:val="both"/>
        <w:rPr>
          <w:rFonts w:ascii="Times New Roman" w:hAnsi="Times New Roman" w:cs="Times New Roman"/>
          <w:sz w:val="24"/>
          <w:szCs w:val="24"/>
        </w:rPr>
      </w:pPr>
    </w:p>
    <w:p w14:paraId="4AAF050E" w14:textId="77777777" w:rsidR="00051789" w:rsidRDefault="00000000">
      <w:pPr>
        <w:pStyle w:val="Heading31"/>
      </w:pPr>
      <w:r>
        <w:rPr w:lang="en-GB">
          <w:lang w:val="de-DE" w:eastAsia="de-DE"/>
        </w:rPr>
        <w:t>7.2.2. Intestinales Immunsystem</w:t>
      </w:r>
    </w:p>
    <w:p w14:paraId="3761C739" w14:textId="77777777" w:rsidR="00051789" w:rsidRDefault="00000000">
      <w:pPr>
        <w:numPr>
          <w:ilvl w:val="0"/>
          <w:numId w:val="8"/>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Rezeptoren an der Darmoberfläche erkennen bestimmte Pathogene oder potenziell schädliche Substanzen und präsentieren sie den intestinalen Immunzellen:</w:t>
      </w:r>
      <w:proofErr w:type="gramEnd"/>
      <w:r>
        <w:rPr w:lang="en-GB">
          <w:rFonts w:ascii="Times New Roman" w:hAnsi="Times New Roman" w:cs="Times New Roman"/>
          <w:b/>
          <w:sz w:val="24"/>
          <w:szCs w:val="24"/>
          <w:lang w:val="de-DE" w:eastAsia="de-DE"/>
        </w:rPr>
      </w:r>
    </w:p>
    <w:p w14:paraId="3D24A714" w14:textId="77777777" w:rsidR="00051789" w:rsidRDefault="00000000">
      <w:pPr>
        <w:pStyle w:val="ListParagraph"/>
        <w:numPr>
          <w:ilvl w:val="0"/>
          <w:numId w:val="31"/>
        </w:numPr>
        <w:jc w:val="both"/>
        <w:rPr>
          <w:rFonts w:ascii="Times New Roman" w:hAnsi="Times New Roman" w:cs="Times New Roman"/>
          <w:sz w:val="24"/>
          <w:szCs w:val="24"/>
        </w:rPr>
      </w:pPr>
      <w:r>
        <w:rPr w:lang="en-GB">
          <w:rFonts w:ascii="Times New Roman" w:hAnsi="Times New Roman" w:cs="Times New Roman"/>
          <w:i/>
          <w:sz w:val="24"/>
          <w:szCs w:val="24"/>
          <w:lang w:val="de-DE" w:eastAsia="de-DE"/>
        </w:rPr>
        <w:t>Mastzellen: Sie sind an allergischen, immunologischen und entzündlichen Reaktionen beteiligt;</w:t>
      </w:r>
      <w:r>
        <w:rPr w:lang="en-GB">
          <w:rFonts w:ascii="Times New Roman" w:hAnsi="Times New Roman" w:cs="Times New Roman"/>
          <w:sz w:val="24"/>
          <w:szCs w:val="24"/>
          <w:lang w:val="de-DE" w:eastAsia="de-DE"/>
        </w:rPr>
      </w:r>
    </w:p>
    <w:p w14:paraId="422A8E25" w14:textId="77777777" w:rsidR="00051789" w:rsidRDefault="00000000">
      <w:pPr>
        <w:pStyle w:val="ListParagraph"/>
        <w:numPr>
          <w:ilvl w:val="0"/>
          <w:numId w:val="31"/>
        </w:numPr>
        <w:jc w:val="both"/>
        <w:rPr>
          <w:rFonts w:ascii="Times New Roman" w:hAnsi="Times New Roman" w:cs="Times New Roman"/>
          <w:i/>
          <w:sz w:val="24"/>
          <w:szCs w:val="24"/>
        </w:rPr>
      </w:pPr>
      <w:r>
        <w:rPr w:lang="en-GB">
          <w:rFonts w:ascii="Times New Roman" w:hAnsi="Times New Roman" w:cs="Times New Roman"/>
          <w:i/>
          <w:sz w:val="24"/>
          <w:szCs w:val="24"/>
          <w:lang w:val="de-DE" w:eastAsia="de-DE"/>
        </w:rPr>
        <w:t>Paneth-Zellen: Sie setzen als Reaktion auf bestimmte mikrobielle Reize antimikrobielle Peptide in das Darmlumen frei.</w:t>
      </w:r>
      <w:r>
        <w:rPr w:lang="en-GB">
          <w:rFonts w:ascii="Times New Roman" w:hAnsi="Times New Roman" w:cs="Times New Roman"/>
          <w:sz w:val="24"/>
          <w:szCs w:val="24"/>
          <w:lang w:val="de-DE" w:eastAsia="de-DE"/>
        </w:rPr>
      </w:r>
    </w:p>
    <w:p w14:paraId="759C0026" w14:textId="77777777" w:rsidR="00051789" w:rsidRDefault="00000000">
      <w:pPr>
        <w:pStyle w:val="ListParagraph"/>
        <w:numPr>
          <w:ilvl w:val="0"/>
          <w:numId w:val="31"/>
        </w:numPr>
        <w:jc w:val="both"/>
        <w:rPr>
          <w:rFonts w:ascii="Times New Roman" w:hAnsi="Times New Roman" w:cs="Times New Roman"/>
          <w:i/>
          <w:sz w:val="24"/>
          <w:szCs w:val="24"/>
        </w:rPr>
      </w:pPr>
      <w:r>
        <w:rPr w:lang="en-GB">
          <w:rFonts w:ascii="Times New Roman" w:hAnsi="Times New Roman" w:cs="Times New Roman"/>
          <w:i/>
          <w:sz w:val="24"/>
          <w:szCs w:val="24"/>
          <w:lang w:val="de-DE" w:eastAsia="de-DE"/>
        </w:rPr>
        <w:t>Darmassoziiertes lymphatisches Gewebe (GALT): Es liegt an der Innenseite der Darmschleimhaut und besteht aus Lymphozyten, die entweder einzeln oder in Peyer-Plaques gruppiert vorkommen.</w:t>
      </w:r>
      <w:r>
        <w:rPr w:lang="en-GB">
          <w:rFonts w:ascii="Times New Roman" w:hAnsi="Times New Roman" w:cs="Times New Roman"/>
          <w:sz w:val="24"/>
          <w:szCs w:val="24"/>
          <w:lang w:val="de-DE" w:eastAsia="de-DE"/>
        </w:rPr>
      </w:r>
      <w:r>
        <w:rPr w:lang="en-GB">
          <w:rFonts w:ascii="Times New Roman" w:hAnsi="Times New Roman" w:cs="Times New Roman"/>
          <w:i/>
          <w:sz w:val="24"/>
          <w:szCs w:val="24"/>
          <w:lang w:val="de-DE" w:eastAsia="de-DE"/>
        </w:rPr>
      </w:r>
      <w:r>
        <w:rPr w:lang="en-GB">
          <w:rFonts w:ascii="Times New Roman" w:hAnsi="Times New Roman" w:cs="Times New Roman"/>
          <w:sz w:val="24"/>
          <w:szCs w:val="24"/>
          <w:lang w:val="de-DE" w:eastAsia="de-DE"/>
        </w:rPr>
      </w:r>
    </w:p>
    <w:p w14:paraId="7CBEA26B" w14:textId="77777777" w:rsidR="00051789" w:rsidRDefault="00000000">
      <w:pPr>
        <w:pStyle w:val="ListParagraph"/>
        <w:ind w:left="1495"/>
        <w:jc w:val="both"/>
        <w:rPr>
          <w:rFonts w:ascii="Times New Roman" w:hAnsi="Times New Roman" w:cs="Times New Roman"/>
          <w:sz w:val="24"/>
          <w:szCs w:val="24"/>
        </w:rPr>
      </w:pPr>
      <w:r>
        <w:rPr w:lang="en-GB">
          <w:rFonts w:ascii="Times New Roman" w:hAnsi="Times New Roman" w:cs="Times New Roman"/>
          <w:sz w:val="24"/>
          <w:szCs w:val="24"/>
          <w:lang w:val="de-DE" w:eastAsia="de-DE"/>
        </w:rPr>
        <w:t>Es verhindert das Eindringen pathogener Bakterien in den Blutkreislauf. Unter physiologischen Bedingungen ist die mikrobielle Belastung des Dünndarms aufgrund des Zusammenwirkens von Immunabwehr, Motilität und Luminalmilieu deutlich geringer als die des Kolons.</w:t>
      </w:r>
    </w:p>
    <w:p w14:paraId="3869E360" w14:textId="77777777" w:rsidR="00051789" w:rsidRDefault="00051789">
      <w:pPr>
        <w:pStyle w:val="ListParagraph"/>
        <w:ind w:left="1495"/>
        <w:jc w:val="both"/>
        <w:rPr>
          <w:rFonts w:ascii="Times New Roman" w:hAnsi="Times New Roman" w:cs="Times New Roman"/>
          <w:sz w:val="24"/>
          <w:szCs w:val="24"/>
        </w:rPr>
      </w:pPr>
    </w:p>
    <w:p w14:paraId="5144A122" w14:textId="77777777" w:rsidR="00051789" w:rsidRDefault="00000000">
      <w:pPr>
        <w:pStyle w:val="ListParagraph"/>
        <w:numPr>
          <w:ilvl w:val="0"/>
          <w:numId w:val="8"/>
        </w:numPr>
      </w:pPr>
      <w:r>
        <w:rPr w:lang="en-GB">
          <w:rFonts w:ascii="Times New Roman" w:hAnsi="Times New Roman" w:cs="Times New Roman"/>
          <w:b/>
          <w:sz w:val="24"/>
          <w:szCs w:val="24"/>
          <w:lang w:val="de-DE" w:eastAsia="de-DE"/>
        </w:rPr>
        <w:t>Intestinale Mikrobiota (Darmflora): Sie umfasst Bakterien, Pilze, Hefen, Viren und Protozoen, die in Wechselwirkung mit ihrem Wirt leben. Unter ausgewogenen Bedingungen ist diese Beziehung kommensal oder symbiotisch. Die Zahl der Bakterien im menschlichen Körper wird auf eine Größenordnung von 38 Billionen geschätzt.</w:t>
      </w:r>
      <w:r>
        <w:rPr w:lang="en-GB">
          <w:rFonts w:ascii="Times New Roman" w:hAnsi="Times New Roman" w:cs="Times New Roman"/>
          <w:sz w:val="24"/>
          <w:szCs w:val="24"/>
          <w:lang w:val="de-DE" w:eastAsia="de-DE"/>
        </w:rPr>
      </w:r>
      <w:r>
        <w:rPr w:lang="en-GB">
          <w:rFonts w:ascii="Times New Roman" w:hAnsi="Times New Roman" w:cs="Times New Roman"/>
          <w:sz w:val="24"/>
          <w:szCs w:val="24"/>
          <w:lang w:val="de-DE" w:eastAsia="de-DE"/>
        </w:rPr>
      </w:r>
      <w:r>
        <w:rPr w:lang="en-GB">
          <w:rFonts w:ascii="Times New Roman" w:hAnsi="Times New Roman" w:cs="Times New Roman"/>
          <w:sz w:val="24"/>
          <w:szCs w:val="24"/>
          <w:lang w:val="de-DE" w:eastAsia="de-DE"/>
        </w:rPr>
      </w:r>
    </w:p>
    <w:p w14:paraId="50E66539" w14:textId="77777777" w:rsidR="00051789" w:rsidRDefault="00000000">
      <w:pPr>
        <w:pStyle w:val="ListParagraph"/>
        <w:ind w:left="993"/>
        <w:jc w:val="both"/>
        <w:rPr>
          <w:rFonts w:ascii="Times New Roman" w:hAnsi="Times New Roman" w:cs="Times New Roman"/>
          <w:sz w:val="24"/>
          <w:szCs w:val="24"/>
        </w:rPr>
      </w:pPr>
      <w:r>
        <w:rPr w:lang="en-GB">
          <w:rFonts w:ascii="Times New Roman" w:hAnsi="Times New Roman" w:cs="Times New Roman"/>
          <w:sz w:val="24"/>
          <w:szCs w:val="24"/>
          <w:lang w:val="de-DE" w:eastAsia="de-DE"/>
        </w:rPr>
        <w:t>Die Mikrobiota besiedelt nicht nur den Darm, sondern auch andere Körperhöhlen – die Mundhöhle sowie die Atem- und Genitalwege – und Körperoberflächen.</w:t>
      </w:r>
    </w:p>
    <w:p w14:paraId="31C62DAD" w14:textId="77777777" w:rsidR="00051789" w:rsidRDefault="00000000">
      <w:pPr>
        <w:pStyle w:val="ListParagraph"/>
        <w:ind w:left="993"/>
        <w:jc w:val="both"/>
        <w:rPr>
          <w:rFonts w:ascii="Times New Roman" w:hAnsi="Times New Roman" w:cs="Times New Roman"/>
          <w:sz w:val="24"/>
          <w:szCs w:val="24"/>
        </w:rPr>
      </w:pPr>
      <w:r>
        <w:rPr w:lang="en-GB">
          <w:rFonts w:ascii="Times New Roman" w:hAnsi="Times New Roman" w:cs="Times New Roman"/>
          <w:sz w:val="24"/>
          <w:szCs w:val="24"/>
          <w:lang w:val="de-DE" w:eastAsia="de-DE"/>
        </w:rPr>
        <w:t>Jeder Mensch besitzt eine charakteristische Mikrobiota-Signatur. Ab der Geburt wird der Gastrointestinaltrakt des Neugeborenen schrittweise besiedelt. Mikroorganismen etablieren rasch wechselseitige kommensale Interaktionen mit dem Gastrointestinaltrakt des Säuglings.</w:t>
      </w:r>
      <w:r>
        <w:rPr w:lang="en-GB">
          <w:lang w:val="de-DE" w:eastAsia="de-DE"/>
        </w:rPr>
      </w:r>
      <w:r>
        <w:rPr w:lang="en-GB">
          <w:rFonts w:ascii="Times New Roman" w:hAnsi="Times New Roman" w:cs="Times New Roman"/>
          <w:sz w:val="24"/>
          <w:szCs w:val="24"/>
          <w:lang w:val="de-DE" w:eastAsia="de-DE"/>
        </w:rPr>
      </w:r>
    </w:p>
    <w:p w14:paraId="1AD303E4" w14:textId="77777777" w:rsidR="00051789" w:rsidRDefault="00000000">
      <w:pPr>
        <w:ind w:left="993"/>
        <w:jc w:val="both"/>
        <w:rPr>
          <w:rFonts w:ascii="Times New Roman" w:hAnsi="Times New Roman" w:cs="Times New Roman"/>
          <w:sz w:val="24"/>
          <w:szCs w:val="24"/>
        </w:rPr>
      </w:pPr>
      <w:r>
        <w:rPr w:lang="en-GB">
          <w:rFonts w:ascii="Times New Roman" w:hAnsi="Times New Roman" w:cs="Times New Roman"/>
          <w:sz w:val="24"/>
          <w:szCs w:val="24"/>
          <w:lang w:val="de-DE" w:eastAsia="de-DE"/>
        </w:rPr>
        <w:t>Die Mikrobiota ist ein wichtiger Gesundheitsfaktor: Sie trägt zu Immunität, Verdauung und Resorption bei. Über die Darm-Hirn-Achse interagiert sie außerdem mit zerebralen und emotionalen Funktionen.</w:t>
      </w:r>
    </w:p>
    <w:p w14:paraId="2C490497" w14:textId="77777777" w:rsidR="00051789" w:rsidRDefault="00000000">
      <w:pPr>
        <w:pStyle w:val="Heading1"/>
        <w:numPr>
          <w:ilvl w:val="0"/>
          <w:numId w:val="1"/>
        </w:numPr>
        <w:rPr>
          <w:rFonts w:ascii="Times New Roman" w:hAnsi="Times New Roman" w:cs="Times New Roman"/>
          <w:highlight w:val="yellow"/>
        </w:rPr>
      </w:pPr>
      <w:r>
        <w:rPr w:lang="en-GB">
          <w:rFonts w:ascii="Times New Roman" w:hAnsi="Times New Roman" w:cs="Times New Roman"/>
          <w:highlight w:val="yellow"/>
          <w:lang w:val="de-DE" w:eastAsia="de-DE"/>
        </w:rPr>
        <w:t>Häufige Störungen</w:t>
      </w:r>
    </w:p>
    <w:p w14:paraId="0841E8A1" w14:textId="77777777" w:rsidR="00051789" w:rsidRDefault="00000000">
      <w:pPr>
        <w:pStyle w:val="ListParagraph"/>
        <w:ind w:left="786"/>
        <w:jc w:val="both"/>
        <w:rPr>
          <w:rFonts w:ascii="Times New Roman" w:hAnsi="Times New Roman" w:cs="Times New Roman"/>
          <w:sz w:val="24"/>
          <w:szCs w:val="24"/>
        </w:rPr>
      </w:pPr>
      <w:r>
        <w:rPr w:lang="en-GB">
          <w:rFonts w:ascii="Times New Roman" w:hAnsi="Times New Roman" w:cs="Times New Roman"/>
          <w:sz w:val="24"/>
          <w:szCs w:val="24"/>
          <w:lang w:val="de-DE" w:eastAsia="de-DE"/>
        </w:rPr>
        <w:t>Erhöhte intestinale Permeabilität und Dysbiose werden häufig als miteinander assoziierte Zustände beschrieben, wobei jeder den jeweils anderen begünstigen kann.</w:t>
      </w:r>
    </w:p>
    <w:p w14:paraId="63861ECF" w14:textId="77777777" w:rsidR="00051789" w:rsidRDefault="00000000">
      <w:pPr>
        <w:pStyle w:val="Heading2"/>
      </w:pPr>
      <w:r>
        <w:rPr w:lang="en-GB">
          <w:lang w:val="de-DE" w:eastAsia="de-DE"/>
        </w:rPr>
        <w:t>8.1. Erhöhte intestinale Permeabilität</w:t>
      </w:r>
    </w:p>
    <w:p w14:paraId="2B58DF7D" w14:textId="77777777" w:rsidR="00051789" w:rsidRDefault="00000000">
      <w:pPr>
        <w:numPr>
          <w:ilvl w:val="0"/>
          <w:numId w:val="14"/>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Wenn die interzellulären Verbindungen zwischen den Enterozyten gestört sind, kann die intestinale Permeabilität zunehmen. Dadurch kann der Durchtritt unzureichend verdauter Makromoleküle aus dem Darmlumen verstärkt werden und eine immunologische oder entzündliche Aktivierung auslösen.</w:t>
      </w:r>
      <w:proofErr w:type="gramEnd"/>
      <w:r>
        <w:rPr w:lang="en-GB">
          <w:rFonts w:ascii="Times New Roman" w:hAnsi="Times New Roman" w:cs="Times New Roman"/>
          <w:b/>
          <w:sz w:val="24"/>
          <w:szCs w:val="24"/>
          <w:lang w:val="de-DE" w:eastAsia="de-DE"/>
        </w:rPr>
      </w:r>
    </w:p>
    <w:p w14:paraId="0B8294A8" w14:textId="77777777" w:rsidR="00051789" w:rsidRDefault="00000000">
      <w:pPr>
        <w:pStyle w:val="ListParagraph"/>
        <w:numPr>
          <w:ilvl w:val="0"/>
          <w:numId w:val="44"/>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Ursachen:</w:t>
      </w:r>
      <w:r>
        <w:rPr w:lang="en-GB">
          <w:rFonts w:ascii="Times New Roman" w:hAnsi="Times New Roman" w:cs="Times New Roman"/>
          <w:sz w:val="24"/>
          <w:szCs w:val="24"/>
          <w:lang w:val="de-DE" w:eastAsia="de-DE"/>
        </w:rPr>
      </w:r>
    </w:p>
    <w:p w14:paraId="2B8DA722" w14:textId="77777777" w:rsidR="00051789" w:rsidRDefault="00000000">
      <w:pPr>
        <w:pStyle w:val="ListParagraph"/>
        <w:numPr>
          <w:ilvl w:val="0"/>
          <w:numId w:val="21"/>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Infektionserreger: Staphylokokken, Streptokokken, Escherichia coli, Salmonellen und Candida albicans, die Toxine freisetzen können.</w:t>
      </w:r>
      <w:r>
        <w:rPr w:lang="en-GB">
          <w:rFonts w:ascii="Times New Roman" w:hAnsi="Times New Roman" w:cs="Times New Roman"/>
          <w:sz w:val="24"/>
          <w:szCs w:val="24"/>
          <w:lang w:val="de-DE" w:eastAsia="de-DE"/>
        </w:rPr>
      </w:r>
    </w:p>
    <w:p w14:paraId="74517C5E" w14:textId="77777777" w:rsidR="00051789" w:rsidRDefault="00000000">
      <w:pPr>
        <w:pStyle w:val="ListParagraph"/>
        <w:numPr>
          <w:ilvl w:val="0"/>
          <w:numId w:val="21"/>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Chronischer Stress: Übermäßige sympathische Aktivität und Stresshormone, darunter Adrenalin und Cortisol, verursachen Vasokonstriktion und einen Anstieg des arteriellen Drucks, wodurch die intestinale Durchblutung vermindert und die Schleimhaut geschwächt werden kann.</w:t>
      </w:r>
      <w:r>
        <w:rPr w:lang="en-GB">
          <w:rFonts w:ascii="Times New Roman" w:hAnsi="Times New Roman" w:cs="Times New Roman"/>
          <w:sz w:val="24"/>
          <w:szCs w:val="24"/>
          <w:lang w:val="de-DE" w:eastAsia="de-DE"/>
        </w:rPr>
      </w:r>
    </w:p>
    <w:p w14:paraId="751D2B1D" w14:textId="77777777" w:rsidR="00051789" w:rsidRDefault="00000000">
      <w:pPr>
        <w:pStyle w:val="ListParagraph"/>
        <w:numPr>
          <w:ilvl w:val="0"/>
          <w:numId w:val="21"/>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Ernährung: Stark verarbeitete oder raffinierte Lebensmittel, Nahrungsmittel mit hohem glykämischem Index, gesättigte Fettsäuren, übermäßiger Konsum von Kuhmilch, Gluten oder Fleisch sowie das Garen bei hohen Temperaturen (über 110 °C) können das intestinale Ökosystem beeinträchtigen.</w:t>
      </w:r>
      <w:r>
        <w:rPr w:lang="en-GB">
          <w:rFonts w:ascii="Times New Roman" w:hAnsi="Times New Roman" w:cs="Times New Roman"/>
          <w:sz w:val="24"/>
          <w:szCs w:val="24"/>
          <w:lang w:val="de-DE" w:eastAsia="de-DE"/>
        </w:rPr>
      </w:r>
    </w:p>
    <w:p w14:paraId="7B0BF93C" w14:textId="77777777" w:rsidR="00051789" w:rsidRDefault="00000000">
      <w:pPr>
        <w:pStyle w:val="ListParagraph"/>
        <w:numPr>
          <w:ilvl w:val="0"/>
          <w:numId w:val="21"/>
        </w:numPr>
        <w:jc w:val="both"/>
        <w:rPr>
          <w:rFonts w:ascii="Times New Roman" w:hAnsi="Times New Roman" w:cs="Times New Roman"/>
          <w:b/>
          <w:sz w:val="24"/>
          <w:szCs w:val="24"/>
        </w:rPr>
      </w:pPr>
      <w:r>
        <w:rPr w:lang="en-GB">
          <w:rFonts w:ascii="Times New Roman" w:hAnsi="Times New Roman" w:cs="Times New Roman"/>
          <w:b/>
          <w:sz w:val="24"/>
          <w:szCs w:val="24"/>
          <w:lang w:val="de-DE" w:eastAsia="de-DE"/>
        </w:rPr>
        <w:t>Langanhaltende körperliche Belastung, beispielsweise Langstreckenlauf, kann die splanchnische Perfusion vorübergehend zugunsten des Bewegungsapparates vermindern.</w:t>
      </w:r>
      <w:r>
        <w:rPr w:lang="en-GB">
          <w:rFonts w:ascii="Times New Roman" w:hAnsi="Times New Roman" w:cs="Times New Roman"/>
          <w:sz w:val="24"/>
          <w:szCs w:val="24"/>
          <w:lang w:val="de-DE" w:eastAsia="de-DE"/>
        </w:rPr>
      </w:r>
      <w:r>
        <w:rPr w:lang="en-GB">
          <w:lang w:val="de-DE" w:eastAsia="de-DE"/>
        </w:rPr>
      </w:r>
      <w:r>
        <w:rPr w:lang="en-GB">
          <w:rFonts w:ascii="Times New Roman" w:hAnsi="Times New Roman" w:cs="Times New Roman"/>
          <w:sz w:val="24"/>
          <w:szCs w:val="24"/>
          <w:lang w:val="de-DE" w:eastAsia="de-DE"/>
        </w:rPr>
      </w:r>
      <w:r>
        <w:rPr w:lang="en-GB">
          <w:lang w:val="de-DE" w:eastAsia="de-DE"/>
        </w:rPr>
      </w:r>
    </w:p>
    <w:p w14:paraId="15655CD3" w14:textId="77777777" w:rsidR="00051789" w:rsidRDefault="00000000">
      <w:pPr>
        <w:pStyle w:val="ListParagraph"/>
        <w:numPr>
          <w:ilvl w:val="0"/>
          <w:numId w:val="21"/>
        </w:numPr>
        <w:rPr>
          <w:rFonts w:ascii="Times New Roman" w:hAnsi="Times New Roman" w:cs="Times New Roman"/>
          <w:sz w:val="24"/>
          <w:szCs w:val="24"/>
        </w:rPr>
      </w:pPr>
      <w:r>
        <w:rPr w:lang="en-GB">
          <w:rFonts w:ascii="Times New Roman" w:hAnsi="Times New Roman" w:cs="Times New Roman"/>
          <w:b/>
          <w:sz w:val="24"/>
          <w:szCs w:val="24"/>
          <w:lang w:val="de-DE" w:eastAsia="de-DE"/>
        </w:rPr>
        <w:t>Medikamente: Nichtsteroidale Antirheumatika, Salicylate, Kortikosteroide, Antibiotika und Chemotherapie können mit Veränderungen der Schleimhaut oder Mikrobiota einhergehen. Eine Dysbiose kann daher Ursache, Folge oder beides zugleich einer erhöhten intestinalen Permeabilität sein.</w:t>
      </w:r>
      <w:r>
        <w:rPr w:lang="en-GB">
          <w:rFonts w:ascii="Times New Roman" w:hAnsi="Times New Roman" w:cs="Times New Roman"/>
          <w:sz w:val="24"/>
          <w:szCs w:val="24"/>
          <w:lang w:val="de-DE" w:eastAsia="de-DE"/>
        </w:rPr>
      </w:r>
      <w:r>
        <w:rPr w:lang="en-GB">
          <w:rFonts w:ascii="Times New Roman" w:hAnsi="Times New Roman" w:cs="Times New Roman"/>
          <w:sz w:val="24"/>
          <w:szCs w:val="24"/>
          <w:lang w:val="de-DE" w:eastAsia="de-DE"/>
        </w:rPr>
      </w:r>
    </w:p>
    <w:p w14:paraId="6CA6BF06" w14:textId="77777777" w:rsidR="00051789" w:rsidRDefault="00000000">
      <w:pPr>
        <w:pStyle w:val="ListParagraph"/>
        <w:numPr>
          <w:ilvl w:val="0"/>
          <w:numId w:val="44"/>
        </w:numPr>
        <w:rPr>
          <w:rFonts w:ascii="Times New Roman" w:hAnsi="Times New Roman" w:cs="Times New Roman"/>
          <w:sz w:val="24"/>
          <w:szCs w:val="24"/>
        </w:rPr>
      </w:pPr>
      <w:r>
        <w:rPr w:lang="en-GB">
          <w:rFonts w:ascii="Times New Roman" w:hAnsi="Times New Roman" w:cs="Times New Roman"/>
          <w:b/>
          <w:sz w:val="24"/>
          <w:szCs w:val="24"/>
          <w:lang w:val="de-DE" w:eastAsia="de-DE"/>
        </w:rPr>
        <w:t>Folgen: Sie sind zahlreich:</w:t>
      </w:r>
      <w:r>
        <w:rPr w:lang="en-GB">
          <w:rFonts w:ascii="Times New Roman" w:hAnsi="Times New Roman" w:cs="Times New Roman"/>
          <w:sz w:val="24"/>
          <w:szCs w:val="24"/>
          <w:lang w:val="de-DE" w:eastAsia="de-DE"/>
        </w:rPr>
      </w:r>
    </w:p>
    <w:p w14:paraId="53FB481B" w14:textId="77777777" w:rsidR="00051789" w:rsidRDefault="00000000">
      <w:pPr>
        <w:pStyle w:val="ListParagraph"/>
        <w:numPr>
          <w:ilvl w:val="0"/>
          <w:numId w:val="45"/>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Nahrungsmittelallergien: Eine Störung der Darmbarriere kann die immunologische Exposition gegenüber bestimmten Nahrungsmittelantigenen erhöhen. Bei manchen Menschen kann dies mit allergischen Phänomenen unter Beteiligung von Mastzellen und Histamin einhergehen.</w:t>
      </w:r>
      <w:r>
        <w:rPr w:lang="en-GB">
          <w:rFonts w:ascii="Times New Roman" w:hAnsi="Times New Roman" w:cs="Times New Roman"/>
          <w:sz w:val="24"/>
          <w:szCs w:val="24"/>
          <w:lang w:val="de-DE" w:eastAsia="de-DE"/>
        </w:rPr>
      </w:r>
      <w:r>
        <w:rPr w:lang="en-GB">
          <w:rFonts w:ascii="Times New Roman" w:hAnsi="Times New Roman" w:cs="Times New Roman"/>
          <w:sz w:val="24"/>
          <w:szCs w:val="24"/>
          <w:lang w:val="de-DE" w:eastAsia="de-DE"/>
        </w:rPr>
      </w:r>
      <w:r>
        <w:rPr w:lang="en-GB">
          <w:lang w:val="de-DE" w:eastAsia="de-DE"/>
        </w:rPr>
      </w:r>
      <w:r>
        <w:rPr w:lang="en-GB">
          <w:rFonts w:ascii="Times New Roman" w:hAnsi="Times New Roman" w:cs="Times New Roman"/>
          <w:sz w:val="24"/>
          <w:szCs w:val="24"/>
          <w:lang w:val="de-DE" w:eastAsia="de-DE"/>
        </w:rPr>
      </w:r>
    </w:p>
    <w:p w14:paraId="6A0A289F" w14:textId="77777777" w:rsidR="00051789" w:rsidRDefault="00000000">
      <w:pPr>
        <w:pStyle w:val="ListParagraph"/>
        <w:numPr>
          <w:ilvl w:val="0"/>
          <w:numId w:val="22"/>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Autoimmunerkrankungen: Eine erhöhte intestinale Permeabilität ist bei bestimmten Autoimmunerkrankungen ein assoziierter Faktor. Unzureichend verdaute Proteine, die eine übermäßig permeable Schleimhaut passieren, können als körperfremd erkannt werden. Antikörper richten sich dann gegen diese Fremdantigene und können zudem Gewebe schädigen, an das sie gebunden haben.</w:t>
      </w:r>
      <w:r>
        <w:rPr w:lang="en-GB">
          <w:rFonts w:ascii="Times New Roman" w:hAnsi="Times New Roman" w:cs="Times New Roman"/>
          <w:sz w:val="24"/>
          <w:szCs w:val="24"/>
          <w:lang w:val="de-DE" w:eastAsia="de-DE"/>
        </w:rPr>
      </w:r>
      <w:r>
        <w:rPr w:lang="en-GB">
          <w:lang w:val="de-DE" w:eastAsia="de-DE"/>
        </w:rPr>
      </w:r>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
    <w:p w14:paraId="22C53C6C" w14:textId="77777777" w:rsidR="00051789" w:rsidRDefault="00000000">
      <w:pPr>
        <w:pStyle w:val="ListParagraph"/>
        <w:numPr>
          <w:ilvl w:val="0"/>
          <w:numId w:val="22"/>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Mikronährstoffmängel: Eine beeinträchtigte Resorption kann zu Mangelzuständen an Vitaminen, Mineralstoffen, essenziellen Fettsäuren und anderen Nährstoffen führen.</w:t>
      </w:r>
      <w:r>
        <w:rPr w:lang="en-GB">
          <w:rFonts w:ascii="Times New Roman" w:hAnsi="Times New Roman" w:cs="Times New Roman"/>
          <w:sz w:val="24"/>
          <w:szCs w:val="24"/>
          <w:lang w:val="de-DE" w:eastAsia="de-DE"/>
        </w:rPr>
      </w:r>
    </w:p>
    <w:p w14:paraId="03ABBADA" w14:textId="77777777" w:rsidR="00051789" w:rsidRDefault="00000000">
      <w:pPr>
        <w:pStyle w:val="ListParagraph"/>
        <w:numPr>
          <w:ilvl w:val="0"/>
          <w:numId w:val="22"/>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Erhöhte Leberbelastung: Ein verstärkter Übertritt von Substanzen aus dem Darmlumen in das Pfortadersystem kann die Entgiftungsleistung der Leber stärker beanspruchen.</w:t>
      </w:r>
      <w:r>
        <w:rPr w:lang="en-GB">
          <w:rFonts w:ascii="Times New Roman" w:hAnsi="Times New Roman" w:cs="Times New Roman"/>
          <w:sz w:val="24"/>
          <w:szCs w:val="24"/>
          <w:lang w:val="de-DE" w:eastAsia="de-DE"/>
        </w:rPr>
      </w:r>
      <w:r>
        <w:rPr w:lang="en-GB">
          <w:lang w:val="de-DE" w:eastAsia="de-DE"/>
        </w:rPr>
      </w:r>
    </w:p>
    <w:p w14:paraId="27529614" w14:textId="77777777" w:rsidR="00051789" w:rsidRDefault="00000000">
      <w:pPr>
        <w:pStyle w:val="Heading31"/>
        <w:ind w:left="708"/>
        <w:jc w:val="both"/>
        <w:rPr>
          <w:rFonts w:ascii="Times New Roman" w:hAnsi="Times New Roman" w:cs="Times New Roman"/>
          <w:sz w:val="24"/>
          <w:szCs w:val="24"/>
        </w:rPr>
      </w:pPr>
      <w:r>
        <w:rPr w:lang="en-GB">
          <w:rFonts w:ascii="Times New Roman" w:hAnsi="Times New Roman" w:cs="Times New Roman"/>
          <w:sz w:val="24"/>
          <w:szCs w:val="24"/>
          <w:lang w:val="de-DE" w:eastAsia="de-DE"/>
        </w:rPr>
        <w:t>Relevanz für ROP</w:t>
      </w:r>
    </w:p>
    <w:p w14:paraId="265454EF" w14:textId="77777777" w:rsidR="00051789" w:rsidRDefault="00000000">
      <w:pPr>
        <w:ind w:left="708"/>
        <w:jc w:val="both"/>
        <w:rPr>
          <w:rFonts w:ascii="Times New Roman" w:hAnsi="Times New Roman" w:cs="Times New Roman"/>
          <w:sz w:val="24"/>
          <w:szCs w:val="24"/>
        </w:rPr>
      </w:pPr>
      <w:r>
        <w:rPr w:lang="en-GB">
          <w:rFonts w:ascii="Times New Roman" w:hAnsi="Times New Roman" w:cs="Times New Roman"/>
          <w:b/>
          <w:sz w:val="24"/>
          <w:szCs w:val="24"/>
          <w:lang w:val="de-DE" w:eastAsia="de-DE"/>
        </w:rPr>
        <w:t>Bei Schmerzen und muskuloskelettalen Einschränkungen, insbesondere wenn keine offensichtliche Vorgeschichte von Trauma oder Überlastung besteht, lädt der ROP-Ansatz dazu ein, einen möglichen Zusammenhang mit einer viszeralen Dysfunktion in Betracht zu ziehen.</w:t>
      </w:r>
      <w:r>
        <w:rPr w:lang="en-GB">
          <w:rFonts w:ascii="Times New Roman" w:hAnsi="Times New Roman" w:cs="Times New Roman"/>
          <w:sz w:val="24"/>
          <w:szCs w:val="24"/>
          <w:lang w:val="de-DE" w:eastAsia="de-DE"/>
        </w:rPr>
      </w:r>
    </w:p>
    <w:p w14:paraId="0C4B1C3C" w14:textId="77777777" w:rsidR="00051789" w:rsidRDefault="00000000">
      <w:pPr>
        <w:pStyle w:val="Heading2"/>
      </w:pPr>
      <w:r>
        <w:rPr w:lang="en-GB">
          <w:lang w:val="de-DE" w:eastAsia="de-DE"/>
        </w:rPr>
        <w:t>8.2. Dysbiose</w:t>
      </w:r>
    </w:p>
    <w:p w14:paraId="3886E13F" w14:textId="77777777" w:rsidR="00051789" w:rsidRDefault="00000000">
      <w:pPr>
        <w:numPr>
          <w:ilvl w:val="0"/>
          <w:numId w:val="14"/>
        </w:numPr>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Darunter versteht man eine Störung der Mikrobiota.</w:t>
      </w:r>
      <w:proofErr w:type="gramEnd"/>
      <w:r>
        <w:rPr w:lang="en-GB">
          <w:rFonts w:ascii="Times New Roman" w:hAnsi="Times New Roman" w:cs="Times New Roman"/>
          <w:b/>
          <w:sz w:val="24"/>
          <w:szCs w:val="24"/>
          <w:lang w:val="de-DE" w:eastAsia="de-DE"/>
        </w:rPr>
      </w:r>
    </w:p>
    <w:p w14:paraId="297BF140" w14:textId="77777777" w:rsidR="00051789" w:rsidRDefault="00000000">
      <w:pPr>
        <w:pStyle w:val="ListParagraph"/>
        <w:numPr>
          <w:ilvl w:val="0"/>
          <w:numId w:val="44"/>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Ursachen: Die ausgewogene kommensale Beziehung zwischen Mikroorganismen und ihrem intestinalen Wirt kann durch Stress, Entzündung, Infektion, einen ungesunden Lebensstil oder ein Ernährungsungleichgewicht – etwa übermäßigen Alkohol-, Zucker- oder Proteinkonsum oder eine unzureichende Ballaststoffzufuhr –, durch Antibiotikatherapie, bestimmte Umwelteinflüsse, somatische Dysfunktionen oder Einschränkungen der Wirbelsäule sowie durch Fibrosen des Darms oder seiner mesenterialen und peritonealen Anheftungen gestört werden.</w:t>
      </w:r>
      <w:r>
        <w:rPr w:lang="en-GB">
          <w:rFonts w:ascii="Times New Roman" w:hAnsi="Times New Roman" w:cs="Times New Roman"/>
          <w:sz w:val="24"/>
          <w:szCs w:val="24"/>
          <w:lang w:val="de-DE" w:eastAsia="de-DE"/>
        </w:rPr>
      </w:r>
    </w:p>
    <w:p w14:paraId="12E2E30B" w14:textId="77777777" w:rsidR="00051789" w:rsidRDefault="00000000">
      <w:pPr>
        <w:ind w:left="1069"/>
        <w:rPr>
          <w:rFonts w:ascii="Times New Roman" w:hAnsi="Times New Roman" w:cs="Times New Roman"/>
          <w:sz w:val="24"/>
          <w:szCs w:val="24"/>
        </w:rPr>
      </w:pPr>
      <w:r>
        <w:rPr w:lang="en-GB">
          <w:rFonts w:ascii="Times New Roman" w:hAnsi="Times New Roman" w:cs="Times New Roman"/>
          <w:sz w:val="24"/>
          <w:szCs w:val="24"/>
          <w:lang w:val="de-DE" w:eastAsia="de-DE"/>
        </w:rPr>
        <w:t>Verändert sich die Zusammensetzung der Mikrobiota mit verminderter Diversität oder einem Ungleichgewicht zwischen kommensalen und potenziell pathogenen Spezies, kann der Schleimhautschutz beeinträchtigt werden.</w:t>
      </w:r>
    </w:p>
    <w:p w14:paraId="252CD8B7" w14:textId="77777777" w:rsidR="00051789" w:rsidRDefault="00000000">
      <w:pPr>
        <w:ind w:left="1069"/>
        <w:jc w:val="both"/>
        <w:rPr>
          <w:rFonts w:ascii="Times New Roman" w:hAnsi="Times New Roman" w:cs="Times New Roman"/>
          <w:sz w:val="24"/>
          <w:szCs w:val="24"/>
        </w:rPr>
      </w:pPr>
      <w:r>
        <w:rPr w:lang="en-GB">
          <w:rFonts w:ascii="Times New Roman" w:hAnsi="Times New Roman" w:cs="Times New Roman"/>
          <w:sz w:val="24"/>
          <w:szCs w:val="24"/>
          <w:lang w:val="de-DE" w:eastAsia="de-DE"/>
        </w:rPr>
        <w:t>Die normale Fermentation der Nahrung kann dann in abnorme Fermentations- oder Fäulnisprozesse übergehen.</w:t>
      </w:r>
    </w:p>
    <w:p w14:paraId="4482B567" w14:textId="77777777" w:rsidR="00051789" w:rsidRDefault="00000000">
      <w:pPr>
        <w:ind w:left="1069"/>
        <w:jc w:val="both"/>
        <w:rPr>
          <w:rFonts w:ascii="Times New Roman" w:hAnsi="Times New Roman" w:cs="Times New Roman"/>
          <w:sz w:val="24"/>
          <w:szCs w:val="24"/>
        </w:rPr>
      </w:pPr>
      <w:r>
        <w:rPr w:lang="en-GB">
          <w:rFonts w:ascii="Times New Roman" w:hAnsi="Times New Roman" w:cs="Times New Roman"/>
          <w:sz w:val="24"/>
          <w:szCs w:val="24"/>
          <w:lang w:val="de-DE" w:eastAsia="de-DE"/>
        </w:rPr>
        <w:t>Eine erhöhte intestinale Permeabilität kann sowohl als Ursache als auch als Folge einer Dysbiose angesehen werden. Beide können sich gegenseitig aufrechterhalten.</w:t>
      </w:r>
    </w:p>
    <w:p w14:paraId="657610D9" w14:textId="77777777" w:rsidR="00051789" w:rsidRDefault="00000000">
      <w:pPr>
        <w:ind w:left="1069"/>
        <w:jc w:val="both"/>
        <w:rPr>
          <w:rFonts w:ascii="Times New Roman" w:hAnsi="Times New Roman" w:cs="Times New Roman"/>
          <w:sz w:val="24"/>
          <w:szCs w:val="24"/>
        </w:rPr>
      </w:pPr>
      <w:r>
        <w:rPr w:lang="en-GB">
          <w:rFonts w:ascii="Times New Roman" w:hAnsi="Times New Roman" w:cs="Times New Roman"/>
          <w:sz w:val="24"/>
          <w:szCs w:val="24"/>
          <w:lang w:val="de-DE" w:eastAsia="de-DE"/>
        </w:rPr>
        <w:t>Folgen: Die Maxime von Hippokrates, „alle Krankheit beginnt im Darm“, sollte als historische Intuition und nicht als allgemein wörtlich gültige Aussage verstanden werden. Strenger formuliert ist, wie Professor Sokol betont, bei Dysbiose und erhöhter intestinaler Permeabilität, die häufig gemeinsam auftreten, zwischen Korrelation und Kausalität zu unterscheiden.</w:t>
      </w:r>
      <w:r>
        <w:rPr w:lang="en-GB">
          <w:rFonts w:ascii="Times New Roman" w:hAnsi="Times New Roman" w:cs="Times New Roman"/>
          <w:b/>
          <w:sz w:val="24"/>
          <w:szCs w:val="24"/>
          <w:lang w:val="de-DE" w:eastAsia="de-DE"/>
        </w:rPr>
      </w:r>
      <w:r>
        <w:rPr w:lang="en-GB">
          <w:rFonts w:ascii="Times New Roman" w:hAnsi="Times New Roman" w:cs="Times New Roman"/>
          <w:b/>
          <w:i/>
          <w:sz w:val="24"/>
          <w:szCs w:val="24"/>
          <w:lang w:val="de-DE" w:eastAsia="de-DE"/>
        </w:rPr>
      </w:r>
      <w:r>
        <w:rPr w:lang="en-GB">
          <w:rFonts w:ascii="Times New Roman" w:hAnsi="Times New Roman" w:cs="Times New Roman"/>
          <w:sz w:val="24"/>
          <w:szCs w:val="24"/>
          <w:lang w:val="de-DE" w:eastAsia="de-DE"/>
        </w:rPr>
      </w:r>
    </w:p>
    <w:p w14:paraId="7D714C44" w14:textId="77777777" w:rsidR="00051789" w:rsidRDefault="00000000">
      <w:pPr>
        <w:ind w:left="991"/>
        <w:jc w:val="both"/>
        <w:rPr>
          <w:rFonts w:ascii="Times New Roman" w:hAnsi="Times New Roman" w:cs="Times New Roman"/>
          <w:sz w:val="24"/>
          <w:szCs w:val="24"/>
        </w:rPr>
      </w:pPr>
      <w:r>
        <w:rPr w:lang="en-GB">
          <w:rFonts w:ascii="Times New Roman" w:hAnsi="Times New Roman" w:cs="Times New Roman"/>
          <w:sz w:val="24"/>
          <w:szCs w:val="24"/>
          <w:lang w:val="de-DE" w:eastAsia="de-DE"/>
        </w:rPr>
        <w:t>Dysbiose gilt bei zahlreichen Störungen und Erkrankungen als assoziierter Faktor, darunter:</w:t>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r>
        <w:rPr w:lang="en-GB">
          <w:rFonts w:ascii="Times New Roman" w:hAnsi="Times New Roman" w:cs="Times New Roman"/>
          <w:sz w:val="24"/>
          <w:szCs w:val="24"/>
          <w:lang w:val="de-DE" w:eastAsia="de-DE"/>
        </w:rPr>
      </w:r>
    </w:p>
    <w:p w14:paraId="7E87BB12" w14:textId="77777777" w:rsidR="00051789" w:rsidRDefault="00000000">
      <w:pPr>
        <w:pStyle w:val="ListParagraph"/>
        <w:numPr>
          <w:ilvl w:val="0"/>
          <w:numId w:val="3"/>
        </w:numPr>
        <w:ind w:left="1351"/>
        <w:jc w:val="both"/>
        <w:rPr>
          <w:rFonts w:ascii="Times New Roman" w:hAnsi="Times New Roman" w:cs="Times New Roman"/>
          <w:sz w:val="24"/>
          <w:szCs w:val="24"/>
        </w:rPr>
      </w:pPr>
      <w:r>
        <w:rPr w:lang="en-GB">
          <w:rFonts w:ascii="Times New Roman" w:hAnsi="Times New Roman" w:cs="Times New Roman"/>
          <w:sz w:val="24"/>
          <w:szCs w:val="24"/>
          <w:lang w:val="de-DE" w:eastAsia="de-DE"/>
        </w:rPr>
        <w:t>Colitis ulcerosa, Thyreoiditis und Adrenalitis;</w:t>
      </w:r>
    </w:p>
    <w:p w14:paraId="382090CF" w14:textId="77777777" w:rsidR="00051789" w:rsidRDefault="00000000">
      <w:pPr>
        <w:pStyle w:val="ListParagraph"/>
        <w:numPr>
          <w:ilvl w:val="0"/>
          <w:numId w:val="3"/>
        </w:numPr>
        <w:ind w:left="1351"/>
        <w:jc w:val="both"/>
        <w:rPr>
          <w:rFonts w:ascii="Times New Roman" w:hAnsi="Times New Roman" w:cs="Times New Roman"/>
          <w:sz w:val="24"/>
          <w:szCs w:val="24"/>
        </w:rPr>
      </w:pPr>
      <w:r>
        <w:rPr w:lang="en-GB">
          <w:rFonts w:ascii="Times New Roman" w:hAnsi="Times New Roman" w:cs="Times New Roman"/>
          <w:sz w:val="24"/>
          <w:szCs w:val="24"/>
          <w:lang w:val="de-DE" w:eastAsia="de-DE"/>
        </w:rPr>
        <w:t>Asthma und Sinusitis;</w:t>
      </w:r>
    </w:p>
    <w:p w14:paraId="546024FF" w14:textId="77777777" w:rsidR="00051789" w:rsidRDefault="00000000">
      <w:pPr>
        <w:pStyle w:val="ListParagraph"/>
        <w:numPr>
          <w:ilvl w:val="0"/>
          <w:numId w:val="3"/>
        </w:numPr>
        <w:ind w:left="1351"/>
        <w:jc w:val="both"/>
        <w:rPr>
          <w:rFonts w:ascii="Times New Roman" w:hAnsi="Times New Roman" w:cs="Times New Roman"/>
          <w:sz w:val="24"/>
          <w:szCs w:val="24"/>
        </w:rPr>
      </w:pPr>
      <w:r>
        <w:rPr w:lang="en-GB">
          <w:rFonts w:ascii="Times New Roman" w:hAnsi="Times New Roman" w:cs="Times New Roman"/>
          <w:sz w:val="24"/>
          <w:szCs w:val="24"/>
          <w:lang w:val="de-DE" w:eastAsia="de-DE"/>
        </w:rPr>
        <w:t>Allergien;</w:t>
      </w:r>
    </w:p>
    <w:p w14:paraId="077835A3" w14:textId="77777777" w:rsidR="00051789" w:rsidRDefault="00000000">
      <w:pPr>
        <w:pStyle w:val="ListParagraph"/>
        <w:numPr>
          <w:ilvl w:val="0"/>
          <w:numId w:val="3"/>
        </w:numPr>
        <w:ind w:left="1351"/>
        <w:jc w:val="both"/>
        <w:rPr>
          <w:rFonts w:ascii="Times New Roman" w:hAnsi="Times New Roman" w:cs="Times New Roman"/>
          <w:sz w:val="24"/>
          <w:szCs w:val="24"/>
        </w:rPr>
      </w:pPr>
      <w:r>
        <w:rPr w:lang="en-GB">
          <w:rFonts w:ascii="Times New Roman" w:hAnsi="Times New Roman" w:cs="Times New Roman"/>
          <w:sz w:val="24"/>
          <w:szCs w:val="24"/>
          <w:lang w:val="de-DE" w:eastAsia="de-DE"/>
        </w:rPr>
        <w:t>Arthralgien, insbesondere lumbale Schmerzen;</w:t>
      </w:r>
    </w:p>
    <w:p w14:paraId="29AE7061" w14:textId="77777777" w:rsidR="00051789" w:rsidRDefault="00000000">
      <w:pPr>
        <w:pStyle w:val="ListParagraph"/>
        <w:numPr>
          <w:ilvl w:val="0"/>
          <w:numId w:val="3"/>
        </w:numPr>
        <w:ind w:left="1351"/>
        <w:jc w:val="both"/>
        <w:rPr>
          <w:rFonts w:ascii="Times New Roman" w:hAnsi="Times New Roman" w:cs="Times New Roman"/>
          <w:sz w:val="24"/>
          <w:szCs w:val="24"/>
        </w:rPr>
      </w:pPr>
      <w:r>
        <w:rPr w:lang="en-GB">
          <w:rFonts w:ascii="Times New Roman" w:hAnsi="Times New Roman" w:cs="Times New Roman"/>
          <w:sz w:val="24"/>
          <w:szCs w:val="24"/>
          <w:lang w:val="de-DE" w:eastAsia="de-DE"/>
        </w:rPr>
        <w:t>Fibromyalgie;</w:t>
      </w:r>
    </w:p>
    <w:p w14:paraId="2419FBA0" w14:textId="77777777" w:rsidR="00051789" w:rsidRDefault="00000000">
      <w:pPr>
        <w:pStyle w:val="ListParagraph"/>
        <w:numPr>
          <w:ilvl w:val="0"/>
          <w:numId w:val="3"/>
        </w:numPr>
        <w:ind w:left="1351"/>
        <w:jc w:val="both"/>
        <w:rPr>
          <w:rFonts w:ascii="Times New Roman" w:hAnsi="Times New Roman" w:cs="Times New Roman"/>
          <w:sz w:val="24"/>
          <w:szCs w:val="24"/>
        </w:rPr>
      </w:pPr>
      <w:r>
        <w:rPr w:lang="en-GB">
          <w:rFonts w:ascii="Times New Roman" w:hAnsi="Times New Roman" w:cs="Times New Roman"/>
          <w:sz w:val="24"/>
          <w:szCs w:val="24"/>
          <w:lang w:val="de-DE" w:eastAsia="de-DE"/>
        </w:rPr>
        <w:t>Zystitis;</w:t>
      </w:r>
    </w:p>
    <w:p w14:paraId="13D7006B" w14:textId="77777777" w:rsidR="00051789" w:rsidRDefault="00000000">
      <w:pPr>
        <w:pStyle w:val="ListParagraph"/>
        <w:numPr>
          <w:ilvl w:val="0"/>
          <w:numId w:val="3"/>
        </w:numPr>
        <w:ind w:left="1351"/>
        <w:jc w:val="both"/>
        <w:rPr>
          <w:rFonts w:ascii="Times New Roman" w:hAnsi="Times New Roman" w:cs="Times New Roman"/>
          <w:sz w:val="24"/>
          <w:szCs w:val="24"/>
        </w:rPr>
      </w:pPr>
      <w:r>
        <w:rPr w:lang="en-GB">
          <w:rFonts w:ascii="Times New Roman" w:hAnsi="Times New Roman" w:cs="Times New Roman"/>
          <w:sz w:val="24"/>
          <w:szCs w:val="24"/>
          <w:lang w:val="de-DE" w:eastAsia="de-DE"/>
        </w:rPr>
        <w:t>Bestimmte Formen der Depression;</w:t>
      </w:r>
    </w:p>
    <w:p w14:paraId="3A37D3CD" w14:textId="77777777" w:rsidR="00051789" w:rsidRDefault="00000000">
      <w:pPr>
        <w:pStyle w:val="ListParagraph"/>
        <w:numPr>
          <w:ilvl w:val="0"/>
          <w:numId w:val="3"/>
        </w:numPr>
        <w:ind w:left="1351"/>
        <w:jc w:val="both"/>
        <w:rPr>
          <w:rFonts w:ascii="Times New Roman" w:hAnsi="Times New Roman" w:cs="Times New Roman"/>
          <w:sz w:val="24"/>
          <w:szCs w:val="24"/>
        </w:rPr>
      </w:pPr>
      <w:r>
        <w:rPr w:lang="en-GB">
          <w:rFonts w:ascii="Times New Roman" w:hAnsi="Times New Roman" w:cs="Times New Roman"/>
          <w:sz w:val="24"/>
          <w:szCs w:val="24"/>
          <w:lang w:val="de-DE" w:eastAsia="de-DE"/>
        </w:rPr>
        <w:t>Durch Zahnbelag bedingte Schäden;</w:t>
      </w:r>
    </w:p>
    <w:p w14:paraId="0AC52B87" w14:textId="77777777" w:rsidR="00051789" w:rsidRDefault="00000000">
      <w:pPr>
        <w:pStyle w:val="ListParagraph"/>
        <w:numPr>
          <w:ilvl w:val="0"/>
          <w:numId w:val="3"/>
        </w:numPr>
        <w:ind w:left="1351"/>
        <w:jc w:val="both"/>
        <w:rPr>
          <w:rFonts w:ascii="Times New Roman" w:hAnsi="Times New Roman" w:cs="Times New Roman"/>
          <w:sz w:val="24"/>
          <w:szCs w:val="24"/>
        </w:rPr>
      </w:pPr>
      <w:r>
        <w:rPr w:lang="en-GB">
          <w:rFonts w:ascii="Times New Roman" w:hAnsi="Times New Roman" w:cs="Times New Roman"/>
          <w:sz w:val="24"/>
          <w:szCs w:val="24"/>
          <w:lang w:val="de-DE" w:eastAsia="de-DE"/>
        </w:rPr>
        <w:t>Und weitere.</w:t>
      </w:r>
    </w:p>
    <w:p w14:paraId="49239B88" w14:textId="77777777" w:rsidR="00051789" w:rsidRDefault="00000000">
      <w:pPr>
        <w:ind w:left="708"/>
        <w:jc w:val="both"/>
        <w:rPr>
          <w:rFonts w:ascii="Times New Roman" w:hAnsi="Times New Roman" w:cs="Times New Roman"/>
          <w:sz w:val="24"/>
          <w:szCs w:val="24"/>
        </w:rPr>
      </w:pPr>
      <w:r>
        <w:rPr w:lang="en-GB">
          <w:rFonts w:ascii="Times New Roman" w:hAnsi="Times New Roman" w:cs="Times New Roman"/>
          <w:sz w:val="24"/>
          <w:szCs w:val="24"/>
          <w:lang w:val="de-DE" w:eastAsia="de-DE"/>
        </w:rPr>
        <w:t>Einige Autoren, darunter Dr. Donatini, ein Spezialist für die Mikrobiota, vermuten, dass bestimmte neurodegenerative Erkrankungen wie Morbus Parkinson, Multiple Sklerose und Alzheimer-Krankheit über den N. vagus mit dem enterischen Nervensystem in Verbindung stehen könnten.</w:t>
      </w:r>
      <w:r>
        <w:rPr w:lang="en-GB">
          <w:rFonts w:ascii="Times New Roman" w:hAnsi="Times New Roman" w:cs="Times New Roman"/>
          <w:sz w:val="24"/>
          <w:szCs w:val="24"/>
          <w:lang w:val="de-DE" w:eastAsia="de-DE"/>
        </w:rPr>
      </w:r>
    </w:p>
    <w:p w14:paraId="761280CD" w14:textId="77777777" w:rsidR="00051789" w:rsidRDefault="00000000">
      <w:pPr>
        <w:pStyle w:val="ListParagraph"/>
        <w:numPr>
          <w:ilvl w:val="0"/>
          <w:numId w:val="44"/>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Warnzeichen einer Dysbiose und einer erhöhten intestinalen Permeabilität:</w:t>
      </w:r>
      <w:r>
        <w:rPr w:lang="en-GB">
          <w:rFonts w:ascii="Times New Roman" w:hAnsi="Times New Roman" w:cs="Times New Roman"/>
          <w:sz w:val="24"/>
          <w:szCs w:val="24"/>
          <w:lang w:val="de-DE" w:eastAsia="de-DE"/>
        </w:rPr>
      </w:r>
      <w:r>
        <w:rPr w:lang="en-GB">
          <w:rFonts w:ascii="Times New Roman" w:hAnsi="Times New Roman" w:cs="Times New Roman"/>
          <w:b/>
          <w:sz w:val="24"/>
          <w:szCs w:val="24"/>
          <w:lang w:val="de-DE" w:eastAsia="de-DE"/>
        </w:rPr>
      </w:r>
      <w:r>
        <w:rPr w:lang="en-GB">
          <w:rFonts w:ascii="Times New Roman" w:hAnsi="Times New Roman" w:cs="Times New Roman"/>
          <w:sz w:val="24"/>
          <w:szCs w:val="24"/>
          <w:lang w:val="de-DE" w:eastAsia="de-DE"/>
        </w:rPr>
      </w:r>
    </w:p>
    <w:p w14:paraId="3EE434DB" w14:textId="77777777" w:rsidR="00051789" w:rsidRDefault="00000000">
      <w:pPr>
        <w:pStyle w:val="ListParagraph"/>
        <w:numPr>
          <w:ilvl w:val="0"/>
          <w:numId w:val="3"/>
        </w:numPr>
        <w:ind w:left="1495"/>
        <w:jc w:val="both"/>
        <w:rPr>
          <w:rFonts w:ascii="Times New Roman" w:hAnsi="Times New Roman" w:cs="Times New Roman"/>
          <w:sz w:val="24"/>
          <w:szCs w:val="24"/>
        </w:rPr>
      </w:pPr>
      <w:r>
        <w:rPr w:lang="en-GB">
          <w:rFonts w:ascii="Times New Roman" w:hAnsi="Times New Roman" w:cs="Times New Roman"/>
          <w:sz w:val="24"/>
          <w:szCs w:val="24"/>
          <w:lang w:val="de-DE" w:eastAsia="de-DE"/>
        </w:rPr>
        <w:t>Halitosis;</w:t>
      </w:r>
    </w:p>
    <w:p w14:paraId="53CC7D1D" w14:textId="77777777" w:rsidR="00051789" w:rsidRDefault="00000000">
      <w:pPr>
        <w:pStyle w:val="ListParagraph"/>
        <w:numPr>
          <w:ilvl w:val="0"/>
          <w:numId w:val="3"/>
        </w:numPr>
        <w:ind w:left="1495"/>
        <w:jc w:val="both"/>
        <w:rPr>
          <w:rFonts w:ascii="Times New Roman" w:hAnsi="Times New Roman" w:cs="Times New Roman"/>
          <w:sz w:val="24"/>
          <w:szCs w:val="24"/>
        </w:rPr>
      </w:pPr>
      <w:r>
        <w:rPr w:lang="en-GB">
          <w:rFonts w:ascii="Times New Roman" w:hAnsi="Times New Roman" w:cs="Times New Roman"/>
          <w:sz w:val="24"/>
          <w:szCs w:val="24"/>
          <w:lang w:val="de-DE" w:eastAsia="de-DE"/>
        </w:rPr>
        <w:t>Aufstoßen;</w:t>
      </w:r>
    </w:p>
    <w:p w14:paraId="66E8AD48" w14:textId="77777777" w:rsidR="00051789" w:rsidRDefault="00000000">
      <w:pPr>
        <w:pStyle w:val="ListParagraph"/>
        <w:numPr>
          <w:ilvl w:val="0"/>
          <w:numId w:val="3"/>
        </w:numPr>
        <w:ind w:left="1495"/>
        <w:jc w:val="both"/>
        <w:rPr>
          <w:rFonts w:ascii="Times New Roman" w:hAnsi="Times New Roman" w:cs="Times New Roman"/>
          <w:sz w:val="24"/>
          <w:szCs w:val="24"/>
        </w:rPr>
      </w:pPr>
      <w:r>
        <w:rPr w:lang="en-GB">
          <w:rFonts w:ascii="Times New Roman" w:hAnsi="Times New Roman" w:cs="Times New Roman"/>
          <w:sz w:val="24"/>
          <w:szCs w:val="24"/>
          <w:lang w:val="de-DE" w:eastAsia="de-DE"/>
        </w:rPr>
        <w:t>Intestinale Blähungen;</w:t>
      </w:r>
    </w:p>
    <w:p w14:paraId="074C84A4" w14:textId="77777777" w:rsidR="00051789" w:rsidRDefault="00000000">
      <w:pPr>
        <w:pStyle w:val="ListParagraph"/>
        <w:numPr>
          <w:ilvl w:val="0"/>
          <w:numId w:val="3"/>
        </w:numPr>
        <w:ind w:left="1495"/>
        <w:jc w:val="both"/>
        <w:rPr>
          <w:rFonts w:ascii="Times New Roman" w:hAnsi="Times New Roman" w:cs="Times New Roman"/>
          <w:sz w:val="24"/>
          <w:szCs w:val="24"/>
        </w:rPr>
      </w:pPr>
      <w:r>
        <w:rPr w:lang="en-GB">
          <w:rFonts w:ascii="Times New Roman" w:hAnsi="Times New Roman" w:cs="Times New Roman"/>
          <w:sz w:val="24"/>
          <w:szCs w:val="24"/>
          <w:lang w:val="de-DE" w:eastAsia="de-DE"/>
        </w:rPr>
        <w:t>Übelriechende Flatulenz;</w:t>
      </w:r>
    </w:p>
    <w:p w14:paraId="1D89471F" w14:textId="77777777" w:rsidR="00051789" w:rsidRDefault="00000000">
      <w:pPr>
        <w:pStyle w:val="ListParagraph"/>
        <w:numPr>
          <w:ilvl w:val="0"/>
          <w:numId w:val="3"/>
        </w:numPr>
        <w:ind w:left="1495"/>
        <w:jc w:val="both"/>
        <w:rPr>
          <w:rFonts w:ascii="Times New Roman" w:hAnsi="Times New Roman" w:cs="Times New Roman"/>
          <w:sz w:val="24"/>
          <w:szCs w:val="24"/>
        </w:rPr>
      </w:pPr>
      <w:r>
        <w:rPr w:lang="en-GB">
          <w:rFonts w:ascii="Times New Roman" w:hAnsi="Times New Roman" w:cs="Times New Roman"/>
          <w:sz w:val="24"/>
          <w:szCs w:val="24"/>
          <w:lang w:val="de-DE" w:eastAsia="de-DE"/>
        </w:rPr>
        <w:t>Obstipation und/oder Diarrhö;</w:t>
      </w:r>
    </w:p>
    <w:p w14:paraId="367A24F0" w14:textId="77777777" w:rsidR="00051789" w:rsidRDefault="00000000">
      <w:pPr>
        <w:pStyle w:val="ListParagraph"/>
        <w:numPr>
          <w:ilvl w:val="0"/>
          <w:numId w:val="3"/>
        </w:numPr>
        <w:ind w:left="1495"/>
        <w:jc w:val="both"/>
        <w:rPr>
          <w:rFonts w:ascii="Times New Roman" w:hAnsi="Times New Roman" w:cs="Times New Roman"/>
          <w:sz w:val="24"/>
          <w:szCs w:val="24"/>
        </w:rPr>
      </w:pPr>
      <w:r>
        <w:rPr w:lang="en-GB">
          <w:rFonts w:ascii="Times New Roman" w:hAnsi="Times New Roman" w:cs="Times New Roman"/>
          <w:sz w:val="24"/>
          <w:szCs w:val="24"/>
          <w:lang w:val="de-DE" w:eastAsia="de-DE"/>
        </w:rPr>
        <w:t>Sodbrennen;</w:t>
      </w:r>
    </w:p>
    <w:p w14:paraId="06E7D944" w14:textId="77777777" w:rsidR="00051789" w:rsidRDefault="00000000">
      <w:pPr>
        <w:pStyle w:val="ListParagraph"/>
        <w:numPr>
          <w:ilvl w:val="0"/>
          <w:numId w:val="3"/>
        </w:numPr>
        <w:ind w:left="1495"/>
        <w:jc w:val="both"/>
        <w:rPr>
          <w:rFonts w:ascii="Times New Roman" w:hAnsi="Times New Roman" w:cs="Times New Roman"/>
          <w:sz w:val="24"/>
          <w:szCs w:val="24"/>
        </w:rPr>
      </w:pPr>
      <w:r>
        <w:rPr w:lang="en-GB">
          <w:rFonts w:ascii="Times New Roman" w:hAnsi="Times New Roman" w:cs="Times New Roman"/>
          <w:sz w:val="24"/>
          <w:szCs w:val="24"/>
          <w:lang w:val="de-DE" w:eastAsia="de-DE"/>
        </w:rPr>
        <w:t>Ausgeprägtes Verlangen nach Zucker und rohem Fleisch.</w:t>
      </w:r>
    </w:p>
    <w:p w14:paraId="0786C386" w14:textId="77777777" w:rsidR="00051789" w:rsidRDefault="00000000">
      <w:pPr>
        <w:pStyle w:val="Heading2"/>
      </w:pPr>
      <w:r>
        <w:rPr w:lang="en-GB">
          <w:lang w:val="de-DE" w:eastAsia="de-DE"/>
        </w:rPr>
        <w:t>8.3. Zustände, die eine ärztliche Abklärung erfordern</w:t>
      </w:r>
    </w:p>
    <w:p w14:paraId="58079989" w14:textId="77777777" w:rsidR="00051789" w:rsidRDefault="00000000">
      <w:pPr>
        <w:numPr>
          <w:ilvl w:val="1"/>
          <w:numId w:val="9"/>
        </w:numPr>
        <w:ind w:left="852" w:hanging="426"/>
        <w:jc w:val="both"/>
        <w:rPr>
          <w:rFonts w:ascii="Times New Roman" w:hAnsi="Times New Roman" w:cs="Times New Roman"/>
          <w:sz w:val="24"/>
          <w:szCs w:val="24"/>
        </w:rPr>
      </w:pPr>
      <w:proofErr w:type="gramStart"/>
      <w:r>
        <w:rPr w:lang="en-GB">
          <w:rFonts w:ascii="Times New Roman" w:hAnsi="Times New Roman" w:cs="Times New Roman"/>
          <w:b/>
          <w:sz w:val="24"/>
          <w:szCs w:val="24"/>
          <w:lang w:val="de-DE" w:eastAsia="de-DE"/>
        </w:rPr>
        <w:t>Bestimmte Symptome sollten Anlass zu einer ärztlichen Abklärung geben:</w:t>
      </w:r>
      <w:proofErr w:type="gramEnd"/>
      <w:r>
        <w:rPr w:lang="en-GB">
          <w:rFonts w:ascii="Times New Roman" w:hAnsi="Times New Roman" w:cs="Times New Roman"/>
          <w:b/>
          <w:sz w:val="24"/>
          <w:szCs w:val="24"/>
          <w:lang w:val="de-DE" w:eastAsia="de-DE"/>
        </w:rPr>
      </w:r>
    </w:p>
    <w:p w14:paraId="3699FCE7"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Fieber;</w:t>
      </w:r>
    </w:p>
    <w:p w14:paraId="4C88057B"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Hellrotes oder schwarzes Blut im Stuhl;</w:t>
      </w:r>
    </w:p>
    <w:p w14:paraId="1947182D"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Schwere Dehydratation;</w:t>
      </w:r>
    </w:p>
    <w:p w14:paraId="57773DAE"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Ausgeprägter, unerklärter Gewichtsverlust;</w:t>
      </w:r>
    </w:p>
    <w:p w14:paraId="1486130E"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Wechsel zwischen Obstipation und Diarrhö;</w:t>
      </w:r>
    </w:p>
    <w:p w14:paraId="7695C791"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Erbrechen;</w:t>
      </w:r>
    </w:p>
    <w:p w14:paraId="6B15EA74"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Kolikartige Schmerzen in der Nabelregion;</w:t>
      </w:r>
    </w:p>
    <w:p w14:paraId="42D049D2"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Abdominelle Distension;</w:t>
      </w:r>
    </w:p>
    <w:p w14:paraId="4BACC37F"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Darmobstruktion: Das Ausbleiben von Stuhl- und Windabgang kann durch eine mechanische Obstruktion oder einen paralytischen Ileus bedingt sein. Der Begriff Ileus bezeichnet eine Beeinträchtigung der Darmpassage. Eine mechanische Obstruktion wird durch ein physisches Hindernis wie einen Tumor, postoperative Adhäsionen oder Briden verursacht, während der paralytische Ileus eine funktionelle Obstruktion infolge des Verlusts des intestinalen peristaltischen Tonus darstellt (siehe Indikationen).</w:t>
      </w:r>
      <w:r>
        <w:rPr w:lang="en-GB">
          <w:rFonts w:ascii="Times New Roman" w:hAnsi="Times New Roman" w:cs="Times New Roman"/>
          <w:i/>
          <w:sz w:val="24"/>
          <w:szCs w:val="24"/>
          <w:lang w:val="de-DE" w:eastAsia="de-DE"/>
        </w:rPr>
      </w:r>
      <w:r>
        <w:rPr w:lang="en-GB">
          <w:rFonts w:ascii="Times New Roman" w:hAnsi="Times New Roman" w:cs="Times New Roman"/>
          <w:sz w:val="24"/>
          <w:szCs w:val="24"/>
          <w:lang w:val="de-DE" w:eastAsia="de-DE"/>
        </w:rPr>
      </w:r>
    </w:p>
    <w:p w14:paraId="3DD4C08B"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Im Gegensatz zur Peritonitis führt eine Darmobstruktion nicht zu einer unwillkürlichen Abwehrspannung der Bauchwand. Früh im Verlauf kann proximal der Obstruktion eine sichtbare Hyperperistaltik auftreten, wenn der Darm versucht, das Hindernis zu überwinden. Eine Distension proximal der Obstruktion kann über den intestino-intestinalen Reflex die Darmmotilität distal hemmen.</w:t>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
    <w:p w14:paraId="25EB736F"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Eine nicht reponible, inkarzerierte Leistenhernie;</w:t>
      </w:r>
    </w:p>
    <w:p w14:paraId="54B8221E"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Palpable Lymphknoten im Abdomen oder am linken Venenwinkel (Virchow-Knoten/Troisier-Knoten), die den Verdacht auf eine maligne Erkrankung begründen;</w:t>
      </w:r>
    </w:p>
    <w:p w14:paraId="3701CCF7" w14:textId="77777777" w:rsidR="00051789" w:rsidRDefault="00000000">
      <w:pPr>
        <w:pStyle w:val="ListParagraph"/>
        <w:numPr>
          <w:ilvl w:val="0"/>
          <w:numId w:val="3"/>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Ein positives Eiswürfelzeichen (Ballottement eines schwimmenden Abdominalorgans bei Aszites) als Hinweis auf intraabdominelle Flüssigkeit.</w:t>
      </w:r>
    </w:p>
    <w:p w14:paraId="5B20E111" w14:textId="77777777" w:rsidR="00051789" w:rsidRDefault="00000000">
      <w:pPr>
        <w:pStyle w:val="Heading2"/>
      </w:pPr>
      <w:r>
        <w:rPr w:lang="en-GB">
          <w:lang w:val="de-DE" w:eastAsia="de-DE"/>
        </w:rPr>
        <w:t>8.4. Indikationen: funktionelle Störungen</w:t>
      </w:r>
    </w:p>
    <w:p w14:paraId="6CF60842" w14:textId="77777777" w:rsidR="00051789" w:rsidRDefault="00000000">
      <w:pPr>
        <w:pStyle w:val="ListParagraph"/>
        <w:numPr>
          <w:ilvl w:val="0"/>
          <w:numId w:val="20"/>
        </w:numPr>
        <w:jc w:val="both"/>
        <w:rPr>
          <w:rFonts w:ascii="Times New Roman" w:hAnsi="Times New Roman" w:cs="Times New Roman"/>
          <w:b/>
          <w:sz w:val="24"/>
          <w:szCs w:val="24"/>
        </w:rPr>
      </w:pPr>
      <w:r>
        <w:rPr w:lang="en-GB">
          <w:rFonts w:ascii="Times New Roman" w:hAnsi="Times New Roman" w:cs="Times New Roman"/>
          <w:b/>
          <w:sz w:val="24"/>
          <w:szCs w:val="24"/>
          <w:lang w:val="de-DE" w:eastAsia="de-DE"/>
        </w:rPr>
        <w:t>Dysbiose;</w:t>
      </w:r>
      <w:r>
        <w:rPr w:lang="en-GB">
          <w:rFonts w:ascii="Times New Roman" w:hAnsi="Times New Roman" w:cs="Times New Roman"/>
          <w:sz w:val="24"/>
          <w:szCs w:val="24"/>
          <w:lang w:val="de-DE" w:eastAsia="de-DE"/>
        </w:rPr>
      </w:r>
    </w:p>
    <w:p w14:paraId="35A7B926" w14:textId="77777777" w:rsidR="00051789" w:rsidRDefault="00000000">
      <w:pPr>
        <w:pStyle w:val="ListParagraph"/>
        <w:numPr>
          <w:ilvl w:val="0"/>
          <w:numId w:val="20"/>
        </w:numPr>
        <w:jc w:val="both"/>
        <w:rPr>
          <w:rFonts w:ascii="Times New Roman" w:hAnsi="Times New Roman" w:cs="Times New Roman"/>
          <w:b/>
          <w:sz w:val="24"/>
          <w:szCs w:val="24"/>
        </w:rPr>
      </w:pPr>
      <w:r>
        <w:rPr w:lang="en-GB">
          <w:rFonts w:ascii="Times New Roman" w:hAnsi="Times New Roman" w:cs="Times New Roman"/>
          <w:b/>
          <w:sz w:val="24"/>
          <w:szCs w:val="24"/>
          <w:lang w:val="de-DE" w:eastAsia="de-DE"/>
        </w:rPr>
        <w:t>Folgezustände nach Gastroenteritis.</w:t>
      </w:r>
      <w:r>
        <w:rPr w:lang="en-GB">
          <w:rFonts w:ascii="Times New Roman" w:hAnsi="Times New Roman" w:cs="Times New Roman"/>
          <w:sz w:val="24"/>
          <w:szCs w:val="24"/>
          <w:lang w:val="de-DE" w:eastAsia="de-DE"/>
        </w:rPr>
      </w:r>
    </w:p>
    <w:p w14:paraId="7E76B34E" w14:textId="77777777" w:rsidR="00051789" w:rsidRDefault="00000000">
      <w:pPr>
        <w:pStyle w:val="Heading31"/>
      </w:pPr>
      <w:r>
        <w:rPr w:lang="en-GB">
          <w:lang w:val="de-DE" w:eastAsia="de-DE"/>
        </w:rPr>
        <w:t>8.4.1. Enteroptose</w:t>
      </w:r>
    </w:p>
    <w:p w14:paraId="2AC9A2A3" w14:textId="77777777" w:rsidR="00051789" w:rsidRDefault="00000000">
      <w:pPr>
        <w:numPr>
          <w:ilvl w:val="0"/>
          <w:numId w:val="20"/>
        </w:numPr>
        <w:jc w:val="both"/>
        <w:rPr>
          <w:rFonts w:ascii="Times New Roman" w:hAnsi="Times New Roman" w:cs="Times New Roman"/>
          <w:b/>
          <w:sz w:val="24"/>
          <w:szCs w:val="24"/>
        </w:rPr>
      </w:pPr>
      <w:proofErr w:type="gramStart"/>
      <w:r>
        <w:rPr w:lang="en-GB">
          <w:rFonts w:ascii="Times New Roman" w:hAnsi="Times New Roman" w:cs="Times New Roman"/>
          <w:b/>
          <w:sz w:val="24"/>
          <w:szCs w:val="24"/>
          <w:lang w:val="de-DE" w:eastAsia="de-DE"/>
        </w:rPr>
        <w:t>Die Darmmasse ist nach kaudal verlagert. Eine abnorme Spannung im Dünndarm ist mit Vasokonstriktion, venöser und lymphatischer Stase sowie mit Spasmen infolge einer Reizung der perivaskulären Nervenplexus verbunden. Auch eine nachteilige Wirkung auf die Leber über den Pfortaderdruck ist möglich. Enteroptose wurde außerdem als möglicher Faktor beschrieben, der die Harnblase nach kaudal verlagern und im Laufe der Zeit zu einer Belastungsinkontinenz beitragen kann (siehe Kapitel 18, Harnblase, S. …).</w:t>
      </w:r>
      <w:proofErr w:type="gramEnd"/>
      <w:r>
        <w:rPr w:lang="en-GB">
          <w:rFonts w:ascii="Times New Roman" w:hAnsi="Times New Roman" w:cs="Times New Roman"/>
          <w:b/>
          <w:sz w:val="24"/>
          <w:szCs w:val="24"/>
          <w:lang w:val="de-DE" w:eastAsia="de-DE"/>
        </w:rPr>
      </w:r>
      <w:r>
        <w:rPr w:lang="en-GB">
          <w:rFonts w:ascii="Times New Roman" w:hAnsi="Times New Roman" w:cs="Times New Roman"/>
          <w:b/>
          <w:sz w:val="24"/>
          <w:szCs w:val="24"/>
          <w:lang w:val="de-DE" w:eastAsia="de-DE"/>
        </w:rPr>
      </w:r>
    </w:p>
    <w:p w14:paraId="1470FEE4" w14:textId="77777777" w:rsidR="00051789" w:rsidRDefault="00000000">
      <w:pPr>
        <w:pStyle w:val="Heading31"/>
        <w:rPr>
          <w:rFonts w:ascii="Times New Roman" w:hAnsi="Times New Roman" w:cs="Times New Roman"/>
          <w:sz w:val="24"/>
          <w:szCs w:val="24"/>
        </w:rPr>
      </w:pPr>
      <w:r>
        <w:rPr w:lang="en-GB">
          <w:rFonts w:ascii="Times New Roman" w:hAnsi="Times New Roman" w:cs="Times New Roman"/>
          <w:sz w:val="24"/>
          <w:szCs w:val="24"/>
          <w:lang w:val="de-DE" w:eastAsia="de-DE"/>
        </w:rPr>
        <w:t>8.4.2. Paralytischer Ileus</w:t>
      </w:r>
    </w:p>
    <w:p w14:paraId="4DEF22BB" w14:textId="77777777" w:rsidR="00051789" w:rsidRDefault="00000000">
      <w:pPr>
        <w:pStyle w:val="ListParagraph"/>
        <w:numPr>
          <w:ilvl w:val="0"/>
          <w:numId w:val="23"/>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Symptome:</w:t>
      </w:r>
      <w:r>
        <w:rPr w:lang="en-GB">
          <w:rFonts w:ascii="Times New Roman" w:hAnsi="Times New Roman" w:cs="Times New Roman"/>
          <w:sz w:val="24"/>
          <w:szCs w:val="24"/>
          <w:lang w:val="de-DE" w:eastAsia="de-DE"/>
        </w:rPr>
      </w:r>
    </w:p>
    <w:p w14:paraId="6A1438B9" w14:textId="77777777" w:rsidR="00051789" w:rsidRDefault="00000000">
      <w:pPr>
        <w:pStyle w:val="ListParagraph"/>
        <w:numPr>
          <w:ilvl w:val="0"/>
          <w:numId w:val="16"/>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Geringe oder keine Schmerzen durch intestinale Distension;</w:t>
      </w:r>
    </w:p>
    <w:p w14:paraId="24D0F46A" w14:textId="77777777" w:rsidR="00051789" w:rsidRDefault="00000000">
      <w:pPr>
        <w:pStyle w:val="ListParagraph"/>
        <w:numPr>
          <w:ilvl w:val="0"/>
          <w:numId w:val="16"/>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Unvollständiges Ausbleiben von Stuhl- und Windabgang;</w:t>
      </w:r>
    </w:p>
    <w:p w14:paraId="7F3D4CDD" w14:textId="77777777" w:rsidR="00051789" w:rsidRDefault="00000000">
      <w:pPr>
        <w:pStyle w:val="ListParagraph"/>
        <w:numPr>
          <w:ilvl w:val="0"/>
          <w:numId w:val="16"/>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Abdominelle Distension;</w:t>
      </w:r>
    </w:p>
    <w:p w14:paraId="6DBAA9A0" w14:textId="77777777" w:rsidR="00051789" w:rsidRDefault="00000000">
      <w:pPr>
        <w:pStyle w:val="ListParagraph"/>
        <w:numPr>
          <w:ilvl w:val="0"/>
          <w:numId w:val="16"/>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Wenige Darmgeräusche.</w:t>
      </w:r>
    </w:p>
    <w:p w14:paraId="2D0A5C55" w14:textId="77777777" w:rsidR="00051789" w:rsidRDefault="00000000">
      <w:pPr>
        <w:pStyle w:val="ListParagraph"/>
        <w:numPr>
          <w:ilvl w:val="0"/>
          <w:numId w:val="23"/>
        </w:numPr>
        <w:jc w:val="both"/>
        <w:rPr>
          <w:rFonts w:ascii="Times New Roman" w:hAnsi="Times New Roman" w:cs="Times New Roman"/>
          <w:b/>
          <w:sz w:val="24"/>
          <w:szCs w:val="24"/>
        </w:rPr>
      </w:pPr>
      <w:r>
        <w:rPr w:lang="en-GB">
          <w:rFonts w:ascii="Times New Roman" w:hAnsi="Times New Roman" w:cs="Times New Roman"/>
          <w:b/>
          <w:sz w:val="24"/>
          <w:szCs w:val="24"/>
          <w:lang w:val="de-DE" w:eastAsia="de-DE"/>
        </w:rPr>
        <w:t>Pathophysiologie: Der paralytische Ileus entsteht durch eine Hemmung der Darmmotilität und der Sekretionen infolge einer überwiegend sympathischen Reizung des Peritoneums (siehe Innervation des Peritoneums, S. …).</w:t>
      </w:r>
      <w:r>
        <w:rPr w:lang="en-GB">
          <w:rFonts w:ascii="Times New Roman" w:hAnsi="Times New Roman" w:cs="Times New Roman"/>
          <w:sz w:val="24"/>
          <w:szCs w:val="24"/>
          <w:lang w:val="de-DE" w:eastAsia="de-DE"/>
        </w:rPr>
      </w:r>
      <w:r>
        <w:rPr w:lang="en-GB">
          <w:rFonts w:ascii="Times New Roman" w:hAnsi="Times New Roman" w:cs="Times New Roman"/>
          <w:b/>
          <w:color w:val="FF0000"/>
          <w:sz w:val="24"/>
          <w:szCs w:val="24"/>
          <w:lang w:val="de-DE" w:eastAsia="de-DE"/>
        </w:rPr>
      </w:r>
    </w:p>
    <w:p w14:paraId="0184F071" w14:textId="77777777" w:rsidR="00051789" w:rsidRDefault="00000000">
      <w:pPr>
        <w:pStyle w:val="ListParagraph"/>
        <w:numPr>
          <w:ilvl w:val="0"/>
          <w:numId w:val="23"/>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Ursachen:</w:t>
      </w:r>
      <w:r>
        <w:rPr w:lang="en-GB">
          <w:rFonts w:ascii="Times New Roman" w:hAnsi="Times New Roman" w:cs="Times New Roman"/>
          <w:sz w:val="24"/>
          <w:szCs w:val="24"/>
          <w:lang w:val="de-DE" w:eastAsia="de-DE"/>
        </w:rPr>
      </w:r>
    </w:p>
    <w:p w14:paraId="6408BE12" w14:textId="77777777" w:rsidR="00051789" w:rsidRDefault="00000000">
      <w:pPr>
        <w:pStyle w:val="ListParagraph"/>
        <w:numPr>
          <w:ilvl w:val="0"/>
          <w:numId w:val="17"/>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Operation: Anästhesie, insbesondere Opioide, verlangsamt die Darmpassage;</w:t>
      </w:r>
    </w:p>
    <w:p w14:paraId="3E709A06" w14:textId="77777777" w:rsidR="00051789" w:rsidRDefault="00000000">
      <w:pPr>
        <w:pStyle w:val="ListParagraph"/>
        <w:numPr>
          <w:ilvl w:val="0"/>
          <w:numId w:val="17"/>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Hypokaliämie infolge von Erbrechen, Diarrhö oder gastrointestinaler Erkrankung;</w:t>
      </w:r>
    </w:p>
    <w:p w14:paraId="00D1A330" w14:textId="77777777" w:rsidR="00051789" w:rsidRDefault="00000000">
      <w:pPr>
        <w:pStyle w:val="ListParagraph"/>
        <w:numPr>
          <w:ilvl w:val="0"/>
          <w:numId w:val="17"/>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Übermäßige Anwendung stimulierender Laxanzien;</w:t>
      </w:r>
    </w:p>
    <w:p w14:paraId="056E1519" w14:textId="77777777" w:rsidR="00051789" w:rsidRDefault="00000000">
      <w:pPr>
        <w:pStyle w:val="ListParagraph"/>
        <w:numPr>
          <w:ilvl w:val="0"/>
          <w:numId w:val="17"/>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Mesenterialinfarkt;</w:t>
      </w:r>
    </w:p>
    <w:p w14:paraId="6B2C1D72" w14:textId="77777777" w:rsidR="00051789" w:rsidRDefault="00000000">
      <w:pPr>
        <w:pStyle w:val="ListParagraph"/>
        <w:numPr>
          <w:ilvl w:val="0"/>
          <w:numId w:val="17"/>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Postprandiale Schmerzen infolge einer Angina abdominalis;</w:t>
      </w:r>
    </w:p>
    <w:p w14:paraId="1672A10D" w14:textId="77777777" w:rsidR="00051789" w:rsidRDefault="00000000">
      <w:pPr>
        <w:pStyle w:val="ListParagraph"/>
        <w:numPr>
          <w:ilvl w:val="0"/>
          <w:numId w:val="17"/>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Jede Ursache abdominopelviner Schmerzen, einschließlich Nierenkolik, Appendizitis oder Salpingitis.</w:t>
      </w:r>
    </w:p>
    <w:p w14:paraId="469922E6" w14:textId="77777777" w:rsidR="00051789" w:rsidRDefault="00000000">
      <w:pPr>
        <w:pStyle w:val="Heading31"/>
      </w:pPr>
      <w:r>
        <w:rPr w:lang="en-GB">
          <w:lang w:val="de-DE" w:eastAsia="de-DE"/>
        </w:rPr>
        <w:t>8.4.3. Morbus Crohn</w:t>
      </w:r>
    </w:p>
    <w:p w14:paraId="7BDCADB7" w14:textId="77777777" w:rsidR="00051789" w:rsidRDefault="00000000">
      <w:pPr>
        <w:numPr>
          <w:ilvl w:val="0"/>
          <w:numId w:val="24"/>
        </w:numPr>
        <w:rPr>
          <w:rFonts w:ascii="Times New Roman" w:hAnsi="Times New Roman" w:cs="Times New Roman"/>
          <w:sz w:val="24"/>
          <w:szCs w:val="24"/>
        </w:rPr>
      </w:pPr>
      <w:proofErr w:type="gramStart"/>
      <w:r>
        <w:rPr w:lang="en-GB">
          <w:rFonts w:ascii="Times New Roman" w:hAnsi="Times New Roman" w:cs="Times New Roman"/>
          <w:sz w:val="24"/>
          <w:szCs w:val="24"/>
          <w:lang w:val="de-DE" w:eastAsia="de-DE"/>
        </w:rPr>
        <w:t>Diese Erkrankung betrifft vor allem Ileum und Kolon.</w:t>
      </w:r>
      <w:proofErr w:type="gramEnd"/>
      <w:r>
        <w:rPr w:lang="en-GB">
          <w:rFonts w:ascii="Times New Roman" w:hAnsi="Times New Roman" w:cs="Times New Roman"/>
          <w:sz w:val="24"/>
          <w:szCs w:val="24"/>
          <w:lang w:val="de-DE" w:eastAsia="de-DE"/>
        </w:rPr>
      </w:r>
    </w:p>
    <w:p w14:paraId="5C012F5A" w14:textId="77777777" w:rsidR="00051789" w:rsidRDefault="00000000">
      <w:pPr>
        <w:pStyle w:val="ListParagraph"/>
        <w:numPr>
          <w:ilvl w:val="0"/>
          <w:numId w:val="25"/>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Ursachen: Mehrere Faktoren sind mit der Erkrankung assoziiert:</w:t>
      </w:r>
      <w:r>
        <w:rPr w:lang="en-GB">
          <w:rFonts w:ascii="Times New Roman" w:hAnsi="Times New Roman" w:cs="Times New Roman"/>
          <w:sz w:val="24"/>
          <w:szCs w:val="24"/>
          <w:lang w:val="de-DE" w:eastAsia="de-DE"/>
        </w:rPr>
      </w:r>
    </w:p>
    <w:p w14:paraId="348282DC"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Genetische Faktoren;</w:t>
      </w:r>
    </w:p>
    <w:p w14:paraId="0DE312BC"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Dysbiose;</w:t>
      </w:r>
    </w:p>
    <w:p w14:paraId="5B525D7C"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Umweltfaktoren;</w:t>
      </w:r>
    </w:p>
    <w:p w14:paraId="01D937D1"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Emotionale Faktoren, die das Erleben des Patienten und zeitweise auch Krankheitsschübe modulieren können.</w:t>
      </w:r>
    </w:p>
    <w:p w14:paraId="053EF145" w14:textId="77777777" w:rsidR="00051789" w:rsidRDefault="00000000">
      <w:pPr>
        <w:pStyle w:val="ListParagraph"/>
        <w:numPr>
          <w:ilvl w:val="0"/>
          <w:numId w:val="25"/>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Symptome:</w:t>
      </w:r>
      <w:r>
        <w:rPr w:lang="en-GB">
          <w:rFonts w:ascii="Times New Roman" w:hAnsi="Times New Roman" w:cs="Times New Roman"/>
          <w:sz w:val="24"/>
          <w:szCs w:val="24"/>
          <w:lang w:val="de-DE" w:eastAsia="de-DE"/>
        </w:rPr>
      </w:r>
    </w:p>
    <w:p w14:paraId="5ABA9B37"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Diarrhö im Zusammenhang mit einer Entzündung der Darmwand;</w:t>
      </w:r>
    </w:p>
    <w:p w14:paraId="43E171D3"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Abdominopelvine Schmerzen;</w:t>
      </w:r>
    </w:p>
    <w:p w14:paraId="3AD888F0"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Gewichtsverlust;</w:t>
      </w:r>
    </w:p>
    <w:p w14:paraId="200A3E80"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Fatigue;</w:t>
      </w:r>
    </w:p>
    <w:p w14:paraId="440C69C6"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Orale Aphthen;</w:t>
      </w:r>
    </w:p>
    <w:p w14:paraId="2B42B064"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Lumbale Schmerzen;</w:t>
      </w:r>
    </w:p>
    <w:p w14:paraId="3875AF8A"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Erythema nodosum an den Extremitäten;</w:t>
      </w:r>
    </w:p>
    <w:p w14:paraId="15DC185A"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Pankreasbeteiligung;</w:t>
      </w:r>
    </w:p>
    <w:p w14:paraId="379EF8A8"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Depressive Symptome.</w:t>
      </w:r>
    </w:p>
    <w:p w14:paraId="68B61534" w14:textId="77777777" w:rsidR="00051789" w:rsidRDefault="00000000">
      <w:pPr>
        <w:pStyle w:val="ListParagraph"/>
        <w:numPr>
          <w:ilvl w:val="0"/>
          <w:numId w:val="25"/>
        </w:numPr>
        <w:jc w:val="both"/>
        <w:rPr>
          <w:rFonts w:ascii="Times New Roman" w:hAnsi="Times New Roman" w:cs="Times New Roman"/>
          <w:sz w:val="24"/>
          <w:szCs w:val="24"/>
        </w:rPr>
      </w:pPr>
      <w:r>
        <w:rPr w:lang="en-GB">
          <w:rFonts w:ascii="Times New Roman" w:hAnsi="Times New Roman" w:cs="Times New Roman"/>
          <w:b/>
          <w:sz w:val="24"/>
          <w:szCs w:val="24"/>
          <w:lang w:val="de-DE" w:eastAsia="de-DE"/>
        </w:rPr>
        <w:t>Verlauf:</w:t>
      </w:r>
      <w:r>
        <w:rPr w:lang="en-GB">
          <w:rFonts w:ascii="Times New Roman" w:hAnsi="Times New Roman" w:cs="Times New Roman"/>
          <w:sz w:val="24"/>
          <w:szCs w:val="24"/>
          <w:lang w:val="de-DE" w:eastAsia="de-DE"/>
        </w:rPr>
      </w:r>
    </w:p>
    <w:p w14:paraId="2C58535E"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Chronische Erkrankung;</w:t>
      </w:r>
    </w:p>
    <w:p w14:paraId="53831111"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Erhöhtes Risiko für kolorektales Karzinom in Abhängigkeit von Ausdehnung und Dauer der Erkrankung;</w:t>
      </w:r>
      <w:proofErr w:type="gramStart"/>
      <w:r>
        <w:rPr w:lang="en-GB">
          <w:rFonts w:ascii="Times New Roman" w:hAnsi="Times New Roman" w:cs="Times New Roman"/>
          <w:sz w:val="24"/>
          <w:szCs w:val="24"/>
          <w:lang w:val="de-DE" w:eastAsia="de-DE"/>
        </w:rPr>
      </w:r>
      <w:proofErr w:type="gramEnd"/>
    </w:p>
    <w:p w14:paraId="6632A3CC" w14:textId="77777777" w:rsidR="00051789" w:rsidRDefault="00000000">
      <w:pPr>
        <w:pStyle w:val="ListParagraph"/>
        <w:numPr>
          <w:ilvl w:val="1"/>
          <w:numId w:val="12"/>
        </w:numPr>
        <w:jc w:val="both"/>
        <w:rPr>
          <w:rFonts w:ascii="Times New Roman" w:hAnsi="Times New Roman" w:cs="Times New Roman"/>
          <w:sz w:val="24"/>
          <w:szCs w:val="24"/>
        </w:rPr>
      </w:pPr>
      <w:r>
        <w:rPr w:lang="en-GB">
          <w:rFonts w:ascii="Times New Roman" w:hAnsi="Times New Roman" w:cs="Times New Roman"/>
          <w:sz w:val="24"/>
          <w:szCs w:val="24"/>
          <w:lang w:val="de-DE" w:eastAsia="de-DE"/>
        </w:rPr>
        <w:t>Diese Patienten müssen häufig eine strenge ballaststoffarme Ernährung einhalten.</w:t>
      </w:r>
    </w:p>
    <w:p w14:paraId="3FC2B528" w14:textId="77777777" w:rsidR="00051789" w:rsidRDefault="00000000">
      <w:pPr>
        <w:pStyle w:val="Heading31"/>
        <w:ind w:left="708"/>
        <w:jc w:val="both"/>
        <w:rPr>
          <w:rFonts w:ascii="Times New Roman" w:hAnsi="Times New Roman" w:cs="Times New Roman"/>
          <w:sz w:val="24"/>
          <w:szCs w:val="24"/>
        </w:rPr>
      </w:pPr>
      <w:r>
        <w:rPr w:lang="en-GB">
          <w:rFonts w:ascii="Times New Roman" w:hAnsi="Times New Roman" w:cs="Times New Roman"/>
          <w:sz w:val="24"/>
          <w:szCs w:val="24"/>
          <w:lang w:val="de-DE" w:eastAsia="de-DE"/>
        </w:rPr>
        <w:t>Relevanz für ROP</w:t>
      </w:r>
    </w:p>
    <w:p w14:paraId="2BAC9686" w14:textId="77777777" w:rsidR="00051789" w:rsidRDefault="00000000">
      <w:pPr>
        <w:ind w:left="708"/>
        <w:jc w:val="both"/>
        <w:rPr>
          <w:rFonts w:ascii="Times New Roman" w:hAnsi="Times New Roman" w:cs="Times New Roman"/>
          <w:sz w:val="24"/>
          <w:szCs w:val="24"/>
        </w:rPr>
      </w:pPr>
      <w:r>
        <w:rPr w:lang="en-GB">
          <w:rFonts w:ascii="Times New Roman" w:hAnsi="Times New Roman" w:cs="Times New Roman"/>
          <w:sz w:val="24"/>
          <w:szCs w:val="24"/>
          <w:lang w:val="de-DE" w:eastAsia="de-DE"/>
        </w:rPr>
        <w:t>Unsere klinische Erfahrung legt nahe, dass der ROP-Ansatz dazu beitragen kann, bestimmte Formen abdominopelviner Schmerzen im Zusammenhang mit Morbus Crohn zu lindern und eine Verbesserung der Darmpassage zu unterstützen.</w:t>
      </w:r>
      <w:proofErr w:type="gramStart"/>
      <w:r>
        <w:rPr w:lang="en-GB">
          <w:rFonts w:ascii="Times New Roman" w:hAnsi="Times New Roman" w:cs="Times New Roman"/>
          <w:sz w:val="24"/>
          <w:szCs w:val="24"/>
          <w:lang w:val="de-DE" w:eastAsia="de-DE"/>
        </w:rPr>
      </w:r>
      <w:proofErr w:type="gramEnd"/>
      <w:r>
        <w:rPr w:lang="en-GB">
          <w:rFonts w:ascii="Times New Roman" w:hAnsi="Times New Roman" w:cs="Times New Roman"/>
          <w:sz w:val="24"/>
          <w:szCs w:val="24"/>
          <w:lang w:val="de-DE" w:eastAsia="de-DE"/>
        </w:rPr>
      </w:r>
    </w:p>
    <w:p w14:paraId="1717681A" w14:textId="77777777" w:rsidR="00051789" w:rsidRDefault="00051789">
      <w:pPr>
        <w:pStyle w:val="ListParagraph"/>
        <w:ind w:left="1494"/>
        <w:jc w:val="both"/>
        <w:rPr>
          <w:rFonts w:ascii="Times New Roman" w:hAnsi="Times New Roman" w:cs="Times New Roman"/>
          <w:sz w:val="24"/>
          <w:szCs w:val="24"/>
        </w:rPr>
      </w:pPr>
    </w:p>
    <w:p w14:paraId="7801639E" w14:textId="77777777" w:rsidR="00051789" w:rsidRDefault="00000000">
      <w:pPr>
        <w:pStyle w:val="Heading1"/>
        <w:rPr>
          <w:rFonts w:ascii="Times New Roman" w:hAnsi="Times New Roman" w:cs="Times New Roman"/>
        </w:rPr>
      </w:pPr>
      <w:r>
        <w:rPr w:lang="en-GB">
          <w:rFonts w:ascii="Times New Roman" w:hAnsi="Times New Roman" w:cs="Times New Roman"/>
          <w:highlight w:val="yellow"/>
          <w:lang w:val="de-DE" w:eastAsia="de-DE"/>
        </w:rPr>
        <w:t>9. Viszerosomatische Beziehungen</w:t>
      </w:r>
    </w:p>
    <w:p w14:paraId="68578AC0" w14:textId="77777777" w:rsidR="00051789" w:rsidRDefault="00000000">
      <w:pPr>
        <w:jc w:val="both"/>
        <w:rPr>
          <w:rFonts w:ascii="Times New Roman" w:hAnsi="Times New Roman" w:cs="Times New Roman"/>
          <w:sz w:val="24"/>
          <w:szCs w:val="24"/>
        </w:rPr>
      </w:pPr>
      <w:r>
        <w:rPr w:lang="en-GB">
          <w:rFonts w:ascii="Times New Roman" w:hAnsi="Times New Roman" w:cs="Times New Roman"/>
          <w:sz w:val="24"/>
          <w:szCs w:val="24"/>
          <w:lang w:val="de-DE" w:eastAsia="de-DE"/>
        </w:rPr>
        <w:t>Die viszerosomatischen Beziehungen des Dünndarms sind in Level 4 des ROP-Protokolls integriert, wo sie funktionell in Bezug auf segmentale Territorien und das abdominolumbale muskuloskelettale Umfeld interpretiert werden.</w:t>
      </w:r>
    </w:p>
    <w:p w14:paraId="2B318741" w14:textId="77777777" w:rsidR="00051789" w:rsidRDefault="00000000" w:rsidP="0076228F">
      <w:pPr>
        <w:pStyle w:val="Heading1"/>
        <w:ind w:left="360"/>
        <w:rPr>
          <w:rFonts w:ascii="Times New Roman" w:hAnsi="Times New Roman" w:cs="Times New Roman"/>
          <w:highlight w:val="yellow"/>
        </w:rPr>
      </w:pPr>
      <w:r>
        <w:rPr w:lang="en-GB">
          <w:rFonts w:ascii="Times New Roman" w:hAnsi="Times New Roman" w:cs="Times New Roman"/>
          <w:highlight w:val="yellow"/>
          <w:lang w:val="de-DE" w:eastAsia="de-DE"/>
        </w:rPr>
        <w:t>10. Viszero-emotionale Beziehungen</w:t>
      </w:r>
    </w:p>
    <w:p w14:paraId="0ACF1988" w14:textId="77777777" w:rsidR="0076228F" w:rsidRPr="0076228F" w:rsidRDefault="0076228F" w:rsidP="0076228F">
      <w:pPr>
        <w:ind w:left="708"/>
        <w:jc w:val="both"/>
        <w:rPr>
          <w:rFonts w:ascii="Times New Roman" w:hAnsi="Times New Roman" w:cs="Times New Roman"/>
          <w:sz w:val="24"/>
          <w:szCs w:val="24"/>
        </w:rPr>
      </w:pPr>
      <w:r w:rsidRPr="0076228F">
        <w:rPr w:lang="en-GB">
          <w:rFonts w:ascii="Times New Roman" w:hAnsi="Times New Roman" w:cs="Times New Roman"/>
          <w:sz w:val="24"/>
          <w:szCs w:val="24"/>
          <w:lang w:val="de-DE" w:eastAsia="de-DE"/>
        </w:rPr>
        <w:t>Das Abdomen kann ein Ort somatischen Ausdrucks emotionaler Anspannung sein. Über die Darm-Hirn-Achse kann Stress Motilität, Sekretionen und viszerale Sensibilität modulieren. Eine erhöhte sympathische Aktivität in Verbindung mit einer verminderten vagalen Regulation kann daher zur Entstehung oder Verschlimmerung bestimmter Verdauungssymptome beitragen.</w:t>
      </w:r>
    </w:p>
    <w:p w14:paraId="4613234A" w14:textId="77777777" w:rsidR="0076228F" w:rsidRPr="0076228F" w:rsidRDefault="0076228F" w:rsidP="0076228F">
      <w:pPr>
        <w:ind w:left="708"/>
        <w:jc w:val="both"/>
        <w:rPr>
          <w:rFonts w:ascii="Times New Roman" w:hAnsi="Times New Roman" w:cs="Times New Roman"/>
          <w:sz w:val="24"/>
          <w:szCs w:val="24"/>
        </w:rPr>
      </w:pPr>
      <w:r w:rsidRPr="0076228F">
        <w:rPr w:lang="en-GB">
          <w:rFonts w:ascii="Times New Roman" w:hAnsi="Times New Roman" w:cs="Times New Roman"/>
          <w:sz w:val="24"/>
          <w:szCs w:val="24"/>
          <w:lang w:val="de-DE" w:eastAsia="de-DE"/>
        </w:rPr>
        <w:t>Klinisch ist es häufig schwierig, funktionelle Manifestationen, die vom Dünndarm ausgehen, eindeutig von solchen zu unterscheiden, die vom Kolon ausgehen. Schleimhaut, intestinales Immunsystem und enterisches Nervensystem bilden eine neuroimmun-endokrine Schnittstelle, die in kontinuierlicher Kommunikation mit dem Gehirn steht.</w:t>
      </w:r>
      <w:proofErr w:type="spellStart"/>
      <w:r w:rsidRPr="0076228F">
        <w:rPr w:lang="en-GB">
          <w:rFonts w:ascii="Times New Roman" w:hAnsi="Times New Roman" w:cs="Times New Roman"/>
          <w:sz w:val="24"/>
          <w:szCs w:val="24"/>
          <w:lang w:val="de-DE" w:eastAsia="de-DE"/>
        </w:rPr>
      </w:r>
      <w:proofErr w:type="spellEnd"/>
      <w:r w:rsidRPr="0076228F">
        <w:rPr w:lang="en-GB">
          <w:rFonts w:ascii="Times New Roman" w:hAnsi="Times New Roman" w:cs="Times New Roman"/>
          <w:sz w:val="24"/>
          <w:szCs w:val="24"/>
          <w:lang w:val="de-DE" w:eastAsia="de-DE"/>
        </w:rPr>
      </w:r>
    </w:p>
    <w:p w14:paraId="673DA027" w14:textId="77777777" w:rsidR="0076228F" w:rsidRPr="0076228F" w:rsidRDefault="0076228F" w:rsidP="0076228F">
      <w:pPr>
        <w:ind w:left="708"/>
        <w:jc w:val="both"/>
        <w:rPr>
          <w:rFonts w:ascii="Times New Roman" w:hAnsi="Times New Roman" w:cs="Times New Roman"/>
          <w:sz w:val="24"/>
          <w:szCs w:val="24"/>
        </w:rPr>
      </w:pPr>
      <w:r w:rsidRPr="0076228F">
        <w:rPr w:lang="en-GB">
          <w:rFonts w:ascii="Times New Roman" w:hAnsi="Times New Roman" w:cs="Times New Roman"/>
          <w:sz w:val="24"/>
          <w:szCs w:val="24"/>
          <w:lang w:val="de-DE" w:eastAsia="de-DE"/>
        </w:rPr>
        <w:t>Manche Menschen mit chronischen Verdauungsstörungen berichten außerdem über Fatigue, Angst, Reizbarkeit, Schlafstörungen oder körperliche Überempfindlichkeit. Diese Manifestationen sind variabel und unspezifisch. Sie definieren keinen darmspezifischen Persönlichkeitstyp und müssen im medizinischen, emotionalen und sozialen Kontext der jeweiligen Person betrachtet werden.</w:t>
      </w:r>
    </w:p>
    <w:p w14:paraId="4235E2F1" w14:textId="77777777" w:rsidR="0076228F" w:rsidRPr="0076228F" w:rsidRDefault="0076228F" w:rsidP="0076228F">
      <w:pPr>
        <w:ind w:left="708"/>
        <w:jc w:val="both"/>
        <w:rPr>
          <w:rFonts w:ascii="Times New Roman" w:hAnsi="Times New Roman" w:cs="Times New Roman"/>
          <w:sz w:val="24"/>
          <w:szCs w:val="24"/>
        </w:rPr>
      </w:pPr>
      <w:r w:rsidRPr="0076228F">
        <w:rPr w:lang="en-GB">
          <w:rFonts w:ascii="Times New Roman" w:hAnsi="Times New Roman" w:cs="Times New Roman"/>
          <w:sz w:val="24"/>
          <w:szCs w:val="24"/>
          <w:lang w:val="de-DE" w:eastAsia="de-DE"/>
        </w:rPr>
        <w:t>Im Rahmen eines ROP-Ansatzes kann die Exploration emotionaler Anspannung die funktionelle Beurteilung ergänzen, ohne Verdauungssymptome automatisch einer psychischen Ursache zuzuschreiben und ohne die medizinische Diagnostik zu ersetzen.</w:t>
      </w:r>
    </w:p>
    <w:p w14:paraId="434D8AA0" w14:textId="77777777" w:rsidR="0076228F" w:rsidRPr="0076228F" w:rsidRDefault="0076228F" w:rsidP="0076228F">
      <w:pPr>
        <w:ind w:left="708"/>
        <w:jc w:val="both"/>
        <w:rPr>
          <w:rFonts w:ascii="Times New Roman" w:hAnsi="Times New Roman" w:cs="Times New Roman"/>
          <w:sz w:val="24"/>
          <w:szCs w:val="24"/>
        </w:rPr>
      </w:pPr>
    </w:p>
    <w:p w14:paraId="743C10CE" w14:textId="553FA50F" w:rsidR="00051789" w:rsidRDefault="00000000">
      <w:pPr>
        <w:pStyle w:val="Heading1"/>
        <w:ind w:left="360"/>
        <w:rPr>
          <w:rFonts w:ascii="Times New Roman" w:hAnsi="Times New Roman" w:cs="Times New Roman"/>
        </w:rPr>
      </w:pPr>
      <w:r>
        <w:rPr w:lang="en-GB">
          <w:rFonts w:ascii="Times New Roman" w:hAnsi="Times New Roman" w:cs="Times New Roman"/>
          <w:highlight w:val="yellow"/>
          <w:lang w:val="de-DE" w:eastAsia="de-DE"/>
        </w:rPr>
        <w:t>11. Empfehlungen</w:t>
      </w:r>
    </w:p>
    <w:p w14:paraId="07A15293" w14:textId="77777777" w:rsidR="0076228F" w:rsidRDefault="00000000" w:rsidP="0076228F">
      <w:pPr>
        <w:ind w:left="360"/>
        <w:rPr>
          <w:rFonts w:ascii="Times New Roman" w:hAnsi="Times New Roman" w:cs="Times New Roman"/>
          <w:sz w:val="24"/>
          <w:szCs w:val="24"/>
        </w:rPr>
      </w:pPr>
      <w:r>
        <w:rPr w:lang="en-GB">
          <w:rFonts w:ascii="Times New Roman" w:hAnsi="Times New Roman" w:cs="Times New Roman"/>
          <w:sz w:val="24"/>
          <w:szCs w:val="24"/>
          <w:lang w:val="de-DE" w:eastAsia="de-DE"/>
        </w:rPr>
        <w:t>Symptome des Dünndarms können durch emotionale und psychische Anspannung moduliert werden, insbesondere über die Darm-Hirn-Achse. Bei manchen funktionellen Erscheinungsbildern kann ein intestinaler Spasmus mit einer Anspannung im Lumbalbereich einhergehen. Eine abwechslungsreiche, ausgewogene Ernährung, die an die individuelle Verträglichkeit angepasst ist, sollte bevorzugt werden. Unmittelbar nach einer Mahlzeit sollte intensive körperliche Anstrengung vermieden werden.</w:t>
      </w:r>
      <w:r>
        <w:rPr w:lang="en-GB">
          <w:rFonts w:ascii="Times New Roman" w:hAnsi="Times New Roman" w:cs="Times New Roman"/>
          <w:sz w:val="24"/>
          <w:szCs w:val="24"/>
          <w:lang w:val="de-DE" w:eastAsia="de-DE"/>
        </w:rPr>
      </w:r>
    </w:p>
    <w:p w14:paraId="66BE8539" w14:textId="16F4B6D9" w:rsidR="00051789" w:rsidRPr="0076228F" w:rsidRDefault="00000000" w:rsidP="0076228F">
      <w:pPr>
        <w:pStyle w:val="Heading1"/>
        <w:ind w:left="360"/>
        <w:rPr>
          <w:rFonts w:ascii="Times New Roman" w:hAnsi="Times New Roman" w:cs="Times New Roman"/>
          <w:highlight w:val="yellow"/>
        </w:rPr>
      </w:pPr>
      <w:r w:rsidRPr="0076228F">
        <w:rPr w:lang="en-GB">
          <w:rFonts w:ascii="Times New Roman" w:hAnsi="Times New Roman" w:cs="Times New Roman"/>
          <w:highlight w:val="yellow"/>
          <w:lang w:val="de-DE" w:eastAsia="de-DE"/>
        </w:rPr>
        <w:t>12. ROP-Reflexzonen</w:t>
      </w:r>
    </w:p>
    <w:p w14:paraId="32B0D20B" w14:textId="2C3047B8" w:rsidR="00051789" w:rsidRDefault="00000000">
      <w:pPr>
        <w:pStyle w:val="Heading2"/>
      </w:pPr>
      <w:r>
        <w:rPr w:lang="en-GB">
          <w:lang w:val="de-DE" w:eastAsia="de-DE"/>
        </w:rPr>
        <w:t>12.1. Spezifische Orientierungspunkte des Dünndarms</w:t>
      </w:r>
      <w:r w:rsidR="0076228F">
        <w:rPr w:lang="en-GB">
          <w:lang w:val="de-DE" w:eastAsia="de-DE"/>
        </w:rPr>
      </w:r>
      <w:r>
        <w:rPr w:lang="en-GB">
          <w:lang w:val="de-DE" w:eastAsia="de-DE"/>
        </w:rPr>
      </w:r>
    </w:p>
    <w:p w14:paraId="4476B980" w14:textId="77777777" w:rsidR="00051789" w:rsidRDefault="00000000">
      <w:r>
        <w:rPr w:lang="en-GB">
          <w:lang w:val="de-DE" w:eastAsia="de-DE"/>
        </w:rPr>
        <w:t>Die lokale Beurteilung konzentriert sich in erster Linie auf Jejunum, Ileum, Ileozäkalübergang, Mesenterium und dessen Wurzel. Die Mesenterialwurzel ist ein besonders wichtiger regionaler Orientierungspunkt: Sie verbindet Jejunum und Ileum mit der hinteren Bauchwand und führt einen Teil ihrer vaskulären, neuralen und lymphatischen Versorgung.</w:t>
      </w:r>
    </w:p>
    <w:p w14:paraId="26CFD7BC" w14:textId="77777777" w:rsidR="00051789" w:rsidRDefault="00000000">
      <w:pPr>
        <w:spacing w:after="80"/>
      </w:pPr>
      <w:r>
        <w:rPr w:lang="en-GB">
          <w:i/>
          <w:color w:val="5E666A"/>
          <w:lang w:val="de-DE" w:eastAsia="de-DE"/>
        </w:rPr>
        <w:t>Siehe Kapitel 7 — Bauch- und Peritonealhöhlen: Regionaler abdominaler und peritonealer Bezugsrahmen.</w:t>
      </w:r>
    </w:p>
    <w:p w14:paraId="0E941095" w14:textId="77777777" w:rsidR="00051789" w:rsidRDefault="00000000">
      <w:pPr>
        <w:pStyle w:val="Heading2"/>
      </w:pPr>
      <w:r>
        <w:rPr w:lang="en-GB">
          <w:lang w:val="de-DE" w:eastAsia="de-DE"/>
        </w:rPr>
        <w:t>12.2. Level 1 — Regulation höherer Zentren</w:t>
      </w:r>
    </w:p>
    <w:p w14:paraId="59ECFE84" w14:textId="77777777" w:rsidR="00051789" w:rsidRDefault="00000000">
      <w:pPr>
        <w:pStyle w:val="ListParagraph"/>
        <w:spacing w:after="36"/>
        <w:ind w:left="255" w:hanging="142"/>
      </w:pPr>
      <w:r>
        <w:rPr w:lang="en-GB">
          <w:lang w:val="de-DE" w:eastAsia="de-DE"/>
        </w:rPr>
        <w:t>Okzipitale Reflexzonen.</w:t>
      </w:r>
    </w:p>
    <w:p w14:paraId="73ECFC78" w14:textId="77777777" w:rsidR="00051789" w:rsidRDefault="00000000">
      <w:pPr>
        <w:pStyle w:val="ListParagraph"/>
        <w:spacing w:after="36"/>
        <w:ind w:left="255" w:hanging="142"/>
      </w:pPr>
      <w:r>
        <w:rPr w:lang="en-GB">
          <w:lang w:val="de-DE" w:eastAsia="de-DE"/>
        </w:rPr>
        <w:t>Hirnstamm und Integrationszentren.</w:t>
      </w:r>
    </w:p>
    <w:p w14:paraId="659E84B9" w14:textId="77777777" w:rsidR="00051789" w:rsidRDefault="00000000">
      <w:pPr>
        <w:pStyle w:val="ListParagraph"/>
        <w:spacing w:after="36"/>
        <w:ind w:left="255" w:hanging="142"/>
      </w:pPr>
      <w:r>
        <w:rPr w:lang="en-GB">
          <w:lang w:val="de-DE" w:eastAsia="de-DE"/>
        </w:rPr>
        <w:t>Diencephalon, insbesondere der Hypothalamus.</w:t>
      </w:r>
    </w:p>
    <w:p w14:paraId="0D56943D" w14:textId="77777777" w:rsidR="00051789" w:rsidRDefault="00000000">
      <w:pPr>
        <w:pStyle w:val="ListParagraph"/>
        <w:spacing w:after="36"/>
        <w:ind w:left="255" w:hanging="142"/>
      </w:pPr>
      <w:r>
        <w:rPr w:lang="en-GB">
          <w:lang w:val="de-DE" w:eastAsia="de-DE"/>
        </w:rPr>
        <w:t>Hypothalamus-Hypophysen-Achse.</w:t>
      </w:r>
    </w:p>
    <w:p w14:paraId="4D819245" w14:textId="77777777" w:rsidR="00051789" w:rsidRDefault="00000000">
      <w:pPr>
        <w:pStyle w:val="ListParagraph"/>
        <w:spacing w:after="36"/>
        <w:ind w:left="255" w:hanging="142"/>
      </w:pPr>
      <w:r>
        <w:rPr w:lang="en-GB">
          <w:lang w:val="de-DE" w:eastAsia="de-DE"/>
        </w:rPr>
        <w:t>Neuromeningeales Umfeld innerhalb des ROP-Modells.</w:t>
      </w:r>
    </w:p>
    <w:p w14:paraId="7ED53E0D" w14:textId="77777777" w:rsidR="00051789" w:rsidRDefault="00000000">
      <w:pPr>
        <w:spacing w:after="80"/>
      </w:pPr>
      <w:r>
        <w:rPr w:lang="en-GB">
          <w:i/>
          <w:color w:val="5E666A"/>
          <w:lang w:val="de-DE" w:eastAsia="de-DE"/>
        </w:rPr>
        <w:t>Siehe Kapitel 3 — Zentrales Nervensystem.</w:t>
      </w:r>
    </w:p>
    <w:p w14:paraId="6A627470" w14:textId="77777777" w:rsidR="00051789" w:rsidRDefault="00000000">
      <w:pPr>
        <w:pStyle w:val="Heading2"/>
      </w:pPr>
      <w:r>
        <w:rPr w:lang="en-GB">
          <w:lang w:val="de-DE" w:eastAsia="de-DE"/>
        </w:rPr>
        <w:t>12.3. Level 2 — Autonome Regulation und Anpassung</w:t>
      </w:r>
    </w:p>
    <w:p w14:paraId="5E19CAA5" w14:textId="77777777" w:rsidR="00051789" w:rsidRDefault="00000000">
      <w:r>
        <w:rPr w:lang="en-GB">
          <w:lang w:val="de-DE" w:eastAsia="de-DE"/>
        </w:rPr>
        <w:t>Level 2 ist für den Dünndarm von großer Bedeutung. Es integriert die extrinsischen autonomen Bahnen mit dem enterischen Nervensystem und den funktionellen Schnittstellen der Verdauung.</w:t>
      </w:r>
    </w:p>
    <w:p w14:paraId="1E80139B" w14:textId="77777777" w:rsidR="00051789" w:rsidRDefault="00000000">
      <w:pPr>
        <w:pStyle w:val="ListParagraph"/>
        <w:spacing w:after="36"/>
        <w:ind w:left="255" w:hanging="142"/>
      </w:pPr>
      <w:r>
        <w:rPr w:lang="en-GB">
          <w:lang w:val="de-DE" w:eastAsia="de-DE"/>
        </w:rPr>
        <w:t>N. vagus.</w:t>
      </w:r>
    </w:p>
    <w:p w14:paraId="327CD7DC" w14:textId="77777777" w:rsidR="00051789" w:rsidRDefault="00000000">
      <w:pPr>
        <w:pStyle w:val="ListParagraph"/>
        <w:spacing w:after="36"/>
        <w:ind w:left="255" w:hanging="142"/>
      </w:pPr>
      <w:r>
        <w:rPr w:lang="en-GB">
          <w:lang w:val="de-DE" w:eastAsia="de-DE"/>
        </w:rPr>
        <w:t>Thorakolumbales sympathisches Nervensystem und Splanchnikusnerven.</w:t>
      </w:r>
    </w:p>
    <w:p w14:paraId="7A71CF63" w14:textId="77777777" w:rsidR="00051789" w:rsidRDefault="00000000">
      <w:pPr>
        <w:pStyle w:val="ListParagraph"/>
        <w:spacing w:after="36"/>
        <w:ind w:left="255" w:hanging="142"/>
      </w:pPr>
      <w:r>
        <w:rPr w:lang="en-GB">
          <w:lang w:val="de-DE" w:eastAsia="de-DE"/>
        </w:rPr>
        <w:t>Plexus coeliacus.</w:t>
      </w:r>
    </w:p>
    <w:p w14:paraId="7B2DF934" w14:textId="77777777" w:rsidR="00051789" w:rsidRDefault="00000000">
      <w:pPr>
        <w:pStyle w:val="ListParagraph"/>
        <w:spacing w:after="36"/>
        <w:ind w:left="255" w:hanging="142"/>
      </w:pPr>
      <w:r>
        <w:rPr w:lang="en-GB">
          <w:lang w:val="de-DE" w:eastAsia="de-DE"/>
        </w:rPr>
        <w:t>Plexus mesentericus superior.</w:t>
      </w:r>
    </w:p>
    <w:p w14:paraId="2DBE43FE" w14:textId="77777777" w:rsidR="00051789" w:rsidRDefault="00000000">
      <w:pPr>
        <w:pStyle w:val="ListParagraph"/>
        <w:spacing w:after="36"/>
        <w:ind w:left="255" w:hanging="142"/>
      </w:pPr>
      <w:r>
        <w:rPr w:lang="en-GB">
          <w:lang w:val="de-DE" w:eastAsia="de-DE"/>
        </w:rPr>
        <w:t>ANS–ENS-Schnittstelle: Auerbach- und Meissner-Plexus.</w:t>
      </w:r>
    </w:p>
    <w:p w14:paraId="774323BD" w14:textId="77777777" w:rsidR="00051789" w:rsidRDefault="00000000">
      <w:pPr>
        <w:pStyle w:val="ListParagraph"/>
        <w:spacing w:after="36"/>
        <w:ind w:left="255" w:hanging="142"/>
      </w:pPr>
      <w:r>
        <w:rPr w:lang="en-GB">
          <w:lang w:val="de-DE" w:eastAsia="de-DE"/>
        </w:rPr>
        <w:t>Zwerchfell als funktionelle Schnittstelle.</w:t>
      </w:r>
    </w:p>
    <w:p w14:paraId="65BEF9E7" w14:textId="6382167D" w:rsidR="00051789" w:rsidRDefault="00000000">
      <w:r>
        <w:rPr w:lang="en-GB">
          <w:lang w:val="de-DE" w:eastAsia="de-DE"/>
        </w:rPr>
        <w:t>Je nach Befund kann die begleitende funktionelle Unterstützung Leber und Pfortadersystem, Pankreas, Duodenum und in bestimmten adaptiven Kontexten die Nebennieren einbeziehen.</w:t>
      </w:r>
    </w:p>
    <w:p w14:paraId="6A85F0A7" w14:textId="77777777" w:rsidR="00051789" w:rsidRDefault="00000000">
      <w:pPr>
        <w:spacing w:after="80"/>
      </w:pPr>
      <w:r>
        <w:rPr w:lang="en-GB">
          <w:i/>
          <w:color w:val="5E666A"/>
          <w:lang w:val="de-DE" w:eastAsia="de-DE"/>
        </w:rPr>
        <w:t>Siehe Kapitel 4 — Autonomes Nervensystem; siehe Kapitel 8 — Zwerchfell.</w:t>
      </w:r>
    </w:p>
    <w:p w14:paraId="2DD22D83" w14:textId="77777777" w:rsidR="00051789" w:rsidRDefault="00000000">
      <w:pPr>
        <w:pStyle w:val="Heading2"/>
      </w:pPr>
      <w:r>
        <w:rPr w:lang="en-GB">
          <w:lang w:val="de-DE" w:eastAsia="de-DE"/>
        </w:rPr>
        <w:t>12.4. Level 3 — Lokale und regionale viszerale Regulation</w:t>
      </w:r>
    </w:p>
    <w:p w14:paraId="7328B5EE" w14:textId="77777777" w:rsidR="00051789" w:rsidRDefault="00000000">
      <w:r>
        <w:rPr w:lang="en-GB">
          <w:lang w:val="de-DE" w:eastAsia="de-DE"/>
        </w:rPr>
        <w:t>Level 3 bildet den anatomischen Kern des Darmprotokolls. Es kombiniert die darmspezifische Zone ausschließlich mit den jeweils relevanten regionalen Komponenten.</w:t>
      </w:r>
    </w:p>
    <w:p w14:paraId="7BD86644" w14:textId="77777777" w:rsidR="00051789" w:rsidRDefault="00000000">
      <w:pPr>
        <w:pStyle w:val="ListParagraph"/>
        <w:spacing w:after="36"/>
        <w:ind w:left="255" w:hanging="142"/>
      </w:pPr>
      <w:r>
        <w:rPr w:lang="en-GB">
          <w:lang w:val="de-DE" w:eastAsia="de-DE"/>
        </w:rPr>
        <w:t>Jejunale und ileale Schlingen.</w:t>
      </w:r>
    </w:p>
    <w:p w14:paraId="37D833D1" w14:textId="77777777" w:rsidR="00051789" w:rsidRDefault="00000000">
      <w:pPr>
        <w:pStyle w:val="ListParagraph"/>
        <w:spacing w:after="36"/>
        <w:ind w:left="255" w:hanging="142"/>
      </w:pPr>
      <w:r>
        <w:rPr w:lang="en-GB">
          <w:lang w:val="de-DE" w:eastAsia="de-DE"/>
        </w:rPr>
        <w:t>Mesenterium.</w:t>
      </w:r>
    </w:p>
    <w:p w14:paraId="7C48AF2A" w14:textId="77777777" w:rsidR="00051789" w:rsidRDefault="00000000">
      <w:pPr>
        <w:pStyle w:val="ListParagraph"/>
        <w:spacing w:after="36"/>
        <w:ind w:left="255" w:hanging="142"/>
      </w:pPr>
      <w:r>
        <w:rPr w:lang="en-GB">
          <w:lang w:val="de-DE" w:eastAsia="de-DE"/>
        </w:rPr>
        <w:t>Mesenterialwurzel.</w:t>
      </w:r>
    </w:p>
    <w:p w14:paraId="0B74E116" w14:textId="77777777" w:rsidR="00051789" w:rsidRDefault="00000000">
      <w:pPr>
        <w:pStyle w:val="ListParagraph"/>
        <w:spacing w:after="36"/>
        <w:ind w:left="255" w:hanging="142"/>
      </w:pPr>
      <w:r>
        <w:rPr w:lang="en-GB">
          <w:lang w:val="de-DE" w:eastAsia="de-DE"/>
        </w:rPr>
        <w:t>Peritoneum und interviszerales Gleiten.</w:t>
      </w:r>
    </w:p>
    <w:p w14:paraId="1DEBC22A" w14:textId="77777777" w:rsidR="00051789" w:rsidRDefault="00000000">
      <w:pPr>
        <w:pStyle w:val="ListParagraph"/>
        <w:spacing w:after="36"/>
        <w:ind w:left="255" w:hanging="142"/>
      </w:pPr>
      <w:r>
        <w:rPr w:lang="en-GB">
          <w:lang w:val="de-DE" w:eastAsia="de-DE"/>
        </w:rPr>
        <w:t>Duodenojejunalübergang.</w:t>
      </w:r>
    </w:p>
    <w:p w14:paraId="78848F6F" w14:textId="77777777" w:rsidR="00051789" w:rsidRDefault="00000000">
      <w:pPr>
        <w:pStyle w:val="ListParagraph"/>
        <w:spacing w:after="36"/>
        <w:ind w:left="255" w:hanging="142"/>
      </w:pPr>
      <w:r>
        <w:rPr w:lang="en-GB">
          <w:lang w:val="de-DE" w:eastAsia="de-DE"/>
        </w:rPr>
        <w:t>Ileozäkalübergang.</w:t>
      </w:r>
    </w:p>
    <w:p w14:paraId="107F8EC9" w14:textId="77777777" w:rsidR="00051789" w:rsidRDefault="00000000">
      <w:pPr>
        <w:pStyle w:val="ListParagraph"/>
        <w:spacing w:after="36"/>
        <w:ind w:left="255" w:hanging="142"/>
      </w:pPr>
      <w:r>
        <w:rPr w:lang="en-GB">
          <w:lang w:val="de-DE" w:eastAsia="de-DE"/>
        </w:rPr>
        <w:t>Beziehungen zu Kolon, Nieren und Ureteren sowie kaudal zu den Beckenorganen.</w:t>
      </w:r>
    </w:p>
    <w:p w14:paraId="0895796F" w14:textId="77777777" w:rsidR="00051789" w:rsidRDefault="00000000">
      <w:pPr>
        <w:pStyle w:val="ListParagraph"/>
        <w:spacing w:after="36"/>
        <w:ind w:left="255" w:hanging="142"/>
      </w:pPr>
      <w:r>
        <w:rPr w:lang="en-GB">
          <w:lang w:val="de-DE" w:eastAsia="de-DE"/>
        </w:rPr>
        <w:t>Mesenteriale Gefäßversorgung, sofern sie durch den regionalen Kontext angezeigt ist.</w:t>
      </w:r>
    </w:p>
    <w:p w14:paraId="69604494" w14:textId="77777777" w:rsidR="00051789" w:rsidRDefault="00000000">
      <w:pPr>
        <w:spacing w:after="80"/>
      </w:pPr>
      <w:r>
        <w:rPr w:lang="en-GB">
          <w:i/>
          <w:color w:val="5E666A"/>
          <w:lang w:val="de-DE" w:eastAsia="de-DE"/>
        </w:rPr>
        <w:t>Siehe Kapitel 7 — Regionaler abdominaler und peritonealer Bezugsrahmen.</w:t>
      </w:r>
    </w:p>
    <w:p w14:paraId="38C74BE8" w14:textId="77777777" w:rsidR="00051789" w:rsidRDefault="00000000">
      <w:pPr>
        <w:pStyle w:val="Heading2"/>
      </w:pPr>
      <w:r>
        <w:rPr w:lang="en-GB">
          <w:lang w:val="de-DE" w:eastAsia="de-DE"/>
        </w:rPr>
        <w:t>12.5. Level 4 — Viszerosomatische Integration und Darm-Hirn-Achse</w:t>
      </w:r>
    </w:p>
    <w:p w14:paraId="3C4821D3" w14:textId="77777777" w:rsidR="008E5859" w:rsidRDefault="008E5859">
      <w:pPr>
        <w:rPr>
          <w:b/>
        </w:rPr>
      </w:pPr>
    </w:p>
    <w:p w14:paraId="50B7D8C6" w14:textId="10A59B6B" w:rsidR="00051789" w:rsidRDefault="00000000">
      <w:r>
        <w:rPr w:lang="en-GB">
          <w:b/>
          <w:lang w:val="de-DE" w:eastAsia="de-DE"/>
        </w:rPr>
        <w:t>Viszerosomatische Komponente. Je nach Befund kann die Beurteilung den thorakolumbalen Übergang, die segmentalen Territorien T9–T11 mit Schwerpunkt T10, die Bauchwand, die Lumbalregion, den M. psoas, den M. quadratus lumborum sowie das Becken umfassen, wenn sich das Beschwerdebild auf die abdominopelvine Region erstreckt.</w:t>
      </w:r>
      <w:proofErr w:type="spellStart"/>
      <w:r>
        <w:rPr w:lang="en-GB">
          <w:b/>
          <w:lang w:val="de-DE" w:eastAsia="de-DE"/>
        </w:rPr>
      </w:r>
      <w:proofErr w:type="spellEnd"/>
      <w:r>
        <w:rPr w:lang="en-GB">
          <w:b/>
          <w:lang w:val="de-DE" w:eastAsia="de-DE"/>
        </w:rPr>
      </w:r>
      <w:r>
        <w:rPr w:lang="en-GB">
          <w:lang w:val="de-DE" w:eastAsia="de-DE"/>
        </w:rPr>
      </w:r>
    </w:p>
    <w:p w14:paraId="3804076F" w14:textId="3F81D1D5" w:rsidR="00051789" w:rsidRPr="008E5859" w:rsidRDefault="008E5859">
      <w:pPr>
        <w:rPr>
          <w:b/>
        </w:rPr>
      </w:pPr>
      <w:r>
        <w:rPr w:lang="en-GB">
          <w:b/>
          <w:lang w:val="de-DE" w:eastAsia="de-DE"/>
        </w:rPr>
        <w:t>Funktionelles Gleichgewicht der Darm-Hirn-Achse: Stress, Aufmerksamkeit für Verdauungsempfindungen, viszerale Hypersensitivität, Motilität, Schlaf und emotionales Erleben können sich gegenseitig beeinflussen.</w:t>
      </w:r>
      <w:r w:rsidR="00000000">
        <w:rPr w:lang="en-GB">
          <w:b/>
          <w:lang w:val="de-DE" w:eastAsia="de-DE"/>
        </w:rPr>
      </w:r>
      <w:r>
        <w:rPr w:lang="en-GB">
          <w:b/>
          <w:lang w:val="de-DE" w:eastAsia="de-DE"/>
        </w:rPr>
      </w:r>
      <w:r w:rsidR="00000000" w:rsidRPr="008E5859">
        <w:rPr w:lang="en-GB">
          <w:bCs/>
          <w:lang w:val="de-DE" w:eastAsia="de-DE"/>
        </w:rPr>
      </w:r>
    </w:p>
    <w:p w14:paraId="0D9E0F8F" w14:textId="77777777" w:rsidR="00051789" w:rsidRDefault="00000000">
      <w:pPr>
        <w:spacing w:after="80"/>
      </w:pPr>
      <w:r>
        <w:rPr w:lang="en-GB">
          <w:i/>
          <w:color w:val="5E666A"/>
          <w:lang w:val="de-DE" w:eastAsia="de-DE"/>
        </w:rPr>
        <w:t>Siehe Kapitel 3 — Zentrales Nervensystem; siehe Kapitel 5 — Stressmechanismus.</w:t>
      </w:r>
    </w:p>
    <w:p w14:paraId="1B56829B" w14:textId="77777777" w:rsidR="00051789" w:rsidRDefault="00000000">
      <w:pPr>
        <w:pStyle w:val="Heading2"/>
      </w:pPr>
      <w:r>
        <w:rPr w:lang="en-GB">
          <w:lang w:val="de-DE" w:eastAsia="de-DE"/>
        </w:rPr>
        <w:t>12.6. Begleitende Unterstützung je nach Befund</w:t>
      </w:r>
    </w:p>
    <w:p w14:paraId="44C7E962" w14:textId="77777777" w:rsidR="008E5859" w:rsidRDefault="008E5859">
      <w:pPr>
        <w:pStyle w:val="ListParagraph"/>
        <w:spacing w:after="36"/>
        <w:ind w:left="255" w:hanging="142"/>
      </w:pPr>
    </w:p>
    <w:p w14:paraId="60DD4621" w14:textId="725BBF54" w:rsidR="00051789" w:rsidRDefault="00000000">
      <w:pPr>
        <w:pStyle w:val="ListParagraph"/>
        <w:spacing w:after="36"/>
        <w:ind w:left="255" w:hanging="142"/>
      </w:pPr>
      <w:r>
        <w:rPr w:lang="en-GB">
          <w:lang w:val="de-DE" w:eastAsia="de-DE"/>
        </w:rPr>
        <w:t>Duodenum: proximale Kontinuität des Verdauungstrakts.</w:t>
      </w:r>
    </w:p>
    <w:p w14:paraId="23D84751" w14:textId="77777777" w:rsidR="00051789" w:rsidRDefault="00000000">
      <w:pPr>
        <w:pStyle w:val="ListParagraph"/>
        <w:spacing w:after="36"/>
        <w:ind w:left="255" w:hanging="142"/>
      </w:pPr>
      <w:r>
        <w:rPr w:lang="en-GB">
          <w:lang w:val="de-DE" w:eastAsia="de-DE"/>
        </w:rPr>
        <w:t>Leber und Pfortadersystem: Resorption und Portalzirkulation.</w:t>
      </w:r>
    </w:p>
    <w:p w14:paraId="3B34B469" w14:textId="77777777" w:rsidR="00051789" w:rsidRDefault="00000000">
      <w:pPr>
        <w:pStyle w:val="ListParagraph"/>
        <w:spacing w:after="36"/>
        <w:ind w:left="255" w:hanging="142"/>
      </w:pPr>
      <w:r>
        <w:rPr w:lang="en-GB">
          <w:lang w:val="de-DE" w:eastAsia="de-DE"/>
        </w:rPr>
        <w:t>Pankreas: Beitrag zur Verdauung.</w:t>
      </w:r>
    </w:p>
    <w:p w14:paraId="6FF9ECA5" w14:textId="77777777" w:rsidR="00051789" w:rsidRDefault="00000000">
      <w:pPr>
        <w:pStyle w:val="ListParagraph"/>
        <w:spacing w:after="36"/>
        <w:ind w:left="255" w:hanging="142"/>
      </w:pPr>
      <w:r>
        <w:rPr w:lang="en-GB">
          <w:lang w:val="de-DE" w:eastAsia="de-DE"/>
        </w:rPr>
        <w:t>Kolon: funktionelle Kontinuität und Ileozäkalübergang.</w:t>
      </w:r>
    </w:p>
    <w:p w14:paraId="61F8613D" w14:textId="77777777" w:rsidR="00051789" w:rsidRDefault="00000000">
      <w:pPr>
        <w:pStyle w:val="ListParagraph"/>
        <w:spacing w:after="36"/>
        <w:ind w:left="255" w:hanging="142"/>
      </w:pPr>
      <w:r>
        <w:rPr w:lang="en-GB">
          <w:lang w:val="de-DE" w:eastAsia="de-DE"/>
        </w:rPr>
        <w:t>Zwerchfell: abdominelle Dynamik.</w:t>
      </w:r>
    </w:p>
    <w:p w14:paraId="10B73F33" w14:textId="77777777" w:rsidR="00051789" w:rsidRDefault="00000000">
      <w:pPr>
        <w:pStyle w:val="ListParagraph"/>
        <w:spacing w:after="36"/>
        <w:ind w:left="255" w:hanging="142"/>
      </w:pPr>
      <w:r>
        <w:rPr w:lang="en-GB">
          <w:lang w:val="de-DE" w:eastAsia="de-DE"/>
        </w:rPr>
        <w:t>Becken: nur wenn sich das Beschwerdebild auf die Beckenregion erstreckt.</w:t>
      </w:r>
    </w:p>
    <w:p w14:paraId="60A809C0" w14:textId="77777777" w:rsidR="00051789" w:rsidRDefault="00000000">
      <w:pPr>
        <w:pStyle w:val="Heading2"/>
      </w:pPr>
      <w:r>
        <w:rPr w:lang="en-GB">
          <w:lang w:val="de-DE" w:eastAsia="de-DE"/>
        </w:rPr>
        <w:t>12.7. Klinische Interpretation</w:t>
      </w:r>
    </w:p>
    <w:p w14:paraId="298AEDF5" w14:textId="77777777" w:rsidR="00051789" w:rsidRDefault="00000000">
      <w:pPr>
        <w:pStyle w:val="ListParagraph"/>
        <w:spacing w:after="36"/>
        <w:ind w:left="255" w:hanging="142"/>
      </w:pPr>
      <w:r>
        <w:rPr w:lang="en-GB">
          <w:lang w:val="de-DE" w:eastAsia="de-DE"/>
        </w:rPr>
        <w:t>Funktionelle Transitstörungen oder Blähungen: Level 2 + die intestinale Zone von Level 3 + die Darm-Hirn-Achse, je nach Kontext.</w:t>
      </w:r>
    </w:p>
    <w:p w14:paraId="51D7965C" w14:textId="77777777" w:rsidR="00051789" w:rsidRDefault="00000000">
      <w:pPr>
        <w:pStyle w:val="ListParagraph"/>
        <w:spacing w:after="36"/>
        <w:ind w:left="255" w:hanging="142"/>
      </w:pPr>
      <w:r>
        <w:rPr w:lang="en-GB">
          <w:lang w:val="de-DE" w:eastAsia="de-DE"/>
        </w:rPr>
        <w:t>Abdominelle Folgezustände, Adhäsionen oder Verlust regionaler Beweglichkeit nach Ausschluss medizinischer Erkrankungen: Darm + Mesenterium/Wurzel + der regionale Bezugsrahmen aus Kapitel 7 + gegebenenfalls die somatische Komponente von Level 4.</w:t>
      </w:r>
    </w:p>
    <w:p w14:paraId="56B036C4" w14:textId="77777777" w:rsidR="00051789" w:rsidRDefault="00000000">
      <w:pPr>
        <w:pStyle w:val="ListParagraph"/>
        <w:spacing w:after="36"/>
        <w:ind w:left="255" w:hanging="142"/>
      </w:pPr>
      <w:r>
        <w:rPr w:lang="en-GB">
          <w:lang w:val="de-DE" w:eastAsia="de-DE"/>
        </w:rPr>
        <w:t>Morbus Crohn oder eine andere diagnostizierte entzündliche Erkrankung: Intervention ausschließlich als symptomatische Begleitmaßnahme, wobei die ärztliche Verlaufskontrolle Vorrang hat und die Levels entsprechend den Symptomen und dem individuellen klinischen Kontext sorgfältig ausgewählt werden.</w:t>
      </w:r>
    </w:p>
    <w:p w14:paraId="4131D3E5" w14:textId="77777777" w:rsidR="00051789" w:rsidRDefault="00000000">
      <w:pPr>
        <w:shd w:val="clear" w:color="auto" w:fill="F8E9E5"/>
        <w:spacing w:before="80" w:after="100"/>
        <w:ind w:left="142" w:right="142"/>
      </w:pPr>
      <w:r>
        <w:rPr w:lang="en-GB">
          <w:b/>
          <w:lang w:val="de-DE" w:eastAsia="de-DE"/>
        </w:rPr>
        <w:t>SICHERHEITSPRINZIP — Eine druckschmerzhafte Reflexzone oder palpatorische Veränderung ist kein diagnostischer Test für Darmobstruktion, Infektion, entzündliche Erkrankung, Tumor oder eine andere Darmerkrankung. Fieber, Blut im Stuhl, anhaltendes Erbrechen, unerklärter Gewichtsverlust, Dehydratation, starke Schmerzen oder das Ausbleiben von Stuhl- und Windabgang erfordern eine ärztliche Abklärung.</w:t>
      </w:r>
      <w:r>
        <w:rPr w:lang="en-GB">
          <w:lang w:val="de-DE" w:eastAsia="de-DE"/>
        </w:rPr>
      </w:r>
    </w:p>
    <w:sectPr w:rsidR="00051789">
      <w:footerReference w:type="default" r:id="rId7"/>
      <w:footerReference w:type="first" r:id="rId8"/>
      <w:footerReference w:type="even" r:id="rI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87A"/>
      </v:shape>
    </w:pict>
  </w:numPicBullet>
  <w:abstractNum w:abstractNumId="0" w15:restartNumberingAfterBreak="0">
    <w:nsid w:val="004C0345"/>
    <w:multiLevelType w:val="hybridMultilevel"/>
    <w:tmpl w:val="3C9EC99C"/>
    <w:lvl w:ilvl="0" w:tplc="06564FA2">
      <w:start w:val="1"/>
      <w:numFmt w:val="bullet"/>
      <w:lvlText w:val="-"/>
      <w:lvlJc w:val="left"/>
      <w:pPr>
        <w:ind w:left="1069" w:hanging="360"/>
      </w:pPr>
      <w:rPr>
        <w:rFonts w:ascii="Times New Roman" w:eastAsiaTheme="minorHAnsi" w:hAnsi="Times New Roman" w:cs="Times New Roman" w:hint="default"/>
      </w:rPr>
    </w:lvl>
    <w:lvl w:ilvl="1" w:tplc="040C0005">
      <w:start w:val="1"/>
      <w:numFmt w:val="bullet"/>
      <w:lvlText w:val=""/>
      <w:lvlJc w:val="left"/>
      <w:pPr>
        <w:ind w:left="1440" w:hanging="360"/>
      </w:pPr>
      <w:rPr>
        <w:rFonts w:ascii="Wingdings" w:hAnsi="Wingdings" w:hint="default"/>
      </w:rPr>
    </w:lvl>
    <w:lvl w:ilvl="2" w:tplc="06564FA2">
      <w:start w:val="1"/>
      <w:numFmt w:val="bullet"/>
      <w:lvlText w:val="-"/>
      <w:lvlJc w:val="left"/>
      <w:pPr>
        <w:ind w:left="1495" w:hanging="360"/>
      </w:pPr>
      <w:rPr>
        <w:rFonts w:ascii="Times New Roman" w:eastAsiaTheme="minorHAnsi" w:hAnsi="Times New Roman" w:cs="Times New Roman"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A5761"/>
    <w:multiLevelType w:val="hybridMultilevel"/>
    <w:tmpl w:val="A14EC4F6"/>
    <w:lvl w:ilvl="0" w:tplc="CE7032EC">
      <w:start w:val="1"/>
      <w:numFmt w:val="bullet"/>
      <w:lvlText w:val="o"/>
      <w:lvlJc w:val="left"/>
      <w:pPr>
        <w:ind w:left="1070" w:hanging="360"/>
      </w:pPr>
      <w:rPr>
        <w:rFonts w:ascii="Courier New" w:hAnsi="Courier New" w:cs="Courier New"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 w15:restartNumberingAfterBreak="0">
    <w:nsid w:val="034A580A"/>
    <w:multiLevelType w:val="hybridMultilevel"/>
    <w:tmpl w:val="40AEAA18"/>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 w15:restartNumberingAfterBreak="0">
    <w:nsid w:val="06103C16"/>
    <w:multiLevelType w:val="hybridMultilevel"/>
    <w:tmpl w:val="4A46C5EA"/>
    <w:lvl w:ilvl="0" w:tplc="2A44EFD0">
      <w:start w:val="1"/>
      <w:numFmt w:val="decimal"/>
      <w:lvlText w:val="%1."/>
      <w:lvlJc w:val="left"/>
      <w:pPr>
        <w:ind w:left="1069" w:hanging="360"/>
      </w:pPr>
      <w:rPr>
        <w:rFonts w:ascii="Times New Roman" w:eastAsiaTheme="minorHAnsi" w:hAnsi="Times New Roman" w:cs="Times New Roman"/>
        <w:b w:val="0"/>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4" w15:restartNumberingAfterBreak="0">
    <w:nsid w:val="06E10EFF"/>
    <w:multiLevelType w:val="hybridMultilevel"/>
    <w:tmpl w:val="A176BF48"/>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5" w15:restartNumberingAfterBreak="0">
    <w:nsid w:val="075F6B24"/>
    <w:multiLevelType w:val="hybridMultilevel"/>
    <w:tmpl w:val="501A5778"/>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644" w:hanging="360"/>
      </w:pPr>
      <w:rPr>
        <w:rFonts w:ascii="Courier New" w:hAnsi="Courier New" w:cs="Courier New" w:hint="default"/>
      </w:rPr>
    </w:lvl>
    <w:lvl w:ilvl="2" w:tplc="040C000D">
      <w:start w:val="1"/>
      <w:numFmt w:val="bullet"/>
      <w:lvlText w:val=""/>
      <w:lvlJc w:val="left"/>
      <w:pPr>
        <w:ind w:left="1495"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095E1D70"/>
    <w:multiLevelType w:val="hybridMultilevel"/>
    <w:tmpl w:val="977E58FC"/>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0C4D1A30"/>
    <w:multiLevelType w:val="hybridMultilevel"/>
    <w:tmpl w:val="9AF40B56"/>
    <w:lvl w:ilvl="0" w:tplc="040C0005">
      <w:start w:val="1"/>
      <w:numFmt w:val="bullet"/>
      <w:lvlText w:val=""/>
      <w:lvlJc w:val="left"/>
      <w:pPr>
        <w:ind w:left="1789" w:hanging="360"/>
      </w:pPr>
      <w:rPr>
        <w:rFonts w:ascii="Wingdings" w:hAnsi="Wingdings"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8" w15:restartNumberingAfterBreak="0">
    <w:nsid w:val="11411094"/>
    <w:multiLevelType w:val="hybridMultilevel"/>
    <w:tmpl w:val="20CECD0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9" w15:restartNumberingAfterBreak="0">
    <w:nsid w:val="1FB5189F"/>
    <w:multiLevelType w:val="hybridMultilevel"/>
    <w:tmpl w:val="DF54330C"/>
    <w:lvl w:ilvl="0" w:tplc="040C0005">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0" w15:restartNumberingAfterBreak="0">
    <w:nsid w:val="1FC3309C"/>
    <w:multiLevelType w:val="hybridMultilevel"/>
    <w:tmpl w:val="65AE505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735" w:hanging="360"/>
      </w:pPr>
      <w:rPr>
        <w:rFonts w:ascii="Courier New" w:hAnsi="Courier New" w:cs="Courier New" w:hint="default"/>
      </w:rPr>
    </w:lvl>
    <w:lvl w:ilvl="2" w:tplc="040C0005" w:tentative="1">
      <w:start w:val="1"/>
      <w:numFmt w:val="bullet"/>
      <w:lvlText w:val=""/>
      <w:lvlJc w:val="left"/>
      <w:pPr>
        <w:ind w:left="2455" w:hanging="360"/>
      </w:pPr>
      <w:rPr>
        <w:rFonts w:ascii="Wingdings" w:hAnsi="Wingdings" w:hint="default"/>
      </w:rPr>
    </w:lvl>
    <w:lvl w:ilvl="3" w:tplc="040C0001" w:tentative="1">
      <w:start w:val="1"/>
      <w:numFmt w:val="bullet"/>
      <w:lvlText w:val=""/>
      <w:lvlJc w:val="left"/>
      <w:pPr>
        <w:ind w:left="3175" w:hanging="360"/>
      </w:pPr>
      <w:rPr>
        <w:rFonts w:ascii="Symbol" w:hAnsi="Symbol" w:hint="default"/>
      </w:rPr>
    </w:lvl>
    <w:lvl w:ilvl="4" w:tplc="040C0003" w:tentative="1">
      <w:start w:val="1"/>
      <w:numFmt w:val="bullet"/>
      <w:lvlText w:val="o"/>
      <w:lvlJc w:val="left"/>
      <w:pPr>
        <w:ind w:left="3895" w:hanging="360"/>
      </w:pPr>
      <w:rPr>
        <w:rFonts w:ascii="Courier New" w:hAnsi="Courier New" w:cs="Courier New" w:hint="default"/>
      </w:rPr>
    </w:lvl>
    <w:lvl w:ilvl="5" w:tplc="040C0005" w:tentative="1">
      <w:start w:val="1"/>
      <w:numFmt w:val="bullet"/>
      <w:lvlText w:val=""/>
      <w:lvlJc w:val="left"/>
      <w:pPr>
        <w:ind w:left="4615" w:hanging="360"/>
      </w:pPr>
      <w:rPr>
        <w:rFonts w:ascii="Wingdings" w:hAnsi="Wingdings" w:hint="default"/>
      </w:rPr>
    </w:lvl>
    <w:lvl w:ilvl="6" w:tplc="040C0001" w:tentative="1">
      <w:start w:val="1"/>
      <w:numFmt w:val="bullet"/>
      <w:lvlText w:val=""/>
      <w:lvlJc w:val="left"/>
      <w:pPr>
        <w:ind w:left="5335" w:hanging="360"/>
      </w:pPr>
      <w:rPr>
        <w:rFonts w:ascii="Symbol" w:hAnsi="Symbol" w:hint="default"/>
      </w:rPr>
    </w:lvl>
    <w:lvl w:ilvl="7" w:tplc="040C0003" w:tentative="1">
      <w:start w:val="1"/>
      <w:numFmt w:val="bullet"/>
      <w:lvlText w:val="o"/>
      <w:lvlJc w:val="left"/>
      <w:pPr>
        <w:ind w:left="6055" w:hanging="360"/>
      </w:pPr>
      <w:rPr>
        <w:rFonts w:ascii="Courier New" w:hAnsi="Courier New" w:cs="Courier New" w:hint="default"/>
      </w:rPr>
    </w:lvl>
    <w:lvl w:ilvl="8" w:tplc="040C0005" w:tentative="1">
      <w:start w:val="1"/>
      <w:numFmt w:val="bullet"/>
      <w:lvlText w:val=""/>
      <w:lvlJc w:val="left"/>
      <w:pPr>
        <w:ind w:left="6775" w:hanging="360"/>
      </w:pPr>
      <w:rPr>
        <w:rFonts w:ascii="Wingdings" w:hAnsi="Wingdings" w:hint="default"/>
      </w:rPr>
    </w:lvl>
  </w:abstractNum>
  <w:abstractNum w:abstractNumId="11" w15:restartNumberingAfterBreak="0">
    <w:nsid w:val="1FED04A8"/>
    <w:multiLevelType w:val="hybridMultilevel"/>
    <w:tmpl w:val="EFB4840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877" w:hanging="360"/>
      </w:pPr>
      <w:rPr>
        <w:rFonts w:ascii="Courier New" w:hAnsi="Courier New" w:cs="Courier New" w:hint="default"/>
      </w:rPr>
    </w:lvl>
    <w:lvl w:ilvl="2" w:tplc="040C0005" w:tentative="1">
      <w:start w:val="1"/>
      <w:numFmt w:val="bullet"/>
      <w:lvlText w:val=""/>
      <w:lvlJc w:val="left"/>
      <w:pPr>
        <w:ind w:left="2597" w:hanging="360"/>
      </w:pPr>
      <w:rPr>
        <w:rFonts w:ascii="Wingdings" w:hAnsi="Wingdings" w:hint="default"/>
      </w:rPr>
    </w:lvl>
    <w:lvl w:ilvl="3" w:tplc="040C0001" w:tentative="1">
      <w:start w:val="1"/>
      <w:numFmt w:val="bullet"/>
      <w:lvlText w:val=""/>
      <w:lvlJc w:val="left"/>
      <w:pPr>
        <w:ind w:left="3317" w:hanging="360"/>
      </w:pPr>
      <w:rPr>
        <w:rFonts w:ascii="Symbol" w:hAnsi="Symbol" w:hint="default"/>
      </w:rPr>
    </w:lvl>
    <w:lvl w:ilvl="4" w:tplc="040C0003" w:tentative="1">
      <w:start w:val="1"/>
      <w:numFmt w:val="bullet"/>
      <w:lvlText w:val="o"/>
      <w:lvlJc w:val="left"/>
      <w:pPr>
        <w:ind w:left="4037" w:hanging="360"/>
      </w:pPr>
      <w:rPr>
        <w:rFonts w:ascii="Courier New" w:hAnsi="Courier New" w:cs="Courier New" w:hint="default"/>
      </w:rPr>
    </w:lvl>
    <w:lvl w:ilvl="5" w:tplc="040C0005" w:tentative="1">
      <w:start w:val="1"/>
      <w:numFmt w:val="bullet"/>
      <w:lvlText w:val=""/>
      <w:lvlJc w:val="left"/>
      <w:pPr>
        <w:ind w:left="4757" w:hanging="360"/>
      </w:pPr>
      <w:rPr>
        <w:rFonts w:ascii="Wingdings" w:hAnsi="Wingdings" w:hint="default"/>
      </w:rPr>
    </w:lvl>
    <w:lvl w:ilvl="6" w:tplc="040C0001" w:tentative="1">
      <w:start w:val="1"/>
      <w:numFmt w:val="bullet"/>
      <w:lvlText w:val=""/>
      <w:lvlJc w:val="left"/>
      <w:pPr>
        <w:ind w:left="5477" w:hanging="360"/>
      </w:pPr>
      <w:rPr>
        <w:rFonts w:ascii="Symbol" w:hAnsi="Symbol" w:hint="default"/>
      </w:rPr>
    </w:lvl>
    <w:lvl w:ilvl="7" w:tplc="040C0003" w:tentative="1">
      <w:start w:val="1"/>
      <w:numFmt w:val="bullet"/>
      <w:lvlText w:val="o"/>
      <w:lvlJc w:val="left"/>
      <w:pPr>
        <w:ind w:left="6197" w:hanging="360"/>
      </w:pPr>
      <w:rPr>
        <w:rFonts w:ascii="Courier New" w:hAnsi="Courier New" w:cs="Courier New" w:hint="default"/>
      </w:rPr>
    </w:lvl>
    <w:lvl w:ilvl="8" w:tplc="040C0005" w:tentative="1">
      <w:start w:val="1"/>
      <w:numFmt w:val="bullet"/>
      <w:lvlText w:val=""/>
      <w:lvlJc w:val="left"/>
      <w:pPr>
        <w:ind w:left="6917" w:hanging="360"/>
      </w:pPr>
      <w:rPr>
        <w:rFonts w:ascii="Wingdings" w:hAnsi="Wingdings" w:hint="default"/>
      </w:rPr>
    </w:lvl>
  </w:abstractNum>
  <w:abstractNum w:abstractNumId="12" w15:restartNumberingAfterBreak="0">
    <w:nsid w:val="23B6408D"/>
    <w:multiLevelType w:val="hybridMultilevel"/>
    <w:tmpl w:val="751C3AD8"/>
    <w:lvl w:ilvl="0" w:tplc="F9BAFDBE">
      <w:start w:val="1"/>
      <w:numFmt w:val="bullet"/>
      <w:lvlText w:val=""/>
      <w:lvlJc w:val="left"/>
      <w:pPr>
        <w:ind w:left="-1836" w:hanging="360"/>
      </w:pPr>
      <w:rPr>
        <w:rFonts w:ascii="Symbol" w:hAnsi="Symbol" w:hint="default"/>
        <w:color w:val="auto"/>
      </w:rPr>
    </w:lvl>
    <w:lvl w:ilvl="1" w:tplc="040C0003" w:tentative="1">
      <w:start w:val="1"/>
      <w:numFmt w:val="bullet"/>
      <w:lvlText w:val="o"/>
      <w:lvlJc w:val="left"/>
      <w:pPr>
        <w:ind w:left="-1116" w:hanging="360"/>
      </w:pPr>
      <w:rPr>
        <w:rFonts w:ascii="Courier New" w:hAnsi="Courier New" w:cs="Courier New" w:hint="default"/>
      </w:rPr>
    </w:lvl>
    <w:lvl w:ilvl="2" w:tplc="040C0005" w:tentative="1">
      <w:start w:val="1"/>
      <w:numFmt w:val="bullet"/>
      <w:lvlText w:val=""/>
      <w:lvlJc w:val="left"/>
      <w:pPr>
        <w:ind w:left="-396" w:hanging="360"/>
      </w:pPr>
      <w:rPr>
        <w:rFonts w:ascii="Wingdings" w:hAnsi="Wingdings" w:hint="default"/>
      </w:rPr>
    </w:lvl>
    <w:lvl w:ilvl="3" w:tplc="040C0001" w:tentative="1">
      <w:start w:val="1"/>
      <w:numFmt w:val="bullet"/>
      <w:lvlText w:val=""/>
      <w:lvlJc w:val="left"/>
      <w:pPr>
        <w:ind w:left="324" w:hanging="360"/>
      </w:pPr>
      <w:rPr>
        <w:rFonts w:ascii="Symbol" w:hAnsi="Symbol" w:hint="default"/>
      </w:rPr>
    </w:lvl>
    <w:lvl w:ilvl="4" w:tplc="040C0003" w:tentative="1">
      <w:start w:val="1"/>
      <w:numFmt w:val="bullet"/>
      <w:lvlText w:val="o"/>
      <w:lvlJc w:val="left"/>
      <w:pPr>
        <w:ind w:left="1044" w:hanging="360"/>
      </w:pPr>
      <w:rPr>
        <w:rFonts w:ascii="Courier New" w:hAnsi="Courier New" w:cs="Courier New" w:hint="default"/>
      </w:rPr>
    </w:lvl>
    <w:lvl w:ilvl="5" w:tplc="040C0005" w:tentative="1">
      <w:start w:val="1"/>
      <w:numFmt w:val="bullet"/>
      <w:lvlText w:val=""/>
      <w:lvlJc w:val="left"/>
      <w:pPr>
        <w:ind w:left="1764" w:hanging="360"/>
      </w:pPr>
      <w:rPr>
        <w:rFonts w:ascii="Wingdings" w:hAnsi="Wingdings" w:hint="default"/>
      </w:rPr>
    </w:lvl>
    <w:lvl w:ilvl="6" w:tplc="040C0001" w:tentative="1">
      <w:start w:val="1"/>
      <w:numFmt w:val="bullet"/>
      <w:lvlText w:val=""/>
      <w:lvlJc w:val="left"/>
      <w:pPr>
        <w:ind w:left="2484" w:hanging="360"/>
      </w:pPr>
      <w:rPr>
        <w:rFonts w:ascii="Symbol" w:hAnsi="Symbol" w:hint="default"/>
      </w:rPr>
    </w:lvl>
    <w:lvl w:ilvl="7" w:tplc="040C0003" w:tentative="1">
      <w:start w:val="1"/>
      <w:numFmt w:val="bullet"/>
      <w:lvlText w:val="o"/>
      <w:lvlJc w:val="left"/>
      <w:pPr>
        <w:ind w:left="3204" w:hanging="360"/>
      </w:pPr>
      <w:rPr>
        <w:rFonts w:ascii="Courier New" w:hAnsi="Courier New" w:cs="Courier New" w:hint="default"/>
      </w:rPr>
    </w:lvl>
    <w:lvl w:ilvl="8" w:tplc="040C0005" w:tentative="1">
      <w:start w:val="1"/>
      <w:numFmt w:val="bullet"/>
      <w:lvlText w:val=""/>
      <w:lvlJc w:val="left"/>
      <w:pPr>
        <w:ind w:left="3924" w:hanging="360"/>
      </w:pPr>
      <w:rPr>
        <w:rFonts w:ascii="Wingdings" w:hAnsi="Wingdings" w:hint="default"/>
      </w:rPr>
    </w:lvl>
  </w:abstractNum>
  <w:abstractNum w:abstractNumId="13" w15:restartNumberingAfterBreak="0">
    <w:nsid w:val="268B61B7"/>
    <w:multiLevelType w:val="hybridMultilevel"/>
    <w:tmpl w:val="ECC87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9C79A7"/>
    <w:multiLevelType w:val="hybridMultilevel"/>
    <w:tmpl w:val="F000E54A"/>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074" w:hanging="360"/>
      </w:pPr>
      <w:rPr>
        <w:rFonts w:ascii="Courier New" w:hAnsi="Courier New" w:cs="Courier New" w:hint="default"/>
      </w:rPr>
    </w:lvl>
    <w:lvl w:ilvl="2" w:tplc="040C0005" w:tentative="1">
      <w:start w:val="1"/>
      <w:numFmt w:val="bullet"/>
      <w:lvlText w:val=""/>
      <w:lvlJc w:val="left"/>
      <w:pPr>
        <w:ind w:left="2794" w:hanging="360"/>
      </w:pPr>
      <w:rPr>
        <w:rFonts w:ascii="Wingdings" w:hAnsi="Wingdings" w:hint="default"/>
      </w:rPr>
    </w:lvl>
    <w:lvl w:ilvl="3" w:tplc="040C0001" w:tentative="1">
      <w:start w:val="1"/>
      <w:numFmt w:val="bullet"/>
      <w:lvlText w:val=""/>
      <w:lvlJc w:val="left"/>
      <w:pPr>
        <w:ind w:left="3514" w:hanging="360"/>
      </w:pPr>
      <w:rPr>
        <w:rFonts w:ascii="Symbol" w:hAnsi="Symbol" w:hint="default"/>
      </w:rPr>
    </w:lvl>
    <w:lvl w:ilvl="4" w:tplc="040C0003" w:tentative="1">
      <w:start w:val="1"/>
      <w:numFmt w:val="bullet"/>
      <w:lvlText w:val="o"/>
      <w:lvlJc w:val="left"/>
      <w:pPr>
        <w:ind w:left="4234" w:hanging="360"/>
      </w:pPr>
      <w:rPr>
        <w:rFonts w:ascii="Courier New" w:hAnsi="Courier New" w:cs="Courier New" w:hint="default"/>
      </w:rPr>
    </w:lvl>
    <w:lvl w:ilvl="5" w:tplc="040C0005" w:tentative="1">
      <w:start w:val="1"/>
      <w:numFmt w:val="bullet"/>
      <w:lvlText w:val=""/>
      <w:lvlJc w:val="left"/>
      <w:pPr>
        <w:ind w:left="4954" w:hanging="360"/>
      </w:pPr>
      <w:rPr>
        <w:rFonts w:ascii="Wingdings" w:hAnsi="Wingdings" w:hint="default"/>
      </w:rPr>
    </w:lvl>
    <w:lvl w:ilvl="6" w:tplc="040C0001" w:tentative="1">
      <w:start w:val="1"/>
      <w:numFmt w:val="bullet"/>
      <w:lvlText w:val=""/>
      <w:lvlJc w:val="left"/>
      <w:pPr>
        <w:ind w:left="5674" w:hanging="360"/>
      </w:pPr>
      <w:rPr>
        <w:rFonts w:ascii="Symbol" w:hAnsi="Symbol" w:hint="default"/>
      </w:rPr>
    </w:lvl>
    <w:lvl w:ilvl="7" w:tplc="040C0003" w:tentative="1">
      <w:start w:val="1"/>
      <w:numFmt w:val="bullet"/>
      <w:lvlText w:val="o"/>
      <w:lvlJc w:val="left"/>
      <w:pPr>
        <w:ind w:left="6394" w:hanging="360"/>
      </w:pPr>
      <w:rPr>
        <w:rFonts w:ascii="Courier New" w:hAnsi="Courier New" w:cs="Courier New" w:hint="default"/>
      </w:rPr>
    </w:lvl>
    <w:lvl w:ilvl="8" w:tplc="040C0005" w:tentative="1">
      <w:start w:val="1"/>
      <w:numFmt w:val="bullet"/>
      <w:lvlText w:val=""/>
      <w:lvlJc w:val="left"/>
      <w:pPr>
        <w:ind w:left="7114" w:hanging="360"/>
      </w:pPr>
      <w:rPr>
        <w:rFonts w:ascii="Wingdings" w:hAnsi="Wingdings" w:hint="default"/>
      </w:rPr>
    </w:lvl>
  </w:abstractNum>
  <w:abstractNum w:abstractNumId="15" w15:restartNumberingAfterBreak="0">
    <w:nsid w:val="2B022DDB"/>
    <w:multiLevelType w:val="hybridMultilevel"/>
    <w:tmpl w:val="0A02569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6" w15:restartNumberingAfterBreak="0">
    <w:nsid w:val="2B2739EB"/>
    <w:multiLevelType w:val="hybridMultilevel"/>
    <w:tmpl w:val="568212A4"/>
    <w:lvl w:ilvl="0" w:tplc="C2FE0D94">
      <w:start w:val="1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2373358"/>
    <w:multiLevelType w:val="hybridMultilevel"/>
    <w:tmpl w:val="F46A2B70"/>
    <w:lvl w:ilvl="0" w:tplc="06564FA2">
      <w:start w:val="1"/>
      <w:numFmt w:val="bullet"/>
      <w:lvlText w:val="-"/>
      <w:lvlJc w:val="left"/>
      <w:pPr>
        <w:ind w:left="1429" w:hanging="360"/>
      </w:pPr>
      <w:rPr>
        <w:rFonts w:ascii="Times New Roman" w:eastAsiaTheme="minorHAnsi" w:hAnsi="Times New Roman"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8" w15:restartNumberingAfterBreak="0">
    <w:nsid w:val="32CD2E5C"/>
    <w:multiLevelType w:val="hybridMultilevel"/>
    <w:tmpl w:val="0672941A"/>
    <w:lvl w:ilvl="0" w:tplc="040C000D">
      <w:start w:val="1"/>
      <w:numFmt w:val="bullet"/>
      <w:lvlText w:val=""/>
      <w:lvlJc w:val="left"/>
      <w:pPr>
        <w:ind w:left="1459" w:hanging="360"/>
      </w:pPr>
      <w:rPr>
        <w:rFonts w:ascii="Wingdings" w:hAnsi="Wingdings" w:hint="default"/>
      </w:rPr>
    </w:lvl>
    <w:lvl w:ilvl="1" w:tplc="040C0003" w:tentative="1">
      <w:start w:val="1"/>
      <w:numFmt w:val="bullet"/>
      <w:lvlText w:val="o"/>
      <w:lvlJc w:val="left"/>
      <w:pPr>
        <w:ind w:left="2179" w:hanging="360"/>
      </w:pPr>
      <w:rPr>
        <w:rFonts w:ascii="Courier New" w:hAnsi="Courier New" w:cs="Courier New" w:hint="default"/>
      </w:rPr>
    </w:lvl>
    <w:lvl w:ilvl="2" w:tplc="040C0005" w:tentative="1">
      <w:start w:val="1"/>
      <w:numFmt w:val="bullet"/>
      <w:lvlText w:val=""/>
      <w:lvlJc w:val="left"/>
      <w:pPr>
        <w:ind w:left="2899" w:hanging="360"/>
      </w:pPr>
      <w:rPr>
        <w:rFonts w:ascii="Wingdings" w:hAnsi="Wingdings" w:hint="default"/>
      </w:rPr>
    </w:lvl>
    <w:lvl w:ilvl="3" w:tplc="040C0001" w:tentative="1">
      <w:start w:val="1"/>
      <w:numFmt w:val="bullet"/>
      <w:lvlText w:val=""/>
      <w:lvlJc w:val="left"/>
      <w:pPr>
        <w:ind w:left="3619" w:hanging="360"/>
      </w:pPr>
      <w:rPr>
        <w:rFonts w:ascii="Symbol" w:hAnsi="Symbol" w:hint="default"/>
      </w:rPr>
    </w:lvl>
    <w:lvl w:ilvl="4" w:tplc="040C0003" w:tentative="1">
      <w:start w:val="1"/>
      <w:numFmt w:val="bullet"/>
      <w:lvlText w:val="o"/>
      <w:lvlJc w:val="left"/>
      <w:pPr>
        <w:ind w:left="4339" w:hanging="360"/>
      </w:pPr>
      <w:rPr>
        <w:rFonts w:ascii="Courier New" w:hAnsi="Courier New" w:cs="Courier New" w:hint="default"/>
      </w:rPr>
    </w:lvl>
    <w:lvl w:ilvl="5" w:tplc="040C0005" w:tentative="1">
      <w:start w:val="1"/>
      <w:numFmt w:val="bullet"/>
      <w:lvlText w:val=""/>
      <w:lvlJc w:val="left"/>
      <w:pPr>
        <w:ind w:left="5059" w:hanging="360"/>
      </w:pPr>
      <w:rPr>
        <w:rFonts w:ascii="Wingdings" w:hAnsi="Wingdings" w:hint="default"/>
      </w:rPr>
    </w:lvl>
    <w:lvl w:ilvl="6" w:tplc="040C0001" w:tentative="1">
      <w:start w:val="1"/>
      <w:numFmt w:val="bullet"/>
      <w:lvlText w:val=""/>
      <w:lvlJc w:val="left"/>
      <w:pPr>
        <w:ind w:left="5779" w:hanging="360"/>
      </w:pPr>
      <w:rPr>
        <w:rFonts w:ascii="Symbol" w:hAnsi="Symbol" w:hint="default"/>
      </w:rPr>
    </w:lvl>
    <w:lvl w:ilvl="7" w:tplc="040C0003" w:tentative="1">
      <w:start w:val="1"/>
      <w:numFmt w:val="bullet"/>
      <w:lvlText w:val="o"/>
      <w:lvlJc w:val="left"/>
      <w:pPr>
        <w:ind w:left="6499" w:hanging="360"/>
      </w:pPr>
      <w:rPr>
        <w:rFonts w:ascii="Courier New" w:hAnsi="Courier New" w:cs="Courier New" w:hint="default"/>
      </w:rPr>
    </w:lvl>
    <w:lvl w:ilvl="8" w:tplc="040C0005" w:tentative="1">
      <w:start w:val="1"/>
      <w:numFmt w:val="bullet"/>
      <w:lvlText w:val=""/>
      <w:lvlJc w:val="left"/>
      <w:pPr>
        <w:ind w:left="7219" w:hanging="360"/>
      </w:pPr>
      <w:rPr>
        <w:rFonts w:ascii="Wingdings" w:hAnsi="Wingdings" w:hint="default"/>
      </w:rPr>
    </w:lvl>
  </w:abstractNum>
  <w:abstractNum w:abstractNumId="19" w15:restartNumberingAfterBreak="0">
    <w:nsid w:val="359A0650"/>
    <w:multiLevelType w:val="hybridMultilevel"/>
    <w:tmpl w:val="D3B2F874"/>
    <w:lvl w:ilvl="0" w:tplc="165E9D30">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207F86"/>
    <w:multiLevelType w:val="hybridMultilevel"/>
    <w:tmpl w:val="3B4639C8"/>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1211"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38350278"/>
    <w:multiLevelType w:val="hybridMultilevel"/>
    <w:tmpl w:val="C5861826"/>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2" w15:restartNumberingAfterBreak="0">
    <w:nsid w:val="38E60A81"/>
    <w:multiLevelType w:val="hybridMultilevel"/>
    <w:tmpl w:val="4E50E3A2"/>
    <w:lvl w:ilvl="0" w:tplc="06564FA2">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23" w15:restartNumberingAfterBreak="0">
    <w:nsid w:val="39855072"/>
    <w:multiLevelType w:val="hybridMultilevel"/>
    <w:tmpl w:val="C2F25E2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A365BE"/>
    <w:multiLevelType w:val="hybridMultilevel"/>
    <w:tmpl w:val="3E3ABC5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5" w15:restartNumberingAfterBreak="0">
    <w:nsid w:val="3A2D0A38"/>
    <w:multiLevelType w:val="hybridMultilevel"/>
    <w:tmpl w:val="7B829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0552E74"/>
    <w:multiLevelType w:val="hybridMultilevel"/>
    <w:tmpl w:val="A9BAB4E2"/>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7" w15:restartNumberingAfterBreak="0">
    <w:nsid w:val="454E7337"/>
    <w:multiLevelType w:val="hybridMultilevel"/>
    <w:tmpl w:val="A9907ACA"/>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8" w15:restartNumberingAfterBreak="0">
    <w:nsid w:val="4649134D"/>
    <w:multiLevelType w:val="hybridMultilevel"/>
    <w:tmpl w:val="7932FE1C"/>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9" w15:restartNumberingAfterBreak="0">
    <w:nsid w:val="46A273BF"/>
    <w:multiLevelType w:val="hybridMultilevel"/>
    <w:tmpl w:val="F18E9DD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636" w:hanging="360"/>
      </w:pPr>
      <w:rPr>
        <w:rFonts w:ascii="Symbol" w:hAnsi="Symbol" w:hint="default"/>
      </w:rPr>
    </w:lvl>
    <w:lvl w:ilvl="2" w:tplc="06564FA2">
      <w:start w:val="1"/>
      <w:numFmt w:val="bullet"/>
      <w:lvlText w:val="-"/>
      <w:lvlJc w:val="left"/>
      <w:pPr>
        <w:ind w:left="2160" w:hanging="360"/>
      </w:pPr>
      <w:rPr>
        <w:rFonts w:ascii="Times New Roman" w:eastAsiaTheme="minorHAnsi" w:hAnsi="Times New Roman" w:cs="Times New Roman" w:hint="default"/>
      </w:rPr>
    </w:lvl>
    <w:lvl w:ilvl="3" w:tplc="040C0007">
      <w:start w:val="1"/>
      <w:numFmt w:val="bullet"/>
      <w:lvlText w:val=""/>
      <w:lvlPicBulletId w:val="0"/>
      <w:lvlJc w:val="left"/>
      <w:pPr>
        <w:ind w:left="2880" w:hanging="360"/>
      </w:pPr>
      <w:rPr>
        <w:rFonts w:ascii="Symbol" w:hAnsi="Symbol" w:hint="default"/>
      </w:rPr>
    </w:lvl>
    <w:lvl w:ilvl="4" w:tplc="040C0003">
      <w:start w:val="1"/>
      <w:numFmt w:val="bullet"/>
      <w:lvlText w:val="o"/>
      <w:lvlJc w:val="left"/>
      <w:pPr>
        <w:ind w:left="36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C9D7AA1"/>
    <w:multiLevelType w:val="hybridMultilevel"/>
    <w:tmpl w:val="73BA3636"/>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1" w15:restartNumberingAfterBreak="0">
    <w:nsid w:val="4D28381C"/>
    <w:multiLevelType w:val="hybridMultilevel"/>
    <w:tmpl w:val="BDA6188A"/>
    <w:lvl w:ilvl="0" w:tplc="040C0001">
      <w:start w:val="1"/>
      <w:numFmt w:val="bullet"/>
      <w:lvlText w:val=""/>
      <w:lvlJc w:val="left"/>
      <w:pPr>
        <w:ind w:left="720" w:hanging="360"/>
      </w:pPr>
      <w:rPr>
        <w:rFonts w:ascii="Symbol" w:hAnsi="Symbol" w:hint="default"/>
      </w:rPr>
    </w:lvl>
    <w:lvl w:ilvl="1" w:tplc="06564FA2">
      <w:start w:val="1"/>
      <w:numFmt w:val="bullet"/>
      <w:lvlText w:val="-"/>
      <w:lvlJc w:val="left"/>
      <w:pPr>
        <w:ind w:left="1636"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E34760F"/>
    <w:multiLevelType w:val="hybridMultilevel"/>
    <w:tmpl w:val="44F49E64"/>
    <w:lvl w:ilvl="0" w:tplc="040C0003">
      <w:start w:val="1"/>
      <w:numFmt w:val="bullet"/>
      <w:lvlText w:val="o"/>
      <w:lvlJc w:val="left"/>
      <w:pPr>
        <w:ind w:left="928" w:hanging="360"/>
      </w:pPr>
      <w:rPr>
        <w:rFonts w:ascii="Courier New" w:hAnsi="Courier New" w:cs="Courier New"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33" w15:restartNumberingAfterBreak="0">
    <w:nsid w:val="51DA5601"/>
    <w:multiLevelType w:val="hybridMultilevel"/>
    <w:tmpl w:val="9EDE5900"/>
    <w:lvl w:ilvl="0" w:tplc="E43C7F72">
      <w:start w:val="1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1353"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3011AC5"/>
    <w:multiLevelType w:val="hybridMultilevel"/>
    <w:tmpl w:val="868AD37E"/>
    <w:lvl w:ilvl="0" w:tplc="06564FA2">
      <w:start w:val="1"/>
      <w:numFmt w:val="bullet"/>
      <w:lvlText w:val="-"/>
      <w:lvlJc w:val="left"/>
      <w:pPr>
        <w:ind w:left="1776" w:hanging="360"/>
      </w:pPr>
      <w:rPr>
        <w:rFonts w:ascii="Times New Roman" w:eastAsiaTheme="minorHAnsi"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6" w15:restartNumberingAfterBreak="0">
    <w:nsid w:val="54020EB7"/>
    <w:multiLevelType w:val="hybridMultilevel"/>
    <w:tmpl w:val="2D92BEC6"/>
    <w:lvl w:ilvl="0" w:tplc="06564FA2">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4FA3AFB"/>
    <w:multiLevelType w:val="hybridMultilevel"/>
    <w:tmpl w:val="D14E232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8" w15:restartNumberingAfterBreak="0">
    <w:nsid w:val="5BE63D53"/>
    <w:multiLevelType w:val="hybridMultilevel"/>
    <w:tmpl w:val="975E8892"/>
    <w:lvl w:ilvl="0" w:tplc="06564FA2">
      <w:start w:val="1"/>
      <w:numFmt w:val="bullet"/>
      <w:lvlText w:val="-"/>
      <w:lvlJc w:val="left"/>
      <w:pPr>
        <w:ind w:left="1776" w:hanging="360"/>
      </w:pPr>
      <w:rPr>
        <w:rFonts w:ascii="Times New Roman" w:eastAsiaTheme="minorHAnsi"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9" w15:restartNumberingAfterBreak="0">
    <w:nsid w:val="61622F4B"/>
    <w:multiLevelType w:val="hybridMultilevel"/>
    <w:tmpl w:val="0D9EC0E6"/>
    <w:lvl w:ilvl="0" w:tplc="040C0005">
      <w:start w:val="1"/>
      <w:numFmt w:val="bullet"/>
      <w:lvlText w:val=""/>
      <w:lvlJc w:val="left"/>
      <w:pPr>
        <w:ind w:left="1789" w:hanging="360"/>
      </w:pPr>
      <w:rPr>
        <w:rFonts w:ascii="Wingdings" w:hAnsi="Wingdings"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40" w15:restartNumberingAfterBreak="0">
    <w:nsid w:val="61AB204A"/>
    <w:multiLevelType w:val="hybridMultilevel"/>
    <w:tmpl w:val="00EEEDCA"/>
    <w:lvl w:ilvl="0" w:tplc="06564FA2">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15:restartNumberingAfterBreak="0">
    <w:nsid w:val="6EF27D84"/>
    <w:multiLevelType w:val="hybridMultilevel"/>
    <w:tmpl w:val="25441B2A"/>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42" w15:restartNumberingAfterBreak="0">
    <w:nsid w:val="72CC4A0C"/>
    <w:multiLevelType w:val="hybridMultilevel"/>
    <w:tmpl w:val="EBE07878"/>
    <w:lvl w:ilvl="0" w:tplc="040C000F">
      <w:start w:val="1"/>
      <w:numFmt w:val="decimal"/>
      <w:lvlText w:val="%1."/>
      <w:lvlJc w:val="left"/>
      <w:pPr>
        <w:ind w:left="958" w:hanging="360"/>
      </w:pPr>
    </w:lvl>
    <w:lvl w:ilvl="1" w:tplc="040C0019" w:tentative="1">
      <w:start w:val="1"/>
      <w:numFmt w:val="lowerLetter"/>
      <w:lvlText w:val="%2."/>
      <w:lvlJc w:val="left"/>
      <w:pPr>
        <w:ind w:left="1678" w:hanging="360"/>
      </w:pPr>
    </w:lvl>
    <w:lvl w:ilvl="2" w:tplc="040C001B" w:tentative="1">
      <w:start w:val="1"/>
      <w:numFmt w:val="lowerRoman"/>
      <w:lvlText w:val="%3."/>
      <w:lvlJc w:val="right"/>
      <w:pPr>
        <w:ind w:left="2398" w:hanging="180"/>
      </w:pPr>
    </w:lvl>
    <w:lvl w:ilvl="3" w:tplc="040C000F" w:tentative="1">
      <w:start w:val="1"/>
      <w:numFmt w:val="decimal"/>
      <w:lvlText w:val="%4."/>
      <w:lvlJc w:val="left"/>
      <w:pPr>
        <w:ind w:left="3118" w:hanging="360"/>
      </w:pPr>
    </w:lvl>
    <w:lvl w:ilvl="4" w:tplc="040C0019" w:tentative="1">
      <w:start w:val="1"/>
      <w:numFmt w:val="lowerLetter"/>
      <w:lvlText w:val="%5."/>
      <w:lvlJc w:val="left"/>
      <w:pPr>
        <w:ind w:left="3838" w:hanging="360"/>
      </w:pPr>
    </w:lvl>
    <w:lvl w:ilvl="5" w:tplc="040C001B" w:tentative="1">
      <w:start w:val="1"/>
      <w:numFmt w:val="lowerRoman"/>
      <w:lvlText w:val="%6."/>
      <w:lvlJc w:val="right"/>
      <w:pPr>
        <w:ind w:left="4558" w:hanging="180"/>
      </w:pPr>
    </w:lvl>
    <w:lvl w:ilvl="6" w:tplc="040C000F" w:tentative="1">
      <w:start w:val="1"/>
      <w:numFmt w:val="decimal"/>
      <w:lvlText w:val="%7."/>
      <w:lvlJc w:val="left"/>
      <w:pPr>
        <w:ind w:left="5278" w:hanging="360"/>
      </w:pPr>
    </w:lvl>
    <w:lvl w:ilvl="7" w:tplc="040C0019" w:tentative="1">
      <w:start w:val="1"/>
      <w:numFmt w:val="lowerLetter"/>
      <w:lvlText w:val="%8."/>
      <w:lvlJc w:val="left"/>
      <w:pPr>
        <w:ind w:left="5998" w:hanging="360"/>
      </w:pPr>
    </w:lvl>
    <w:lvl w:ilvl="8" w:tplc="040C001B" w:tentative="1">
      <w:start w:val="1"/>
      <w:numFmt w:val="lowerRoman"/>
      <w:lvlText w:val="%9."/>
      <w:lvlJc w:val="right"/>
      <w:pPr>
        <w:ind w:left="6718" w:hanging="180"/>
      </w:pPr>
    </w:lvl>
  </w:abstractNum>
  <w:abstractNum w:abstractNumId="43" w15:restartNumberingAfterBreak="0">
    <w:nsid w:val="73AB3B87"/>
    <w:multiLevelType w:val="hybridMultilevel"/>
    <w:tmpl w:val="C894827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15:restartNumberingAfterBreak="0">
    <w:nsid w:val="744B2A31"/>
    <w:multiLevelType w:val="hybridMultilevel"/>
    <w:tmpl w:val="9B20BE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8D35DC"/>
    <w:multiLevelType w:val="hybridMultilevel"/>
    <w:tmpl w:val="D26056F2"/>
    <w:lvl w:ilvl="0" w:tplc="06564FA2">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6" w15:restartNumberingAfterBreak="0">
    <w:nsid w:val="77DF031E"/>
    <w:multiLevelType w:val="hybridMultilevel"/>
    <w:tmpl w:val="92E2958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num w:numId="1" w16cid:durableId="144208181">
    <w:abstractNumId w:val="19"/>
  </w:num>
  <w:num w:numId="2" w16cid:durableId="914555121">
    <w:abstractNumId w:val="36"/>
  </w:num>
  <w:num w:numId="3" w16cid:durableId="1565022225">
    <w:abstractNumId w:val="0"/>
  </w:num>
  <w:num w:numId="4" w16cid:durableId="1340617843">
    <w:abstractNumId w:val="44"/>
  </w:num>
  <w:num w:numId="5" w16cid:durableId="1118331499">
    <w:abstractNumId w:val="12"/>
  </w:num>
  <w:num w:numId="6" w16cid:durableId="1708916856">
    <w:abstractNumId w:val="11"/>
  </w:num>
  <w:num w:numId="7" w16cid:durableId="826361086">
    <w:abstractNumId w:val="20"/>
  </w:num>
  <w:num w:numId="8" w16cid:durableId="150214748">
    <w:abstractNumId w:val="5"/>
  </w:num>
  <w:num w:numId="9" w16cid:durableId="1879657897">
    <w:abstractNumId w:val="29"/>
  </w:num>
  <w:num w:numId="10" w16cid:durableId="2064671419">
    <w:abstractNumId w:val="4"/>
  </w:num>
  <w:num w:numId="11" w16cid:durableId="1471895339">
    <w:abstractNumId w:val="13"/>
  </w:num>
  <w:num w:numId="12" w16cid:durableId="1488941727">
    <w:abstractNumId w:val="31"/>
  </w:num>
  <w:num w:numId="13" w16cid:durableId="1472942044">
    <w:abstractNumId w:val="45"/>
  </w:num>
  <w:num w:numId="14" w16cid:durableId="840848609">
    <w:abstractNumId w:val="6"/>
  </w:num>
  <w:num w:numId="15" w16cid:durableId="1131943444">
    <w:abstractNumId w:val="25"/>
  </w:num>
  <w:num w:numId="16" w16cid:durableId="1686594604">
    <w:abstractNumId w:val="35"/>
  </w:num>
  <w:num w:numId="17" w16cid:durableId="215556788">
    <w:abstractNumId w:val="38"/>
  </w:num>
  <w:num w:numId="18" w16cid:durableId="1592740701">
    <w:abstractNumId w:val="10"/>
  </w:num>
  <w:num w:numId="19" w16cid:durableId="1239636017">
    <w:abstractNumId w:val="27"/>
  </w:num>
  <w:num w:numId="20" w16cid:durableId="1967850168">
    <w:abstractNumId w:val="24"/>
  </w:num>
  <w:num w:numId="21" w16cid:durableId="429787401">
    <w:abstractNumId w:val="14"/>
  </w:num>
  <w:num w:numId="22" w16cid:durableId="489252234">
    <w:abstractNumId w:val="26"/>
  </w:num>
  <w:num w:numId="23" w16cid:durableId="1293485191">
    <w:abstractNumId w:val="18"/>
  </w:num>
  <w:num w:numId="24" w16cid:durableId="357704906">
    <w:abstractNumId w:val="23"/>
  </w:num>
  <w:num w:numId="25" w16cid:durableId="1856770065">
    <w:abstractNumId w:val="8"/>
  </w:num>
  <w:num w:numId="26" w16cid:durableId="697312368">
    <w:abstractNumId w:val="3"/>
  </w:num>
  <w:num w:numId="27" w16cid:durableId="525294987">
    <w:abstractNumId w:val="34"/>
  </w:num>
  <w:num w:numId="28" w16cid:durableId="828639995">
    <w:abstractNumId w:val="16"/>
  </w:num>
  <w:num w:numId="29" w16cid:durableId="1422875505">
    <w:abstractNumId w:val="43"/>
  </w:num>
  <w:num w:numId="30" w16cid:durableId="209267200">
    <w:abstractNumId w:val="32"/>
  </w:num>
  <w:num w:numId="31" w16cid:durableId="1186869461">
    <w:abstractNumId w:val="37"/>
  </w:num>
  <w:num w:numId="32" w16cid:durableId="1518108369">
    <w:abstractNumId w:val="1"/>
  </w:num>
  <w:num w:numId="33" w16cid:durableId="629558312">
    <w:abstractNumId w:val="9"/>
  </w:num>
  <w:num w:numId="34" w16cid:durableId="774255687">
    <w:abstractNumId w:val="7"/>
  </w:num>
  <w:num w:numId="35" w16cid:durableId="629701931">
    <w:abstractNumId w:val="17"/>
  </w:num>
  <w:num w:numId="36" w16cid:durableId="797146095">
    <w:abstractNumId w:val="39"/>
  </w:num>
  <w:num w:numId="37" w16cid:durableId="1790707434">
    <w:abstractNumId w:val="21"/>
  </w:num>
  <w:num w:numId="38" w16cid:durableId="1291519426">
    <w:abstractNumId w:val="28"/>
  </w:num>
  <w:num w:numId="39" w16cid:durableId="682902344">
    <w:abstractNumId w:val="30"/>
  </w:num>
  <w:num w:numId="40" w16cid:durableId="1658262528">
    <w:abstractNumId w:val="46"/>
  </w:num>
  <w:num w:numId="41" w16cid:durableId="634677994">
    <w:abstractNumId w:val="22"/>
  </w:num>
  <w:num w:numId="42" w16cid:durableId="1256095047">
    <w:abstractNumId w:val="2"/>
  </w:num>
  <w:num w:numId="43" w16cid:durableId="789278033">
    <w:abstractNumId w:val="40"/>
  </w:num>
  <w:num w:numId="44" w16cid:durableId="1818453835">
    <w:abstractNumId w:val="15"/>
  </w:num>
  <w:num w:numId="45" w16cid:durableId="1169753550">
    <w:abstractNumId w:val="41"/>
  </w:num>
  <w:num w:numId="46" w16cid:durableId="827280959">
    <w:abstractNumId w:val="42"/>
  </w:num>
  <w:num w:numId="47" w16cid:durableId="1325353450">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D6E44"/>
    <w:rsid w:val="0001475E"/>
    <w:rsid w:val="00026965"/>
    <w:rsid w:val="00051789"/>
    <w:rsid w:val="00052FD3"/>
    <w:rsid w:val="00054411"/>
    <w:rsid w:val="00075917"/>
    <w:rsid w:val="000806D6"/>
    <w:rsid w:val="00085EB4"/>
    <w:rsid w:val="00087731"/>
    <w:rsid w:val="00091C42"/>
    <w:rsid w:val="000A2C35"/>
    <w:rsid w:val="000A4241"/>
    <w:rsid w:val="000B538E"/>
    <w:rsid w:val="000C547C"/>
    <w:rsid w:val="000C6A58"/>
    <w:rsid w:val="000D1132"/>
    <w:rsid w:val="000D7A61"/>
    <w:rsid w:val="000E1DB7"/>
    <w:rsid w:val="000E4C93"/>
    <w:rsid w:val="000F08E8"/>
    <w:rsid w:val="000F1455"/>
    <w:rsid w:val="000F5C2A"/>
    <w:rsid w:val="00106EE6"/>
    <w:rsid w:val="00126776"/>
    <w:rsid w:val="001463D2"/>
    <w:rsid w:val="001548BD"/>
    <w:rsid w:val="00154C95"/>
    <w:rsid w:val="00173F83"/>
    <w:rsid w:val="00175236"/>
    <w:rsid w:val="00176C0E"/>
    <w:rsid w:val="00182370"/>
    <w:rsid w:val="001859C5"/>
    <w:rsid w:val="00192CE1"/>
    <w:rsid w:val="001961C6"/>
    <w:rsid w:val="001A53D1"/>
    <w:rsid w:val="001A6340"/>
    <w:rsid w:val="001C1BBE"/>
    <w:rsid w:val="001C41EF"/>
    <w:rsid w:val="001C59F3"/>
    <w:rsid w:val="001C7BBB"/>
    <w:rsid w:val="001D5D84"/>
    <w:rsid w:val="001D6943"/>
    <w:rsid w:val="001E6DC6"/>
    <w:rsid w:val="001F1268"/>
    <w:rsid w:val="001F3310"/>
    <w:rsid w:val="001F59EF"/>
    <w:rsid w:val="001F6A33"/>
    <w:rsid w:val="0020343E"/>
    <w:rsid w:val="002247DA"/>
    <w:rsid w:val="002267C4"/>
    <w:rsid w:val="00237D0A"/>
    <w:rsid w:val="002424F8"/>
    <w:rsid w:val="00247DE6"/>
    <w:rsid w:val="00261A06"/>
    <w:rsid w:val="00263074"/>
    <w:rsid w:val="00267129"/>
    <w:rsid w:val="00267F11"/>
    <w:rsid w:val="0028619D"/>
    <w:rsid w:val="002924BB"/>
    <w:rsid w:val="002A65D9"/>
    <w:rsid w:val="002A6EE7"/>
    <w:rsid w:val="002B238D"/>
    <w:rsid w:val="002B4F24"/>
    <w:rsid w:val="002B7A80"/>
    <w:rsid w:val="002D24F9"/>
    <w:rsid w:val="002E1F9A"/>
    <w:rsid w:val="002E46D8"/>
    <w:rsid w:val="002F22F9"/>
    <w:rsid w:val="00302224"/>
    <w:rsid w:val="00306D66"/>
    <w:rsid w:val="0031444F"/>
    <w:rsid w:val="00314533"/>
    <w:rsid w:val="0032101C"/>
    <w:rsid w:val="00322D01"/>
    <w:rsid w:val="00337046"/>
    <w:rsid w:val="00344DAF"/>
    <w:rsid w:val="003450E3"/>
    <w:rsid w:val="00366E68"/>
    <w:rsid w:val="0039729F"/>
    <w:rsid w:val="003B558A"/>
    <w:rsid w:val="003C4EDD"/>
    <w:rsid w:val="003D33F6"/>
    <w:rsid w:val="003E0985"/>
    <w:rsid w:val="003E44BB"/>
    <w:rsid w:val="003F3437"/>
    <w:rsid w:val="003F5CC1"/>
    <w:rsid w:val="0040388A"/>
    <w:rsid w:val="00407BAC"/>
    <w:rsid w:val="00411478"/>
    <w:rsid w:val="00420B3B"/>
    <w:rsid w:val="0042207F"/>
    <w:rsid w:val="00436119"/>
    <w:rsid w:val="0044088C"/>
    <w:rsid w:val="00446195"/>
    <w:rsid w:val="00455C77"/>
    <w:rsid w:val="00461E3C"/>
    <w:rsid w:val="00463FEA"/>
    <w:rsid w:val="00495441"/>
    <w:rsid w:val="00496B4A"/>
    <w:rsid w:val="004A7A01"/>
    <w:rsid w:val="004B28CB"/>
    <w:rsid w:val="004B2DB7"/>
    <w:rsid w:val="004B48AC"/>
    <w:rsid w:val="004C0415"/>
    <w:rsid w:val="004C4BE0"/>
    <w:rsid w:val="004D28E9"/>
    <w:rsid w:val="004D560E"/>
    <w:rsid w:val="004E581F"/>
    <w:rsid w:val="004F1BD5"/>
    <w:rsid w:val="004F4753"/>
    <w:rsid w:val="004F758D"/>
    <w:rsid w:val="00500149"/>
    <w:rsid w:val="00501EE1"/>
    <w:rsid w:val="005149C5"/>
    <w:rsid w:val="00546A6F"/>
    <w:rsid w:val="00547992"/>
    <w:rsid w:val="005506AD"/>
    <w:rsid w:val="005506C4"/>
    <w:rsid w:val="00551F40"/>
    <w:rsid w:val="005546CD"/>
    <w:rsid w:val="00571F4D"/>
    <w:rsid w:val="005860AA"/>
    <w:rsid w:val="00591B2C"/>
    <w:rsid w:val="0059423D"/>
    <w:rsid w:val="005A1EF9"/>
    <w:rsid w:val="005B1983"/>
    <w:rsid w:val="005B548C"/>
    <w:rsid w:val="005C5EF5"/>
    <w:rsid w:val="005C7B22"/>
    <w:rsid w:val="005D1B78"/>
    <w:rsid w:val="005D7808"/>
    <w:rsid w:val="005E0098"/>
    <w:rsid w:val="005E2932"/>
    <w:rsid w:val="005E4A8D"/>
    <w:rsid w:val="005F2CD3"/>
    <w:rsid w:val="00610A60"/>
    <w:rsid w:val="00611C4C"/>
    <w:rsid w:val="006142C2"/>
    <w:rsid w:val="00616A4C"/>
    <w:rsid w:val="006219A0"/>
    <w:rsid w:val="00630A04"/>
    <w:rsid w:val="006328EB"/>
    <w:rsid w:val="00645690"/>
    <w:rsid w:val="006536D9"/>
    <w:rsid w:val="00655FCF"/>
    <w:rsid w:val="0065795F"/>
    <w:rsid w:val="00666444"/>
    <w:rsid w:val="00675DE9"/>
    <w:rsid w:val="00677954"/>
    <w:rsid w:val="00680AE2"/>
    <w:rsid w:val="00680BC8"/>
    <w:rsid w:val="006866BC"/>
    <w:rsid w:val="00695BB3"/>
    <w:rsid w:val="006A5B9F"/>
    <w:rsid w:val="006B32B2"/>
    <w:rsid w:val="006C2C64"/>
    <w:rsid w:val="006C6E8F"/>
    <w:rsid w:val="006F023F"/>
    <w:rsid w:val="006F2D93"/>
    <w:rsid w:val="00700B0D"/>
    <w:rsid w:val="00700B7A"/>
    <w:rsid w:val="00701132"/>
    <w:rsid w:val="00704170"/>
    <w:rsid w:val="007136E3"/>
    <w:rsid w:val="00714777"/>
    <w:rsid w:val="00715A69"/>
    <w:rsid w:val="00724BB3"/>
    <w:rsid w:val="007418A4"/>
    <w:rsid w:val="00745C7B"/>
    <w:rsid w:val="00747170"/>
    <w:rsid w:val="00751B94"/>
    <w:rsid w:val="00762135"/>
    <w:rsid w:val="0076228F"/>
    <w:rsid w:val="00774B5A"/>
    <w:rsid w:val="0078059F"/>
    <w:rsid w:val="00782D5F"/>
    <w:rsid w:val="00785E3A"/>
    <w:rsid w:val="00790B21"/>
    <w:rsid w:val="00794917"/>
    <w:rsid w:val="0079708A"/>
    <w:rsid w:val="007A1248"/>
    <w:rsid w:val="007A13F1"/>
    <w:rsid w:val="007A71F1"/>
    <w:rsid w:val="007C0603"/>
    <w:rsid w:val="007F01D1"/>
    <w:rsid w:val="007F2FB0"/>
    <w:rsid w:val="008010D8"/>
    <w:rsid w:val="008103A2"/>
    <w:rsid w:val="0081101C"/>
    <w:rsid w:val="00814484"/>
    <w:rsid w:val="00815FDF"/>
    <w:rsid w:val="008238B6"/>
    <w:rsid w:val="0082708A"/>
    <w:rsid w:val="00830382"/>
    <w:rsid w:val="00843D0A"/>
    <w:rsid w:val="00844CF7"/>
    <w:rsid w:val="00865BFD"/>
    <w:rsid w:val="00870598"/>
    <w:rsid w:val="00870F91"/>
    <w:rsid w:val="00871F6E"/>
    <w:rsid w:val="00885B08"/>
    <w:rsid w:val="00887320"/>
    <w:rsid w:val="008A0E98"/>
    <w:rsid w:val="008C1352"/>
    <w:rsid w:val="008C1F8F"/>
    <w:rsid w:val="008D3B78"/>
    <w:rsid w:val="008D40C3"/>
    <w:rsid w:val="008D59D2"/>
    <w:rsid w:val="008E28B1"/>
    <w:rsid w:val="008E5859"/>
    <w:rsid w:val="008F1FCE"/>
    <w:rsid w:val="008F71DA"/>
    <w:rsid w:val="00902F29"/>
    <w:rsid w:val="00907080"/>
    <w:rsid w:val="00914311"/>
    <w:rsid w:val="00927B66"/>
    <w:rsid w:val="00936E4C"/>
    <w:rsid w:val="00942621"/>
    <w:rsid w:val="0095113D"/>
    <w:rsid w:val="00956F48"/>
    <w:rsid w:val="009610BA"/>
    <w:rsid w:val="00971DA8"/>
    <w:rsid w:val="009745B2"/>
    <w:rsid w:val="00974676"/>
    <w:rsid w:val="00983E7C"/>
    <w:rsid w:val="0099650C"/>
    <w:rsid w:val="009A0D57"/>
    <w:rsid w:val="009A32F0"/>
    <w:rsid w:val="009C0151"/>
    <w:rsid w:val="009C27DD"/>
    <w:rsid w:val="009E0DA5"/>
    <w:rsid w:val="009E65EB"/>
    <w:rsid w:val="009F0DB4"/>
    <w:rsid w:val="009F1255"/>
    <w:rsid w:val="00A0621C"/>
    <w:rsid w:val="00A13EBF"/>
    <w:rsid w:val="00A24E75"/>
    <w:rsid w:val="00A31B0A"/>
    <w:rsid w:val="00A41C2B"/>
    <w:rsid w:val="00A4232E"/>
    <w:rsid w:val="00A53BF0"/>
    <w:rsid w:val="00A57696"/>
    <w:rsid w:val="00A9286A"/>
    <w:rsid w:val="00AA5A7E"/>
    <w:rsid w:val="00AB358E"/>
    <w:rsid w:val="00AB3E03"/>
    <w:rsid w:val="00AB5980"/>
    <w:rsid w:val="00AC74BA"/>
    <w:rsid w:val="00AD5FD6"/>
    <w:rsid w:val="00AF35E1"/>
    <w:rsid w:val="00B12DE7"/>
    <w:rsid w:val="00B16E31"/>
    <w:rsid w:val="00B17D94"/>
    <w:rsid w:val="00B5176B"/>
    <w:rsid w:val="00B63D24"/>
    <w:rsid w:val="00B664F6"/>
    <w:rsid w:val="00B82CDD"/>
    <w:rsid w:val="00B95AE7"/>
    <w:rsid w:val="00B96356"/>
    <w:rsid w:val="00BA58EF"/>
    <w:rsid w:val="00BC66C7"/>
    <w:rsid w:val="00BD2962"/>
    <w:rsid w:val="00BE5346"/>
    <w:rsid w:val="00C01175"/>
    <w:rsid w:val="00C10FD5"/>
    <w:rsid w:val="00C1482C"/>
    <w:rsid w:val="00C17AAC"/>
    <w:rsid w:val="00C21E91"/>
    <w:rsid w:val="00C23AC9"/>
    <w:rsid w:val="00C25E6F"/>
    <w:rsid w:val="00C27CB2"/>
    <w:rsid w:val="00C42B61"/>
    <w:rsid w:val="00C62B27"/>
    <w:rsid w:val="00C63E6A"/>
    <w:rsid w:val="00C74137"/>
    <w:rsid w:val="00C75199"/>
    <w:rsid w:val="00C75D17"/>
    <w:rsid w:val="00C842BE"/>
    <w:rsid w:val="00C900A5"/>
    <w:rsid w:val="00CE3FE2"/>
    <w:rsid w:val="00CF2C8D"/>
    <w:rsid w:val="00CF4BD9"/>
    <w:rsid w:val="00D02DDB"/>
    <w:rsid w:val="00D15310"/>
    <w:rsid w:val="00D15CF5"/>
    <w:rsid w:val="00D2054F"/>
    <w:rsid w:val="00D2731A"/>
    <w:rsid w:val="00D30E33"/>
    <w:rsid w:val="00D34587"/>
    <w:rsid w:val="00D5213B"/>
    <w:rsid w:val="00D56208"/>
    <w:rsid w:val="00D749E3"/>
    <w:rsid w:val="00D75884"/>
    <w:rsid w:val="00D92EAB"/>
    <w:rsid w:val="00D9478C"/>
    <w:rsid w:val="00DA17D0"/>
    <w:rsid w:val="00DD0C0C"/>
    <w:rsid w:val="00DD5218"/>
    <w:rsid w:val="00DD6A36"/>
    <w:rsid w:val="00DD74C3"/>
    <w:rsid w:val="00DF31FC"/>
    <w:rsid w:val="00DF6D4A"/>
    <w:rsid w:val="00E02F03"/>
    <w:rsid w:val="00E074D5"/>
    <w:rsid w:val="00E11AD3"/>
    <w:rsid w:val="00E124F7"/>
    <w:rsid w:val="00E1379A"/>
    <w:rsid w:val="00E15F10"/>
    <w:rsid w:val="00E232C2"/>
    <w:rsid w:val="00E23AD6"/>
    <w:rsid w:val="00E253F6"/>
    <w:rsid w:val="00E31A12"/>
    <w:rsid w:val="00E53A50"/>
    <w:rsid w:val="00E542E2"/>
    <w:rsid w:val="00E70681"/>
    <w:rsid w:val="00E83784"/>
    <w:rsid w:val="00E8566D"/>
    <w:rsid w:val="00EA65CC"/>
    <w:rsid w:val="00EA6D23"/>
    <w:rsid w:val="00EB68B7"/>
    <w:rsid w:val="00EC66AC"/>
    <w:rsid w:val="00ED026C"/>
    <w:rsid w:val="00EE3192"/>
    <w:rsid w:val="00EE34ED"/>
    <w:rsid w:val="00EE5322"/>
    <w:rsid w:val="00EF3A47"/>
    <w:rsid w:val="00EF729B"/>
    <w:rsid w:val="00F02D54"/>
    <w:rsid w:val="00F03203"/>
    <w:rsid w:val="00F05241"/>
    <w:rsid w:val="00F10D47"/>
    <w:rsid w:val="00F413B0"/>
    <w:rsid w:val="00F53964"/>
    <w:rsid w:val="00F56D42"/>
    <w:rsid w:val="00F67C96"/>
    <w:rsid w:val="00F76B87"/>
    <w:rsid w:val="00F84089"/>
    <w:rsid w:val="00F91A97"/>
    <w:rsid w:val="00F92F40"/>
    <w:rsid w:val="00F951CB"/>
    <w:rsid w:val="00F97DE3"/>
    <w:rsid w:val="00FA7859"/>
    <w:rsid w:val="00FB4DC6"/>
    <w:rsid w:val="00FC1E8C"/>
    <w:rsid w:val="00FD581A"/>
    <w:rsid w:val="00FD6E44"/>
    <w:rsid w:val="00FE0E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71D5"/>
  <w15:docId w15:val="{01B8F318-ADE6-4B50-8892-E6083BFA6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F48"/>
    <w:rPr w:lang="en-GB">
      <w:lang w:val="de-DE" w:eastAsia="de-DE"/>
    </w:rPr>
  </w:style>
  <w:style w:type="paragraph" w:styleId="Heading1">
    <w:name w:val="heading 1"/>
    <w:basedOn w:val="Normal"/>
    <w:next w:val="Normal"/>
    <w:link w:val="Heading1Char"/>
    <w:uiPriority w:val="9"/>
    <w:qFormat/>
    <w:rsid w:val="00FD6E44"/>
    <w:pPr>
      <w:keepNext/>
      <w:keepLines/>
      <w:spacing w:before="480" w:after="0"/>
      <w:outlineLvl w:val="0"/>
    </w:pPr>
    <w:rPr w:lang="en-GB">
      <w:rFonts w:asciiTheme="majorHAnsi" w:eastAsiaTheme="majorEastAsia" w:hAnsiTheme="majorHAnsi" w:cstheme="majorBidi"/>
      <w:b/>
      <w:bCs/>
      <w:color w:val="365F91" w:themeColor="accent1" w:themeShade="BF"/>
      <w:sz w:val="28"/>
      <w:szCs w:val="28"/>
      <w:lang w:val="de-DE" w:eastAsia="de-DE"/>
    </w:rPr>
  </w:style>
  <w:style w:type="paragraph" w:styleId="Heading2">
    <w:name w:val="heading 2"/>
    <w:basedOn w:val="Normal"/>
    <w:next w:val="Normal"/>
    <w:link w:val="Heading2Char"/>
    <w:uiPriority w:val="9"/>
    <w:unhideWhenUsed/>
    <w:qFormat/>
    <w:rsid w:val="006866BC"/>
    <w:pPr>
      <w:keepNext/>
      <w:keepLines/>
      <w:spacing w:before="200" w:after="0"/>
      <w:outlineLvl w:val="1"/>
    </w:pPr>
    <w:rPr w:lang="en-GB">
      <w:rFonts w:asciiTheme="majorHAnsi" w:eastAsiaTheme="majorEastAsia" w:hAnsiTheme="majorHAnsi" w:cstheme="majorBidi"/>
      <w:b/>
      <w:bCs/>
      <w:color w:val="4F81BD" w:themeColor="accent1"/>
      <w:sz w:val="26"/>
      <w:szCs w:val="26"/>
      <w:lang w:val="de-DE" w:eastAsia="de-DE"/>
    </w:rPr>
  </w:style>
  <w:style w:type="character" w:default="1" w:styleId="DefaultParagraphFont">
    <w:name w:val="Default Paragraph Font"/>
    <w:uiPriority w:val="1"/>
    <w:semiHidden/>
    <w:unhideWhenUsed/>
    <w:rPr w:lang="en-GB"/>
  </w:style>
  <w:style w:type="table" w:default="1" w:styleId="TableNormal">
    <w:name w:val="Normal Table"/>
    <w:uiPriority w:val="99"/>
    <w:semiHidden/>
    <w:unhideWhenUsed/>
    <w:rPr w:lang="en-GB"/>
    <w:tblPr>
      <w:tblInd w:w="0" w:type="dxa"/>
      <w:tblCellMar>
        <w:top w:w="0" w:type="dxa"/>
        <w:left w:w="108" w:type="dxa"/>
        <w:bottom w:w="0" w:type="dxa"/>
        <w:right w:w="108" w:type="dxa"/>
      </w:tblCellMar>
    </w:tblPr>
  </w:style>
  <w:style w:type="numbering" w:default="1" w:styleId="NoList">
    <w:name w:val="No List"/>
    <w:uiPriority w:val="99"/>
    <w:semiHidden/>
    <w:unhideWhenUsed/>
    <w:rPr w:lang="en-GB"/>
  </w:style>
  <w:style w:type="paragraph" w:styleId="Title">
    <w:name w:val="Title"/>
    <w:basedOn w:val="Normal"/>
    <w:next w:val="Normal"/>
    <w:link w:val="TitleChar"/>
    <w:uiPriority w:val="10"/>
    <w:qFormat/>
    <w:rsid w:val="00FD6E44"/>
    <w:pPr>
      <w:pBdr>
        <w:bottom w:val="single" w:sz="8" w:space="4" w:color="4F81BD" w:themeColor="accent1"/>
      </w:pBdr>
      <w:spacing w:after="300" w:line="240" w:lineRule="auto"/>
      <w:contextualSpacing/>
    </w:pPr>
    <w:rPr w:lang="en-GB">
      <w:rFonts w:asciiTheme="majorHAnsi" w:eastAsiaTheme="majorEastAsia" w:hAnsiTheme="majorHAnsi" w:cstheme="majorBidi"/>
      <w:color w:val="17365D" w:themeColor="text2" w:themeShade="BF"/>
      <w:spacing w:val="5"/>
      <w:kern w:val="28"/>
      <w:sz w:val="52"/>
      <w:szCs w:val="52"/>
      <w:lang w:val="de-DE" w:eastAsia="de-DE"/>
    </w:rPr>
  </w:style>
  <w:style w:type="character" w:customStyle="1" w:styleId="TitleChar">
    <w:name w:val="Title Char"/>
    <w:basedOn w:val="DefaultParagraphFont"/>
    <w:link w:val="Title"/>
    <w:uiPriority w:val="10"/>
    <w:rsid w:val="00FD6E44"/>
    <w:rPr w:lang="en-GB">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D6E44"/>
    <w:rPr w:lang="en-GB">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D6E44"/>
    <w:pPr>
      <w:ind w:left="720"/>
      <w:contextualSpacing/>
    </w:pPr>
    <w:rPr w:lang="en-GB">
      <w:lang w:val="de-DE" w:eastAsia="de-DE"/>
    </w:rPr>
  </w:style>
  <w:style w:type="character" w:customStyle="1" w:styleId="Heading2Char">
    <w:name w:val="Heading 2 Char"/>
    <w:basedOn w:val="DefaultParagraphFont"/>
    <w:link w:val="Heading2"/>
    <w:uiPriority w:val="9"/>
    <w:rsid w:val="006866BC"/>
    <w:rPr w:lang="en-GB">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65795F"/>
    <w:pPr>
      <w:spacing w:before="100" w:beforeAutospacing="1" w:after="100" w:afterAutospacing="1" w:line="240" w:lineRule="auto"/>
    </w:pPr>
    <w:rPr w:lang="en-GB">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65795F"/>
    <w:pPr>
      <w:spacing w:after="0" w:line="240" w:lineRule="auto"/>
    </w:pPr>
    <w:rPr w:lang="en-GB">
      <w:rFonts w:ascii="Tahoma" w:hAnsi="Tahoma" w:cs="Tahoma"/>
      <w:sz w:val="16"/>
      <w:szCs w:val="16"/>
    </w:rPr>
  </w:style>
  <w:style w:type="character" w:customStyle="1" w:styleId="BalloonTextChar">
    <w:name w:val="Balloon Text Char"/>
    <w:basedOn w:val="DefaultParagraphFont"/>
    <w:link w:val="BalloonText"/>
    <w:uiPriority w:val="99"/>
    <w:semiHidden/>
    <w:rsid w:val="0065795F"/>
    <w:rPr w:lang="en-GB">
      <w:rFonts w:ascii="Tahoma" w:hAnsi="Tahoma" w:cs="Tahoma"/>
      <w:sz w:val="16"/>
      <w:szCs w:val="16"/>
    </w:rPr>
  </w:style>
  <w:style w:type="paragraph" w:customStyle="1" w:styleId="Heading31">
    <w:name w:val="Heading 31"/>
    <w:basedOn w:val="Heading2"/>
    <w:rPr w:lang="en-GB">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9446">
      <w:bodyDiv w:val="1"/>
      <w:marLeft w:val="0"/>
      <w:marRight w:val="0"/>
      <w:marTop w:val="0"/>
      <w:marBottom w:val="0"/>
      <w:divBdr>
        <w:top w:val="none" w:sz="0" w:space="0" w:color="auto"/>
        <w:left w:val="none" w:sz="0" w:space="0" w:color="auto"/>
        <w:bottom w:val="none" w:sz="0" w:space="0" w:color="auto"/>
        <w:right w:val="none" w:sz="0" w:space="0" w:color="auto"/>
      </w:divBdr>
    </w:div>
    <w:div w:id="219902880">
      <w:bodyDiv w:val="1"/>
      <w:marLeft w:val="0"/>
      <w:marRight w:val="0"/>
      <w:marTop w:val="0"/>
      <w:marBottom w:val="0"/>
      <w:divBdr>
        <w:top w:val="none" w:sz="0" w:space="0" w:color="auto"/>
        <w:left w:val="none" w:sz="0" w:space="0" w:color="auto"/>
        <w:bottom w:val="none" w:sz="0" w:space="0" w:color="auto"/>
        <w:right w:val="none" w:sz="0" w:space="0" w:color="auto"/>
      </w:divBdr>
    </w:div>
    <w:div w:id="245194365">
      <w:bodyDiv w:val="1"/>
      <w:marLeft w:val="0"/>
      <w:marRight w:val="0"/>
      <w:marTop w:val="0"/>
      <w:marBottom w:val="0"/>
      <w:divBdr>
        <w:top w:val="none" w:sz="0" w:space="0" w:color="auto"/>
        <w:left w:val="none" w:sz="0" w:space="0" w:color="auto"/>
        <w:bottom w:val="none" w:sz="0" w:space="0" w:color="auto"/>
        <w:right w:val="none" w:sz="0" w:space="0" w:color="auto"/>
      </w:divBdr>
    </w:div>
    <w:div w:id="1127970939">
      <w:bodyDiv w:val="1"/>
      <w:marLeft w:val="0"/>
      <w:marRight w:val="0"/>
      <w:marTop w:val="0"/>
      <w:marBottom w:val="0"/>
      <w:divBdr>
        <w:top w:val="none" w:sz="0" w:space="0" w:color="auto"/>
        <w:left w:val="none" w:sz="0" w:space="0" w:color="auto"/>
        <w:bottom w:val="none" w:sz="0" w:space="0" w:color="auto"/>
        <w:right w:val="none" w:sz="0" w:space="0" w:color="auto"/>
      </w:divBdr>
    </w:div>
    <w:div w:id="1225025029">
      <w:bodyDiv w:val="1"/>
      <w:marLeft w:val="0"/>
      <w:marRight w:val="0"/>
      <w:marTop w:val="0"/>
      <w:marBottom w:val="0"/>
      <w:divBdr>
        <w:top w:val="none" w:sz="0" w:space="0" w:color="auto"/>
        <w:left w:val="none" w:sz="0" w:space="0" w:color="auto"/>
        <w:bottom w:val="none" w:sz="0" w:space="0" w:color="auto"/>
        <w:right w:val="none" w:sz="0" w:space="0" w:color="auto"/>
      </w:divBdr>
    </w:div>
    <w:div w:id="1513107642">
      <w:bodyDiv w:val="1"/>
      <w:marLeft w:val="0"/>
      <w:marRight w:val="0"/>
      <w:marTop w:val="0"/>
      <w:marBottom w:val="0"/>
      <w:divBdr>
        <w:top w:val="none" w:sz="0" w:space="0" w:color="auto"/>
        <w:left w:val="none" w:sz="0" w:space="0" w:color="auto"/>
        <w:bottom w:val="none" w:sz="0" w:space="0" w:color="auto"/>
        <w:right w:val="none" w:sz="0" w:space="0" w:color="auto"/>
      </w:divBdr>
    </w:div>
    <w:div w:id="161555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14</Pages>
  <Words>4400</Words>
  <Characters>25082</Characters>
  <Application>Microsoft Office Word</Application>
  <DocSecurity>0</DocSecurity>
  <Lines>209</Lines>
  <Paragraphs>58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14 — Dünndarm</dc:title>
  <dc:subject>Medizinische deutsche Übersetzung — ROP</dc:subject>
  <dc:creator/>
  <cp:keywords>ROP; intestin grêle; anatomie; physiologie</cp:keywords>
  <dc:description/>
  <cp:lastModifiedBy>Nicolas Boitout</cp:lastModifiedBy>
  <cp:revision>6</cp:revision>
  <dcterms:created xsi:type="dcterms:W3CDTF">2026-06-25T08:43:00Z</dcterms:created>
  <dcterms:modified xsi:type="dcterms:W3CDTF">2026-08-15T10:27:00Z</dcterms:modified>
</cp:coreProperties>
</file>