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line="259" w:lineRule="auto"/>
      </w:pPr>
      <w:r>
        <w:rPr>
          <w:b w:val="0"/>
        </w:rPr>
        <w:t>Capítulo 14. Intestino delgado</w:t>
      </w:r>
    </w:p>
    <w:p>
      <w:pPr>
        <w:pStyle w:val="Heading2"/>
        <w:spacing w:after="80" w:line="259" w:lineRule="auto"/>
      </w:pPr>
      <w:r>
        <w:rPr>
          <w:b w:val="0"/>
        </w:rPr>
        <w:t>Presentación</w:t>
      </w:r>
    </w:p>
    <w:p>
      <w:pPr>
        <w:spacing w:after="80" w:line="259" w:lineRule="auto"/>
      </w:pPr>
      <w:r>
        <w:t>El intestino delgado es la víscera hueca más larga del abdomen. En el cadáver mide aproximadamente entre 6 y 7 metros; en el sujeto vivo es considerablemente más corto debido al tono muscular. Consta de dos partes:</w:t>
      </w:r>
    </w:p>
    <w:p>
      <w:pPr>
        <w:pStyle w:val="ListBullet"/>
        <w:spacing w:after="80" w:line="259" w:lineRule="auto"/>
      </w:pPr>
      <w:r>
        <w:t>El duodeno</w:t>
      </w:r>
    </w:p>
    <w:p>
      <w:pPr>
        <w:pStyle w:val="ListBullet"/>
        <w:spacing w:after="80" w:line="259" w:lineRule="auto"/>
      </w:pPr>
      <w:r>
        <w:t>El yeyuno-íleon</w:t>
      </w:r>
    </w:p>
    <w:p>
      <w:pPr>
        <w:spacing w:after="80" w:line="259" w:lineRule="auto"/>
      </w:pPr>
      <w:r>
        <w:t>En conjunto, se extienden desde el píloro hasta la válvula ileocecal y desempeñan un papel fundamental en la digestión y la absorción. Aunque el duodeno pertenece anatómicamente al intestino delgado, por sus particularidades anatómicas y fisiológicas se estudia en un capítulo independiente (véase Capítulo 10, Duodeno, pág...).</w:t>
      </w:r>
    </w:p>
    <w:p>
      <w:pPr>
        <w:spacing w:after="80" w:line="259" w:lineRule="auto"/>
      </w:pPr>
      <w:r>
        <w:rPr>
          <w:b w:val="0"/>
        </w:rPr>
        <w:t>El yeyuno-íleon se diferencia del duodeno en varios aspectos:</w:t>
      </w:r>
    </w:p>
    <w:p>
      <w:pPr>
        <w:pStyle w:val="ListBullet"/>
        <w:spacing w:after="80" w:line="259" w:lineRule="auto"/>
      </w:pPr>
      <w:r>
        <w:t>Su pared es fina, lisa, completamente peritonealizada y muy móvil, con una luz que mide únicamente de 2 a 3 cm de diámetro;</w:t>
      </w:r>
    </w:p>
    <w:p>
      <w:pPr>
        <w:pStyle w:val="ListBullet"/>
        <w:spacing w:after="80" w:line="259" w:lineRule="auto"/>
      </w:pPr>
      <w:r>
        <w:t>cumple una función digestiva esencial gracias a la interacción entre la mucosa, las secreciones intestinales y la microbiota, también denominada flora intestinal;</w:t>
      </w:r>
    </w:p>
    <w:p>
      <w:pPr>
        <w:pStyle w:val="ListBullet"/>
        <w:spacing w:after="80" w:line="259" w:lineRule="auto"/>
      </w:pPr>
      <w:r>
        <w:t>contribuye de forma significativa al metabolismo y a la inmunidad;</w:t>
      </w:r>
    </w:p>
    <w:p>
      <w:pPr>
        <w:pStyle w:val="ListBullet"/>
        <w:spacing w:after="80" w:line="259" w:lineRule="auto"/>
      </w:pPr>
      <w:r>
        <w:t>dispone de un sistema nervioso intrínseco particularmente desarrollado;</w:t>
      </w:r>
    </w:p>
    <w:p>
      <w:pPr>
        <w:pStyle w:val="ListBullet"/>
        <w:spacing w:after="80" w:line="259" w:lineRule="auto"/>
      </w:pPr>
      <w:r>
        <w:t>mantiene una estrecha relación con el eje intestino-cerebro, con posibles repercusiones sobre la esfera emocional;</w:t>
      </w:r>
    </w:p>
    <w:p>
      <w:pPr>
        <w:pStyle w:val="ListBullet"/>
        <w:spacing w:after="80" w:line="259" w:lineRule="auto"/>
      </w:pPr>
      <w:r>
        <w:t>desde el punto de vista funcional, intestino delgado y colon son interdependientes.</w:t>
      </w:r>
    </w:p>
    <w:p>
      <w:pPr>
        <w:pStyle w:val="Heading2"/>
        <w:spacing w:after="80" w:line="259" w:lineRule="auto"/>
      </w:pPr>
      <w:r>
        <w:rPr>
          <w:b w:val="0"/>
        </w:rPr>
        <w:t>Localización</w:t>
      </w:r>
    </w:p>
    <w:p>
      <w:pPr>
        <w:spacing w:after="80" w:line="259" w:lineRule="auto"/>
      </w:pPr>
      <w:r>
        <w:t>El yeyuno-íleon ocupa gran parte de la cavidad abdominal, con mayor frecuencia a la izquierda que a la derecha, dentro del marco cólico (Figura 14.1). El yeyuno se sitúa principalmente en el cuadrante superior izquierdo del abdomen, mientras que el íleon se localiza sobre todo en el cuadrante inferior derecho.</w:t>
      </w:r>
    </w:p>
    <w:p>
      <w:pPr>
        <w:spacing w:after="80" w:line="259" w:lineRule="auto"/>
      </w:pPr>
      <w:r>
        <w:rPr>
          <w:i/>
        </w:rPr>
        <w:t>Figura 14.1. Topografía abdominal en cuatro cuadrantes</w:t>
      </w:r>
    </w:p>
    <w:p>
      <w:pPr>
        <w:pStyle w:val="Heading2"/>
        <w:spacing w:after="80" w:line="259" w:lineRule="auto"/>
      </w:pPr>
      <w:r>
        <w:rPr>
          <w:b w:val="0"/>
        </w:rPr>
        <w:t>Anatomía</w:t>
      </w:r>
    </w:p>
    <w:p>
      <w:pPr>
        <w:pStyle w:val="ListBullet"/>
        <w:spacing w:after="80" w:line="259" w:lineRule="auto"/>
      </w:pPr>
      <w:r>
        <w:t>Yeyuno-íleon: comprende de 15 a 16 asas intestinales en forma de U, organizadas en dos grupos:</w:t>
      </w:r>
    </w:p>
    <w:p>
      <w:pPr>
        <w:pStyle w:val="ListBullet2"/>
        <w:spacing w:after="80" w:line="259" w:lineRule="auto"/>
      </w:pPr>
      <w:r>
        <w:t>un grupo superior izquierdo, correspondiente al yeyuno y más desarrollado que el íleon. Sus asas y su red vascular se orientan generalmente en sentido horizontal; el yeyuno se superpone al colon descendente.</w:t>
      </w:r>
    </w:p>
    <w:p>
      <w:pPr>
        <w:pStyle w:val="ListBullet2"/>
        <w:spacing w:after="80" w:line="259" w:lineRule="auto"/>
      </w:pPr>
      <w:r>
        <w:t>un grupo inferior derecho, correspondiente al íleon. Sus asas y su red vascular se orientan generalmente en sentido vertical; el íleon no se superpone al colon ascendente.</w:t>
      </w:r>
    </w:p>
    <w:p>
      <w:pPr>
        <w:pStyle w:val="ListBullet"/>
        <w:spacing w:after="80" w:line="259" w:lineRule="auto"/>
      </w:pPr>
      <w:r>
        <w:t>Mesenterio: el mesenterio es un meso (Figura 14.2; véase Capítulo 1, Principios generales), es decir, un pliegue peritoneal de doble hoja. Envuelve el yeyuno-íleon y lo fija a la pared abdominal posterior mediante la raíz mesentérica. Véanse Capítulo 1, Principios generales, y Capítulo 7, Cavidades abdominal y peritoneal, pág...</w:t>
      </w:r>
    </w:p>
    <w:p>
      <w:pPr>
        <w:spacing w:after="80" w:line="259" w:lineRule="auto"/>
      </w:pPr>
      <w:r>
        <w:rPr>
          <w:i/>
        </w:rPr>
        <w:t>Figura 14.2. Mesos</w:t>
      </w:r>
    </w:p>
    <w:p>
      <w:pPr>
        <w:pStyle w:val="ListBullet"/>
        <w:spacing w:after="80" w:line="259" w:lineRule="auto"/>
      </w:pPr>
      <w:r>
        <w:t>Raíz del mesenterio: la raíz mesentérica (Figura 14.3) forma la línea de inserción del mesenterio y contribuye a estabilizar el intestino delgado, que por lo demás es muy móvil (véase Capítulo 7, Cavidades abdominal y peritoneal). Mide de 16 a 18 cm y se extiende desde la flexura duodenoyeyunal hasta la unión ileocecal, cruzando la línea media abdominal a la altura del ombligo, frente al disco L3-L4. La flexura duodenoyeyunal está sostenida por el músculo suspensorio del duodeno, o músculo de Treitz (Figura 14.4), cuyas fibras musculares lisas se insertan en el pilar derecho del diafragma (véase Capítulo 10, Duodeno).</w:t>
      </w:r>
    </w:p>
    <w:p>
      <w:pPr>
        <w:spacing w:after="80" w:line="259" w:lineRule="auto"/>
      </w:pPr>
      <w:r>
        <w:rPr>
          <w:i/>
        </w:rPr>
        <w:t>Figura 14.3. Raíz del mesenterio</w:t>
      </w:r>
    </w:p>
    <w:p>
      <w:pPr>
        <w:spacing w:after="80" w:line="259" w:lineRule="auto"/>
      </w:pPr>
      <w:r>
        <w:t>Figura 14.4. Músculo suspensorio del duodeno, o músculo de Treitz</w:t>
      </w:r>
    </w:p>
    <w:p>
      <w:pPr>
        <w:pStyle w:val="ListBullet"/>
        <w:spacing w:after="80" w:line="259" w:lineRule="auto"/>
      </w:pPr>
      <w:r>
        <w:t>El músculo de Treitz contribuye a mantener el ángulo duodenoyeyunal: al contraerse, ejerce tracción sobre la raíz del mesenterio hacia arriba y hacia la izquierda. La tensión longitudinal así generada favorece el vaciamiento duodenal hacia el yeyuno (véase Capítulo 10, Duodeno, pág...). La raíz mesentérica también conduce la vascularización y la inervación del intestino delgado.</w:t>
      </w:r>
    </w:p>
    <w:p>
      <w:pPr>
        <w:pStyle w:val="Heading3"/>
        <w:spacing w:after="80" w:line="259" w:lineRule="auto"/>
      </w:pPr>
      <w:r>
        <w:t>Relevancia en ROP</w:t>
      </w:r>
    </w:p>
    <w:p>
      <w:pPr>
        <w:pStyle w:val="ListBullet"/>
        <w:spacing w:after="80" w:line="259" w:lineRule="auto"/>
      </w:pPr>
      <w:r>
        <w:t>Desde el punto de vista clínico, la pérdida de tensión longitudinal de la raíz mesentérica debe considerarse en relación con el síndrome de la arteria mesentérica superior, también denominado síndrome del cascanueces: compresión de la cuarta porción del duodeno y de la vena renal izquierda entre la aorta y la arteria mesentérica superior (véase Capítulo 10, Duodeno, pág...). El vaciamiento duodenal hacia el yeyuno puede retrasarse, con el consiguiente aumento del riesgo de reflujo gastroduodenal.</w:t>
      </w:r>
    </w:p>
    <w:p>
      <w:pPr>
        <w:pStyle w:val="ListBullet"/>
        <w:spacing w:after="80" w:line="259" w:lineRule="auto"/>
      </w:pPr>
      <w:r>
        <w:t>La rica red vascular, nerviosa y linfática de la raíz mesentérica es altamente reflexógena. La estimulación de su zona refleja busca favorecer una respuesta funcional del yeyuno-íleon.</w:t>
      </w:r>
    </w:p>
    <w:p>
      <w:pPr>
        <w:pStyle w:val="Heading2"/>
        <w:spacing w:after="80" w:line="259" w:lineRule="auto"/>
      </w:pPr>
      <w:r>
        <w:rPr>
          <w:b w:val="0"/>
        </w:rPr>
        <w:t>Relaciones</w:t>
      </w:r>
    </w:p>
    <w:p>
      <w:pPr>
        <w:pStyle w:val="ListBullet"/>
        <w:spacing w:after="80" w:line="259" w:lineRule="auto"/>
      </w:pPr>
      <w:r>
        <w:t>El intestino delgado es intraperitoneal;</w:t>
      </w:r>
    </w:p>
    <w:p>
      <w:pPr>
        <w:pStyle w:val="ListBullet"/>
        <w:spacing w:after="80" w:line="259" w:lineRule="auto"/>
      </w:pPr>
      <w:r>
        <w:t>A la izquierda, el yeyuno se superpone al colon descendente;</w:t>
      </w:r>
    </w:p>
    <w:p>
      <w:pPr>
        <w:pStyle w:val="ListBullet"/>
        <w:spacing w:after="80" w:line="259" w:lineRule="auto"/>
      </w:pPr>
      <w:r>
        <w:t>A la derecha, el íleon no se superpone al colon ascendente;</w:t>
      </w:r>
    </w:p>
    <w:p>
      <w:pPr>
        <w:pStyle w:val="ListBullet"/>
        <w:spacing w:after="80" w:line="259" w:lineRule="auto"/>
      </w:pPr>
      <w:r>
        <w:t>Dorsalmente, el intestino delgado se relaciona con la pared abdominal posterior y con los órganos retroperitoneales, en particular con la porción supramesocólica del duodeno, los riñones, los uréteres y los colones ascendente y descendente;</w:t>
      </w:r>
    </w:p>
    <w:p>
      <w:pPr>
        <w:pStyle w:val="ListBullet"/>
        <w:spacing w:after="80" w:line="259" w:lineRule="auto"/>
      </w:pPr>
      <w:r>
        <w:t>Ventralmente: el omento mayor, tradicionalmente denominado epiplón mayor;</w:t>
      </w:r>
    </w:p>
    <w:p>
      <w:pPr>
        <w:pStyle w:val="ListBullet"/>
        <w:spacing w:after="80" w:line="259" w:lineRule="auto"/>
      </w:pPr>
      <w:r>
        <w:t>Caudalmente: los órganos pélvicos, especialmente la vejiga;</w:t>
      </w:r>
    </w:p>
    <w:p>
      <w:pPr>
        <w:pStyle w:val="ListBullet"/>
        <w:spacing w:after="80" w:line="259" w:lineRule="auto"/>
      </w:pPr>
      <w:r>
        <w:t>Cefálicamente: el mesocolon transverso.</w:t>
      </w:r>
    </w:p>
    <w:p>
      <w:pPr>
        <w:pStyle w:val="Heading2"/>
        <w:spacing w:after="80" w:line="259" w:lineRule="auto"/>
      </w:pPr>
      <w:r>
        <w:rPr>
          <w:b w:val="0"/>
        </w:rPr>
        <w:t>Vascularización</w:t>
      </w:r>
    </w:p>
    <w:p>
      <w:pPr>
        <w:spacing w:after="80" w:line="259" w:lineRule="auto"/>
      </w:pPr>
      <w:r>
        <w:t>El intestino delgado requiere una vascularización y un drenaje linfático importantes para cumplir sus funciones digestivas, absortivas e inmunitarias.</w:t>
      </w:r>
    </w:p>
    <w:p>
      <w:pPr>
        <w:pStyle w:val="ListBullet"/>
        <w:spacing w:after="80" w:line="259" w:lineRule="auto"/>
      </w:pPr>
      <w:r>
        <w:t>Arteria mesentérica superior: la arteria mesentérica superior constituye el principal eje arterial del intestino delgado (Figura 14.5). Nace de la aorta abdominal, 1 cm por debajo del tronco celíaco, a la altura del disco intervertebral Th12-L1. Pasa primero por detrás del páncreas y después por delante de la tercera porción del duodeno, antes de discurrir entre las dos hojas del mesenterio. Emite numerosas ramas colaterales y vasculariza todo el intestino delgado, el colon ascendente y los dos tercios proximales del colon transverso.</w:t>
      </w:r>
    </w:p>
    <w:p>
      <w:pPr>
        <w:spacing w:after="80" w:line="259" w:lineRule="auto"/>
      </w:pPr>
      <w:r>
        <w:rPr>
          <w:i/>
        </w:rPr>
        <w:t>Figura 14.5. Arteria mesentérica superior</w:t>
      </w:r>
    </w:p>
    <w:p>
      <w:pPr>
        <w:pStyle w:val="ListBullet"/>
        <w:spacing w:after="80" w:line="259" w:lineRule="auto"/>
      </w:pPr>
      <w:r>
        <w:t>Su pulso, palpable a la altura de la tercera porción del duodeno, a la derecha del ombligo, puede servir como referencia vascular clínica, aunque por sí solo no permite valorar la función intestinal (Figura 14.6).</w:t>
      </w:r>
    </w:p>
    <w:p>
      <w:pPr>
        <w:spacing w:after="80" w:line="259" w:lineRule="auto"/>
      </w:pPr>
      <w:r>
        <w:rPr>
          <w:i/>
        </w:rPr>
        <w:t>Figura 14.6. Pulsos de las arterias de la cavidad abdominal</w:t>
      </w:r>
    </w:p>
    <w:p>
      <w:pPr>
        <w:pStyle w:val="ListBullet"/>
        <w:spacing w:after="80" w:line="259" w:lineRule="auto"/>
      </w:pPr>
      <w:r>
        <w:t>Vena mesentérica superior: situada a la derecha de la arteria mesentérica superior, la vena mesentérica superior pertenece al sistema porta (Figura 14.7). Drena hacia el hígado la sangre venosa rica en nutrientes procedente del intestino delgado (véase Capítulo 11, Hígado, pág...).</w:t>
      </w:r>
    </w:p>
    <w:p>
      <w:pPr>
        <w:spacing w:after="80" w:line="259" w:lineRule="auto"/>
      </w:pPr>
      <w:r>
        <w:rPr>
          <w:i/>
        </w:rPr>
        <w:t>Figura 14.7. Sistema porta</w:t>
      </w:r>
    </w:p>
    <w:p>
      <w:pPr>
        <w:pStyle w:val="ListBullet"/>
        <w:spacing w:after="80" w:line="259" w:lineRule="auto"/>
      </w:pPr>
      <w:r>
        <w:t>Red linfática: el intestino delgado posee una red linfática bien desarrollada (Figura 14.8), que participa en la función inmunitaria. Transporta moléculas lipídicas de cadena larga y moléculas proteicas, así como las vitaminas liposolubles A, D, E y K, hacia el ángulo venoso izquierdo, también conocido como ángulo venoso de Pirogoff, a través de la cisterna del quilo y del conducto torácico (véase Capítulo 11, Hígado y vesícula biliar).</w:t>
      </w:r>
    </w:p>
    <w:p>
      <w:pPr>
        <w:spacing w:after="80" w:line="259" w:lineRule="auto"/>
      </w:pPr>
      <w:r>
        <w:rPr>
          <w:i/>
        </w:rPr>
        <w:t>Figura 14.8. Sistema linfático</w:t>
      </w:r>
    </w:p>
    <w:p>
      <w:pPr>
        <w:pStyle w:val="Heading2"/>
        <w:spacing w:after="80" w:line="259" w:lineRule="auto"/>
      </w:pPr>
      <w:r>
        <w:rPr>
          <w:b w:val="0"/>
        </w:rPr>
        <w:t>Inervación</w:t>
      </w:r>
    </w:p>
    <w:p>
      <w:pPr>
        <w:spacing w:after="80" w:line="259" w:lineRule="auto"/>
      </w:pPr>
      <w:r>
        <w:rPr>
          <w:b w:val="0"/>
        </w:rPr>
        <w:t>Inervación del peritoneo:</w:t>
      </w:r>
    </w:p>
    <w:p>
      <w:pPr>
        <w:pStyle w:val="ListBullet"/>
        <w:spacing w:after="80" w:line="259" w:lineRule="auto"/>
      </w:pPr>
      <w:r>
        <w:t>Presenta una doble inervación, somática y autónoma:</w:t>
      </w:r>
    </w:p>
    <w:p>
      <w:pPr>
        <w:pStyle w:val="ListBullet"/>
        <w:spacing w:after="80" w:line="259" w:lineRule="auto"/>
      </w:pPr>
      <w:r>
        <w:t>Peritoneo parietal: véase Capítulo 7, Inervación del peritoneo, pág...</w:t>
      </w:r>
    </w:p>
    <w:p>
      <w:pPr>
        <w:pStyle w:val="ListBullet"/>
        <w:spacing w:after="80" w:line="259" w:lineRule="auto"/>
      </w:pPr>
      <w:r>
        <w:t>El peritoneo parietal recibe una inervación somática compartida con la pared abdominal a través de los nervios frénicos (Figura 14.9), los seis últimos nervios intercostales (Figura 14.10) y los nervios del plexo lumbar (Figura 14.11). Contiene numerosas terminaciones nerviosas sensibles a la temperatura, la presión y el dolor.</w:t>
      </w:r>
    </w:p>
    <w:p>
      <w:pPr>
        <w:spacing w:after="80" w:line="259" w:lineRule="auto"/>
      </w:pPr>
      <w:r>
        <w:rPr>
          <w:i/>
        </w:rPr>
        <w:t>Figura 14.9. Nervio frénico</w:t>
      </w:r>
    </w:p>
    <w:p>
      <w:pPr>
        <w:spacing w:after="80" w:line="259" w:lineRule="auto"/>
      </w:pPr>
      <w:r>
        <w:rPr>
          <w:i/>
        </w:rPr>
        <w:t>Figura 14.10. Nervios intercostales</w:t>
      </w:r>
    </w:p>
    <w:p>
      <w:pPr>
        <w:spacing w:after="80" w:line="259" w:lineRule="auto"/>
      </w:pPr>
      <w:r>
        <w:rPr>
          <w:i/>
        </w:rPr>
        <w:t>Figura 14.11. Nervios del plexo lumbar</w:t>
      </w:r>
    </w:p>
    <w:p>
      <w:pPr>
        <w:pStyle w:val="ListBullet"/>
        <w:spacing w:after="80" w:line="259" w:lineRule="auto"/>
      </w:pPr>
      <w:r>
        <w:t>Esta inervación compartida con la pared abdominal ayuda a explicar por qué los dolores cervicales, escapulares, abdominales y lumbares de origen peritoneal o visceral - funcional, infeccioso, quirúrgico o traumático - pueden proyectarse hacia el sistema osteomusculoarticular a través de las fibras somáticas de la hoja parietal (véase Capítulo 7, Relaciones peritoneosomáticas, pág...).</w:t>
      </w:r>
    </w:p>
    <w:p>
      <w:pPr>
        <w:pStyle w:val="ListBullet"/>
        <w:spacing w:after="80" w:line="259" w:lineRule="auto"/>
      </w:pPr>
      <w:r>
        <w:t>Peritoneo visceral: recibe una inervación autónoma extrínseca compartida con las vísceras:</w:t>
      </w:r>
    </w:p>
    <w:p>
      <w:pPr>
        <w:pStyle w:val="ListBullet2"/>
        <w:spacing w:after="80" w:line="259" w:lineRule="auto"/>
      </w:pPr>
      <w:r>
        <w:t>Simpática: las raíces simpáticas se originan de Th8 a Th11 y alcanzan los plexos prevertebrales celíaco y mesentérico superior (Figura 14.12) a través de los nervios esplácnicos mayor y menor.</w:t>
      </w:r>
    </w:p>
    <w:p>
      <w:pPr>
        <w:spacing w:after="80" w:line="259" w:lineRule="auto"/>
      </w:pPr>
      <w:r>
        <w:rPr>
          <w:i/>
        </w:rPr>
        <w:t>Figura 14.12. Sistema nervioso autónomo</w:t>
      </w:r>
    </w:p>
    <w:p>
      <w:pPr>
        <w:pStyle w:val="ListBullet2"/>
        <w:spacing w:after="80" w:line="259" w:lineRule="auto"/>
      </w:pPr>
      <w:r>
        <w:t>Sensibilidad: el peritoneo visceral es relativamente insensible al tacto, a los cambios de temperatura y a la incisión quirúrgica. La sensibilidad visceral depende del sistema simpático, estimulado por la distensión intestinal y por sustancias químicas (véase Capítulo 4, Sistema nervioso autónomo, pág...).</w:t>
      </w:r>
    </w:p>
    <w:p>
      <w:pPr>
        <w:pStyle w:val="ListBullet2"/>
        <w:spacing w:after="80" w:line="259" w:lineRule="auto"/>
      </w:pPr>
      <w:r>
        <w:t>Motilidad: el sistema simpático reduce el peristaltismo y las secreciones intestinales, en particular en situaciones de estrés, ansiedad, miedo o esfuerzo físico.</w:t>
      </w:r>
    </w:p>
    <w:p>
      <w:pPr>
        <w:pStyle w:val="ListBullet"/>
        <w:spacing w:after="80" w:line="259" w:lineRule="auto"/>
      </w:pPr>
      <w:r>
        <w:t>Nervio vago: el nervio vago participa en la regulación de la función digestiva:</w:t>
      </w:r>
    </w:p>
    <w:p>
      <w:pPr>
        <w:pStyle w:val="ListBullet2"/>
        <w:spacing w:after="80" w:line="259" w:lineRule="auto"/>
      </w:pPr>
      <w:r>
        <w:t>Motilidad: en términos generales, el nervio vago actúa como antagonista del sistema simpático. Favorece el peristaltismo, las secreciones intestinales y la permeabilidad intestinal fisiológica, facilitando así la absorción. Según el contexto, esta acción puede acompañarse de una relajación intestinal coordinada.</w:t>
      </w:r>
    </w:p>
    <w:p>
      <w:pPr>
        <w:pStyle w:val="ListBullet2"/>
        <w:spacing w:after="80" w:line="259" w:lineRule="auto"/>
      </w:pPr>
      <w:r>
        <w:t>Sensibilidad: el nervio vago contiene entre un 70 y un 80 % de fibras sensitivas, que informan continuamente al cerebro sobre el estado de las vísceras. Está conectado con el sistema nervioso intrínseco.</w:t>
      </w:r>
    </w:p>
    <w:p>
      <w:pPr>
        <w:pStyle w:val="ListBullet"/>
        <w:spacing w:after="80" w:line="259" w:lineRule="auto"/>
      </w:pPr>
      <w:r>
        <w:t>Sistema nervioso intrínseco o entérico (SNE): el SNE suele denominarse segundo cerebro o cerebro abdominal. Está formado por plexos intramurales (Figura 14.13), situados en la propia pared del intestino delgado: el plexo mientérico de Auerbach y el plexo submucoso de Meissner.</w:t>
      </w:r>
    </w:p>
    <w:p>
      <w:pPr>
        <w:spacing w:after="80" w:line="259" w:lineRule="auto"/>
      </w:pPr>
      <w:r>
        <w:rPr>
          <w:i/>
        </w:rPr>
        <w:t>Figura 14.13. Plexos intramurales entéricos</w:t>
      </w:r>
    </w:p>
    <w:p>
      <w:pPr>
        <w:pStyle w:val="ListBullet"/>
        <w:spacing w:after="80" w:line="259" w:lineRule="auto"/>
      </w:pPr>
      <w:r>
        <w:t>El SNE es sensible a señales neurohormonales y a la composición química del contenido intestinal.</w:t>
      </w:r>
    </w:p>
    <w:p>
      <w:pPr>
        <w:pStyle w:val="ListBullet"/>
        <w:spacing w:after="80" w:line="259" w:lineRule="auto"/>
      </w:pPr>
      <w:r>
        <w:t>Función: el SNE puede funcionar en gran medida de manera independiente del encéfalo y de la médula espinal, siempre que las condiciones fisiológicas lo permitan.</w:t>
      </w:r>
    </w:p>
    <w:p>
      <w:pPr>
        <w:pStyle w:val="ListBullet"/>
        <w:spacing w:after="80" w:line="259" w:lineRule="auto"/>
      </w:pPr>
      <w:r>
        <w:t>El SNE desempeña un papel importante en la producción de mediadores neuroquímicos, incluida una proporción sustancial de la serotonina corporal, así como acetilcolina, noradrenalina y GABA. Además, forma parte de un entorno inmunitario intestinal de especial importancia (véase Capítulo 4, Sistema nervioso autónomo, pág...).</w:t>
      </w:r>
    </w:p>
    <w:p>
      <w:pPr>
        <w:pStyle w:val="ListBullet"/>
        <w:spacing w:after="80" w:line="259" w:lineRule="auto"/>
      </w:pPr>
      <w:r>
        <w:t>Marcapasos intestinal: la pared del intestino delgado contiene también células especializadas, las células intersticiales de Cajal. Situadas en las capas musculares longitudinal y circular, generan ondas lentas, distintas de las ondas peristálticas, y contribuyen a coordinar la motilidad intestinal.</w:t>
      </w:r>
    </w:p>
    <w:p>
      <w:pPr>
        <w:pStyle w:val="Heading2"/>
        <w:spacing w:after="80" w:line="259" w:lineRule="auto"/>
      </w:pPr>
      <w:r>
        <w:rPr>
          <w:b w:val="0"/>
        </w:rPr>
        <w:t>Fisiología</w:t>
      </w:r>
    </w:p>
    <w:p>
      <w:pPr>
        <w:spacing w:after="80" w:line="259" w:lineRule="auto"/>
      </w:pPr>
      <w:r>
        <w:rPr>
          <w:b w:val="0"/>
        </w:rPr>
        <w:t>Motilidad:</w:t>
      </w:r>
    </w:p>
    <w:p>
      <w:pPr>
        <w:spacing w:after="80" w:line="259" w:lineRule="auto"/>
      </w:pPr>
      <w:r>
        <w:rPr>
          <w:b w:val="0"/>
        </w:rPr>
        <w:t>La motilidad se desencadena por tres tipos principales de mecanismos:</w:t>
      </w:r>
    </w:p>
    <w:p>
      <w:pPr>
        <w:pStyle w:val="ListBullet"/>
        <w:spacing w:after="80" w:line="259" w:lineRule="auto"/>
      </w:pPr>
      <w:r>
        <w:t>Mecánico: distensión de la pared intestinal durante el paso del quimo;</w:t>
      </w:r>
    </w:p>
    <w:p>
      <w:pPr>
        <w:pStyle w:val="ListBullet"/>
        <w:spacing w:after="80" w:line="259" w:lineRule="auto"/>
      </w:pPr>
      <w:r>
        <w:t>Neurológico: activación del nervio vago, influida por señales cefálicas como la vista, el olor, el sabor y el tacto de los alimentos, así como por mecanorreceptores intestinales. La estimulación vagal está modulada por la secreción de una hormona intestinal, el péptido inhibidor gástrico (GIP).</w:t>
      </w:r>
    </w:p>
    <w:p>
      <w:pPr>
        <w:pStyle w:val="ListBullet"/>
        <w:spacing w:after="80" w:line="259" w:lineRule="auto"/>
      </w:pPr>
      <w:r>
        <w:t>Hormonoquímico: secreciones gástricas, duodenales, hepatobiliares y pancreáticas.</w:t>
      </w:r>
    </w:p>
    <w:p>
      <w:pPr>
        <w:spacing w:after="80" w:line="259" w:lineRule="auto"/>
      </w:pPr>
      <w:r>
        <w:t>La motilidad del intestino delgado se basa en contracciones rítmicas, movimientos de vaivén y segmentación, que homogeneizan el quimo, así como en el peristaltismo, que lo impulsa en sentido distal.</w:t>
      </w:r>
    </w:p>
    <w:p>
      <w:pPr>
        <w:pStyle w:val="ListBullet"/>
        <w:spacing w:after="80" w:line="259" w:lineRule="auto"/>
      </w:pPr>
      <w:r>
        <w:t>Ecosistema: el intestino delgado forma un ecosistema compuesto por:</w:t>
      </w:r>
    </w:p>
    <w:p>
      <w:pPr>
        <w:pStyle w:val="ListBullet2"/>
        <w:spacing w:after="80" w:line="259" w:lineRule="auto"/>
      </w:pPr>
      <w:r>
        <w:t>la mucosa intestinal;</w:t>
      </w:r>
    </w:p>
    <w:p>
      <w:pPr>
        <w:pStyle w:val="ListBullet2"/>
        <w:spacing w:after="80" w:line="259" w:lineRule="auto"/>
      </w:pPr>
      <w:r>
        <w:t>el sistema inmunitario;</w:t>
      </w:r>
    </w:p>
    <w:p>
      <w:pPr>
        <w:pStyle w:val="ListBullet2"/>
        <w:spacing w:after="80" w:line="259" w:lineRule="auto"/>
      </w:pPr>
      <w:r>
        <w:t>la microbiota intestinal.</w:t>
      </w:r>
    </w:p>
    <w:p>
      <w:pPr>
        <w:pStyle w:val="ListBullet"/>
        <w:spacing w:after="80" w:line="259" w:lineRule="auto"/>
      </w:pPr>
      <w:r>
        <w:t>Mucosa intestinal: la mucosa intestinal constituye la interfaz entre el medio interno del organismo y el contenido de la luz digestiva:</w:t>
      </w:r>
    </w:p>
    <w:p>
      <w:pPr>
        <w:pStyle w:val="ListBullet2"/>
        <w:spacing w:after="80" w:line="259" w:lineRule="auto"/>
      </w:pPr>
      <w:r>
        <w:t>Medio externo: la luz del tubo digestivo, desde la cavidad oral hasta el ano, está en contacto con el medio externo.</w:t>
      </w:r>
    </w:p>
    <w:p>
      <w:pPr>
        <w:pStyle w:val="ListBullet2"/>
        <w:spacing w:after="80" w:line="259" w:lineRule="auto"/>
      </w:pPr>
      <w:r>
        <w:t>Medio interno: comprende los líquidos corporales - sangre, linfa y líquido intersticial - en los que se encuentran inmersas las células. Su composición se mantiene dentro de límites estrechos mediante la homeostasis.</w:t>
      </w:r>
    </w:p>
    <w:p>
      <w:pPr>
        <w:pStyle w:val="ListBullet2"/>
        <w:spacing w:after="80" w:line="259" w:lineRule="auto"/>
      </w:pPr>
      <w:r>
        <w:t>La mucosa actúa como una barrera selectiva entre estos dos medios, permitiendo la digestión y la absorción. El intestino delgado regula una parte muy importante de ambas funciones.</w:t>
      </w:r>
    </w:p>
    <w:p>
      <w:pPr>
        <w:pStyle w:val="ListBullet"/>
        <w:spacing w:after="80" w:line="259" w:lineRule="auto"/>
      </w:pPr>
      <w:r>
        <w:t>Digestión: la digestión transforma los alimentos en moléculas simples que luego pueden absorberse. La mucosa intestinal contiene varios tipos celulares especializados:</w:t>
      </w:r>
    </w:p>
    <w:p>
      <w:pPr>
        <w:pStyle w:val="ListBullet2"/>
        <w:spacing w:after="80" w:line="259" w:lineRule="auto"/>
      </w:pPr>
      <w:r>
        <w:t>Células caliciformes: producen moco protector que tapiza la mucosa.</w:t>
      </w:r>
    </w:p>
    <w:p>
      <w:pPr>
        <w:pStyle w:val="ListBullet2"/>
        <w:spacing w:after="80" w:line="259" w:lineRule="auto"/>
      </w:pPr>
      <w:r>
        <w:t>Células de Lieberkühn: contribuyen a la secreción intestinal ligeramente alcalina y cumplen funciones enzimáticas y antimicrobianas. La producción diaria de jugo digestivo intestinal es de aproximadamente 1 L.</w:t>
      </w:r>
    </w:p>
    <w:p>
      <w:pPr>
        <w:pStyle w:val="ListBullet2"/>
        <w:spacing w:after="80" w:line="259" w:lineRule="auto"/>
      </w:pPr>
      <w:r>
        <w:t>Enterocitos, también denominados células absortivas: por su disposición intercelular y sus desmosomas, estas células desempeñan una función de barrera selectiva. Permiten la absorción de micronutrientes y limitan el paso de macromoléculas insuficientemente degradadas o indeseables.</w:t>
      </w:r>
    </w:p>
    <w:p>
      <w:pPr>
        <w:pStyle w:val="ListBullet"/>
        <w:spacing w:after="80" w:line="259" w:lineRule="auto"/>
      </w:pPr>
      <w:r>
        <w:t>Absorción: la absorción requiere una permeabilidad intestinal fisiológica. La mucosa intestinal está cubierta de vellosidades, proyecciones digitiformes (Figura 14.14) cuyo eje central contiene células musculares lisas, así como vasos sanguíneos y linfáticos.</w:t>
      </w:r>
    </w:p>
    <w:p>
      <w:pPr>
        <w:spacing w:after="80" w:line="259" w:lineRule="auto"/>
      </w:pPr>
      <w:r>
        <w:rPr>
          <w:i/>
        </w:rPr>
        <w:t>Figura 14.14. Vellosidades intestinales</w:t>
      </w:r>
    </w:p>
    <w:p>
      <w:pPr>
        <w:pStyle w:val="ListBullet"/>
        <w:spacing w:after="80" w:line="259" w:lineRule="auto"/>
      </w:pPr>
      <w:r>
        <w:t>Las vellosidades están a su vez recubiertas por microvellosidades, que forman un borde en cepillo y aumentan considerablemente la superficie de intercambio entre los micronutrientes y los capilares. Si se desplegara, el intestino delgado tendría una superficie equivalente a la de una pista de tenis.</w:t>
      </w:r>
    </w:p>
    <w:p>
      <w:pPr>
        <w:pStyle w:val="ListBullet"/>
        <w:spacing w:after="80" w:line="259" w:lineRule="auto"/>
      </w:pPr>
      <w:r>
        <w:t>Los movimientos peristálticos, junto con la contracción de las células musculares lisas de las vellosidades, acortan estas últimas y facilitan el paso de micronutrientes hacia la circulación sanguínea y linfática:</w:t>
      </w:r>
    </w:p>
    <w:p>
      <w:pPr>
        <w:pStyle w:val="ListBullet2"/>
        <w:spacing w:after="80" w:line="259" w:lineRule="auto"/>
      </w:pPr>
      <w:r>
        <w:t>Vía sanguínea: los capilares sanguíneos absorben agua, sales minerales, azúcares simples, aminoácidos, ácidos grasos de cadena corta y vitaminas hidrosolubles. Estos nutrientes se transportan después al hígado a través del sistema porta.</w:t>
      </w:r>
    </w:p>
    <w:p>
      <w:pPr>
        <w:pStyle w:val="ListBullet2"/>
        <w:spacing w:after="80" w:line="259" w:lineRule="auto"/>
      </w:pPr>
      <w:r>
        <w:t>Vía linfática: los capilares linfáticos, también denominados vasos quilíferos, absorben principalmente grasas, proteínas de cadena larga y las vitaminas liposolubles A, D, E y K. Drenan sucesivamente hacia la red linfática, la cisterna del quilo y el conducto torácico, antes de desembocar en la red venosa en el ángulo venoso izquierdo (Figura 14.8).</w:t>
      </w:r>
    </w:p>
    <w:p>
      <w:pPr>
        <w:pStyle w:val="Heading3"/>
        <w:spacing w:after="80" w:line="259" w:lineRule="auto"/>
      </w:pPr>
      <w:r>
        <w:t>Relevancia en ROP</w:t>
      </w:r>
    </w:p>
    <w:p>
      <w:pPr>
        <w:pStyle w:val="ListBullet"/>
        <w:spacing w:after="80" w:line="259" w:lineRule="auto"/>
      </w:pPr>
      <w:r>
        <w:t>La acción refleja sobre la motilidad intestinal busca apoyar la digestión y la absorción;</w:t>
      </w:r>
    </w:p>
    <w:p>
      <w:pPr>
        <w:pStyle w:val="ListBullet"/>
        <w:spacing w:after="80" w:line="259" w:lineRule="auto"/>
      </w:pPr>
      <w:r>
        <w:t>La acción refleja sobre el hígado y el sistema linfático busca favorecer la calidad de la absorción y la función inmunitaria.</w:t>
      </w:r>
    </w:p>
    <w:p>
      <w:pPr>
        <w:pStyle w:val="ListBullet"/>
        <w:spacing w:after="80" w:line="259" w:lineRule="auto"/>
      </w:pPr>
      <w:r>
        <w:t>Sistema inmunitario: los receptores situados en la superficie intestinal identifican ciertos patógenos o sustancias potencialmente nocivas y los presentan a las células inmunitarias intestinales:</w:t>
      </w:r>
    </w:p>
    <w:p>
      <w:pPr>
        <w:pStyle w:val="ListBullet2"/>
        <w:spacing w:after="80" w:line="259" w:lineRule="auto"/>
      </w:pPr>
      <w:r>
        <w:t>Mastocitos: intervienen en las respuestas alérgicas, inmunitarias e inflamatorias;</w:t>
      </w:r>
    </w:p>
    <w:p>
      <w:pPr>
        <w:pStyle w:val="ListBullet2"/>
        <w:spacing w:after="80" w:line="259" w:lineRule="auto"/>
      </w:pPr>
      <w:r>
        <w:t>Células de Paneth: liberan péptidos antimicrobianos en la luz intestinal en respuesta a determinados estímulos microbianos;</w:t>
      </w:r>
    </w:p>
    <w:p>
      <w:pPr>
        <w:pStyle w:val="ListBullet2"/>
        <w:spacing w:after="80" w:line="259" w:lineRule="auto"/>
      </w:pPr>
      <w:r>
        <w:t>Tejido linfoide asociado al intestino (GALT): tapiza la superficie interna de la mucosa intestinal y está formado por linfocitos, aislados o agrupados en placas de Peyer.</w:t>
      </w:r>
    </w:p>
    <w:p>
      <w:pPr>
        <w:pStyle w:val="ListBullet"/>
        <w:spacing w:after="80" w:line="259" w:lineRule="auto"/>
      </w:pPr>
      <w:r>
        <w:t>Contribuye a impedir que las bacterias patógenas penetren en el torrente sanguíneo. En condiciones fisiológicas, la carga microbiana del intestino delgado es claramente inferior a la del colon, gracias a la acción conjunta de las defensas inmunitarias, la motilidad y el entorno luminal.</w:t>
      </w:r>
    </w:p>
    <w:p>
      <w:pPr>
        <w:pStyle w:val="ListBullet"/>
        <w:spacing w:after="80" w:line="259" w:lineRule="auto"/>
      </w:pPr>
      <w:r>
        <w:t>Microbiota intestinal, también denominada flora intestinal: la microbiota es una comunidad de bacterias, hongos, levaduras, virus y protozoos que viven en interacción con su huésped. En condiciones de equilibrio, esta relación es comensal o simbiótica. Se estima que el cuerpo humano alberga aproximadamente 38 billones de bacterias.</w:t>
      </w:r>
    </w:p>
    <w:p>
      <w:pPr>
        <w:pStyle w:val="ListBullet"/>
        <w:spacing w:after="80" w:line="259" w:lineRule="auto"/>
      </w:pPr>
      <w:r>
        <w:t>La microbiota coloniza no solo el intestino, sino también otras cavidades (cavidad oral, sistemas respiratorio y genital) y superficies.</w:t>
      </w:r>
    </w:p>
    <w:p>
      <w:pPr>
        <w:pStyle w:val="ListBullet"/>
        <w:spacing w:after="80" w:line="259" w:lineRule="auto"/>
      </w:pPr>
      <w:r>
        <w:t>Cada individuo presenta una firma propia de microbiota. Desde el nacimiento, el tracto digestivo del recién nacido se coloniza progresivamente, y los microorganismos establecen rápidamente interacciones comensales recíprocas con el huésped.</w:t>
      </w:r>
    </w:p>
    <w:p>
      <w:pPr>
        <w:spacing w:after="80" w:line="259" w:lineRule="auto"/>
      </w:pPr>
      <w:r>
        <w:t>La microbiota es un determinante importante de la salud: contribuye a la inmunidad, la digestión y la absorción, e interactúa también con las funciones cerebrales y emocionales a través del eje intestino-cerebro.</w:t>
      </w:r>
    </w:p>
    <w:p>
      <w:pPr>
        <w:pStyle w:val="Heading2"/>
        <w:spacing w:after="80" w:line="259" w:lineRule="auto"/>
      </w:pPr>
      <w:r>
        <w:rPr>
          <w:b w:val="0"/>
        </w:rPr>
        <w:t>Patologías frecuentes</w:t>
      </w:r>
    </w:p>
    <w:p>
      <w:pPr>
        <w:pStyle w:val="ListBullet"/>
        <w:spacing w:after="80" w:line="259" w:lineRule="auto"/>
      </w:pPr>
      <w:r>
        <w:t>La hiperpermeabilidad intestinal y la disbiosis se describen a menudo como trastornos asociados que pueden reforzarse mutuamente.</w:t>
      </w:r>
    </w:p>
    <w:p>
      <w:pPr>
        <w:pStyle w:val="ListBullet"/>
        <w:spacing w:after="80" w:line="259" w:lineRule="auto"/>
      </w:pPr>
      <w:r>
        <w:t>Hiperpermeabilidad intestinal: cuando se alteran las uniones intercelulares entre los enterocitos, puede aumentar la permeabilidad intestinal. Esto puede facilitar un mayor paso de macromoléculas luminales insuficientemente degradadas, con posible activación inmunitaria o inflamatoria.</w:t>
      </w:r>
    </w:p>
    <w:p>
      <w:pPr>
        <w:pStyle w:val="ListBullet"/>
        <w:spacing w:after="80" w:line="259" w:lineRule="auto"/>
      </w:pPr>
      <w:r>
        <w:t>Causas:</w:t>
      </w:r>
    </w:p>
    <w:p>
      <w:pPr>
        <w:pStyle w:val="ListBullet2"/>
        <w:spacing w:after="80" w:line="259" w:lineRule="auto"/>
      </w:pPr>
      <w:r>
        <w:t>Agentes infecciosos: estafilococos, estreptococos, colibacilos, salmonella y Candida albicans, que liberan toxinas.</w:t>
      </w:r>
    </w:p>
    <w:p>
      <w:pPr>
        <w:pStyle w:val="ListBullet2"/>
        <w:spacing w:after="80" w:line="259" w:lineRule="auto"/>
      </w:pPr>
      <w:r>
        <w:t>Estrés crónico: el exceso de actividad simpática y de hormonas del estrés (adrenalina, cortisol) provoca vasoconstricción y aumento de la presión arterial, reduce el flujo sanguíneo intestinal y debilita la mucosa.</w:t>
      </w:r>
    </w:p>
    <w:p>
      <w:pPr>
        <w:pStyle w:val="ListBullet2"/>
        <w:spacing w:after="80" w:line="259" w:lineRule="auto"/>
      </w:pPr>
      <w:r>
        <w:t>Alimentación: los alimentos muy procesados o refinados, los alimentos con alto índice glucémico, los ácidos grasos saturados, el consumo excesivo de leche de vaca, gluten y carne, así como la cocción a temperaturas superiores a 110 °C, pueden alterar el ecosistema intestinal.</w:t>
      </w:r>
    </w:p>
    <w:p>
      <w:pPr>
        <w:pStyle w:val="ListBullet2"/>
        <w:spacing w:after="80" w:line="259" w:lineRule="auto"/>
      </w:pPr>
      <w:r>
        <w:t>Actividades deportivas prolongadas (por ejemplo, carrera de larga distancia): pueden reducir transitoriamente la perfusión esplácnica en favor del aparato locomotor.</w:t>
      </w:r>
    </w:p>
    <w:p>
      <w:pPr>
        <w:pStyle w:val="ListBullet2"/>
        <w:spacing w:after="80" w:line="259" w:lineRule="auto"/>
      </w:pPr>
      <w:r>
        <w:t>Medicación: los antiinflamatorios no esteroideos, salicilatos, corticosteroides, antibióticos y quimioterapia pueden alterar la mucosa o la microbiota. La disbiosis puede ser entonces causa, consecuencia, o ambas cosas, de la hiperpermeabilidad intestinal.</w:t>
      </w:r>
    </w:p>
    <w:p>
      <w:pPr>
        <w:pStyle w:val="ListBullet"/>
        <w:spacing w:after="80" w:line="259" w:lineRule="auto"/>
      </w:pPr>
      <w:r>
        <w:t>Consecuencias: pueden ser múltiples:</w:t>
      </w:r>
    </w:p>
    <w:p>
      <w:pPr>
        <w:pStyle w:val="ListBullet2"/>
        <w:spacing w:after="80" w:line="259" w:lineRule="auto"/>
      </w:pPr>
      <w:r>
        <w:t>Alergias alimentarias: la alteración de la barrera intestinal puede aumentar la exposición del sistema inmunitario a ciertos antígenos alimentarios. En algunas personas, esto puede acompañarse de fenómenos alérgicos, en particular con participación de mastocitos e histamina.</w:t>
      </w:r>
    </w:p>
    <w:p>
      <w:pPr>
        <w:pStyle w:val="ListBullet2"/>
        <w:spacing w:after="80" w:line="259" w:lineRule="auto"/>
      </w:pPr>
      <w:r>
        <w:t>Enfermedades autoinmunes: la hiperpermeabilidad intestinal se describe como un factor asociado en ciertas enfermedades autoinmunes. Las proteínas insuficientemente degradadas que atraviesan una mucosa excesivamente permeable pueden ser reconocidas como “no propias”. Los anticuerpos pueden entonces dirigirse tanto contra el componente “no propio” como contra el tejido al que este se ha unido.</w:t>
      </w:r>
    </w:p>
    <w:p>
      <w:pPr>
        <w:pStyle w:val="ListBullet2"/>
        <w:spacing w:after="80" w:line="259" w:lineRule="auto"/>
      </w:pPr>
      <w:r>
        <w:t>Déficits de micronutrientes: una absorción alterada puede provocar déficits de vitaminas, minerales, ácidos grasos esenciales y otros micronutrientes.</w:t>
      </w:r>
    </w:p>
    <w:p>
      <w:pPr>
        <w:pStyle w:val="ListBullet2"/>
        <w:spacing w:after="80" w:line="259" w:lineRule="auto"/>
      </w:pPr>
      <w:r>
        <w:t>Sobrecarga hepática: el aumento de la carga del sistema porta por sustancias procedentes de la luz intestinal puede incrementar el trabajo de detoxificación del hígado.</w:t>
      </w:r>
    </w:p>
    <w:p>
      <w:pPr>
        <w:pStyle w:val="ListBullet"/>
        <w:spacing w:after="80" w:line="259" w:lineRule="auto"/>
      </w:pPr>
      <w:r>
        <w:t>Las toxinas son captadas por el hígado. “Esta sobrecarga ralentiza el metabolismo hepático. El hígado deja pasar progresivamente a la sangre una gran cantidad de desechos metabólicos. El organismo intentará eliminar estas sustancias tóxicas por otras vías naturales de eliminación, los emuntorios: piel, pulmones, riñones e intestinos. Cuando se supera la capacidad de la vía de eliminación, estas sustancias se depositan en los tejidos (músculos, articulaciones, cerebro, vasos, etc.)”. Esto corresponde a la teoría de la sobrecarga tisular o intoxicación, defendida por el Dr. Jean Seignalet en su libro L’alimentation ou la troisième médecine, Collection Ecologie humaine.</w:t>
      </w:r>
    </w:p>
    <w:p>
      <w:pPr>
        <w:pStyle w:val="ListBullet"/>
        <w:spacing w:after="80" w:line="259" w:lineRule="auto"/>
      </w:pPr>
      <w:r>
        <w:t>Dentro de este modelo, esta disfunción se describe como un posible factor contribuyente a trastornos digestivos, dolor osteoarticular, muscular y tendinoso, infecciones recurrentes y trastornos del comportamiento.</w:t>
      </w:r>
    </w:p>
    <w:p>
      <w:pPr>
        <w:pStyle w:val="Heading3"/>
        <w:spacing w:after="80" w:line="259" w:lineRule="auto"/>
      </w:pPr>
      <w:r>
        <w:t>Relevancia en ROP</w:t>
      </w:r>
    </w:p>
    <w:p>
      <w:pPr>
        <w:spacing w:after="80" w:line="259" w:lineRule="auto"/>
      </w:pPr>
      <w:r>
        <w:t>Cuando existen dolores y fijaciones osteomusculoarticulares, especialmente en ausencia de traumatismo evidente o sobrecarga, el enfoque ROP invita al terapeuta a considerar un posible vínculo con una disfunción visceral.</w:t>
      </w:r>
    </w:p>
    <w:p>
      <w:pPr>
        <w:pStyle w:val="ListBullet"/>
        <w:spacing w:after="80" w:line="259" w:lineRule="auto"/>
      </w:pPr>
      <w:r>
        <w:t>Disbiosis: la disbiosis corresponde a una alteración de la microbiota.</w:t>
      </w:r>
    </w:p>
    <w:p>
      <w:pPr>
        <w:pStyle w:val="ListBullet"/>
        <w:spacing w:after="80" w:line="259" w:lineRule="auto"/>
      </w:pPr>
      <w:r>
        <w:t>Causas: la relación armoniosa y comensal entre las bacterias y su huésped intestinal puede verse alterada por el estrés, la inflamación, la infección, hábitos de vida desfavorables o desequilibrios alimentarios - como exceso de alcohol, azúcar o proteínas, o aporte insuficiente de fibra -, antibioticoterapia, determinadas exposiciones ambientales, así como fijaciones vertebrales y fibrosis del intestino y de sus medios de suspensión.</w:t>
      </w:r>
    </w:p>
    <w:p>
      <w:pPr>
        <w:spacing w:after="80" w:line="259" w:lineRule="auto"/>
      </w:pPr>
      <w:r>
        <w:t>Cuando se modifica la composición de la microbiota, con reducción de la diversidad o desequilibrio entre especies comensales y potencialmente patógenas, la protección mucosa puede verse alterada.</w:t>
      </w:r>
    </w:p>
    <w:p>
      <w:pPr>
        <w:spacing w:after="80" w:line="259" w:lineRule="auto"/>
      </w:pPr>
      <w:r>
        <w:t>La fermentación fisiológica de los alimentos puede entonces evolucionar hacia una fermentación anómala o procesos de putrefacción.</w:t>
      </w:r>
    </w:p>
    <w:p>
      <w:pPr>
        <w:spacing w:after="80" w:line="259" w:lineRule="auto"/>
      </w:pPr>
      <w:r>
        <w:t>La hiperpermeabilidad intestinal puede considerarse causa o consecuencia de la disbiosis; ambas condiciones pueden sostenerse mutuamente.</w:t>
      </w:r>
    </w:p>
    <w:p>
      <w:pPr>
        <w:spacing w:after="80" w:line="259" w:lineRule="auto"/>
      </w:pPr>
      <w:r>
        <w:t>Consecuencias: la máxima hipocrática “toda enfermedad empieza en el intestino” debe entenderse como una intuición histórica, no como una afirmación universal y literal. De forma más rigurosa, según el profesor Sokol, al hablar de disbiosis e hiperpermeabilidad intestinal, que coexisten con frecuencia, no debe confundirse correlación con causalidad.</w:t>
      </w:r>
    </w:p>
    <w:p>
      <w:pPr>
        <w:spacing w:after="80" w:line="259" w:lineRule="auto"/>
      </w:pPr>
      <w:r>
        <w:t>La disbiosis se considera un factor asociado a numerosas patologías, entre ellas:</w:t>
      </w:r>
    </w:p>
    <w:p>
      <w:pPr>
        <w:pStyle w:val="ListBullet"/>
        <w:spacing w:after="80" w:line="259" w:lineRule="auto"/>
      </w:pPr>
      <w:r>
        <w:t>Colitis ulcerosa, tiroiditis, adrenalitis;</w:t>
      </w:r>
    </w:p>
    <w:p>
      <w:pPr>
        <w:pStyle w:val="ListBullet"/>
        <w:spacing w:after="80" w:line="259" w:lineRule="auto"/>
      </w:pPr>
      <w:r>
        <w:t>Asma, sinusitis;</w:t>
      </w:r>
    </w:p>
    <w:p>
      <w:pPr>
        <w:pStyle w:val="ListBullet"/>
        <w:spacing w:after="80" w:line="259" w:lineRule="auto"/>
      </w:pPr>
      <w:r>
        <w:t>Alergias;</w:t>
      </w:r>
    </w:p>
    <w:p>
      <w:pPr>
        <w:pStyle w:val="ListBullet"/>
        <w:spacing w:after="80" w:line="259" w:lineRule="auto"/>
      </w:pPr>
      <w:r>
        <w:t>Artralgias, especialmente lumbalgia;</w:t>
      </w:r>
    </w:p>
    <w:p>
      <w:pPr>
        <w:pStyle w:val="ListBullet"/>
        <w:spacing w:after="80" w:line="259" w:lineRule="auto"/>
      </w:pPr>
      <w:r>
        <w:t>Fibromialgia;</w:t>
      </w:r>
    </w:p>
    <w:p>
      <w:pPr>
        <w:pStyle w:val="ListBullet"/>
        <w:spacing w:after="80" w:line="259" w:lineRule="auto"/>
      </w:pPr>
      <w:r>
        <w:t>Cistitis;</w:t>
      </w:r>
    </w:p>
    <w:p>
      <w:pPr>
        <w:pStyle w:val="ListBullet"/>
        <w:spacing w:after="80" w:line="259" w:lineRule="auto"/>
      </w:pPr>
      <w:r>
        <w:t>Determinados estados depresivos;</w:t>
      </w:r>
    </w:p>
    <w:p>
      <w:pPr>
        <w:pStyle w:val="ListBullet"/>
        <w:spacing w:after="80" w:line="259" w:lineRule="auto"/>
      </w:pPr>
      <w:r>
        <w:t>Alteraciones de la placa dental;</w:t>
      </w:r>
    </w:p>
    <w:p>
      <w:pPr>
        <w:pStyle w:val="ListBullet"/>
        <w:spacing w:after="80" w:line="259" w:lineRule="auto"/>
      </w:pPr>
      <w:r>
        <w:t>etc.</w:t>
      </w:r>
    </w:p>
    <w:p>
      <w:pPr>
        <w:spacing w:after="80" w:line="259" w:lineRule="auto"/>
      </w:pPr>
      <w:r>
        <w:t>Algunos autores, entre ellos el Dr. Donatini, especialista en microbiota, sugieren que determinadas enfermedades neurodegenerativas, como la enfermedad de Parkinson, la esclerosis múltiple o la enfermedad de Alzheimer, podrían estar relacionadas con el sistema nervioso entérico a través del nervio vago.</w:t>
      </w:r>
    </w:p>
    <w:p>
      <w:pPr>
        <w:pStyle w:val="ListBullet"/>
        <w:spacing w:after="80" w:line="259" w:lineRule="auto"/>
      </w:pPr>
      <w:r>
        <w:t>Signos de alerta de disbiosis e hiperpermeabilidad intestinal:</w:t>
      </w:r>
    </w:p>
    <w:p>
      <w:pPr>
        <w:pStyle w:val="ListBullet2"/>
        <w:spacing w:after="80" w:line="259" w:lineRule="auto"/>
      </w:pPr>
      <w:r>
        <w:t>Mal aliento;</w:t>
      </w:r>
    </w:p>
    <w:p>
      <w:pPr>
        <w:pStyle w:val="ListBullet2"/>
        <w:spacing w:after="80" w:line="259" w:lineRule="auto"/>
      </w:pPr>
      <w:r>
        <w:t>Eructos;</w:t>
      </w:r>
    </w:p>
    <w:p>
      <w:pPr>
        <w:pStyle w:val="ListBullet2"/>
        <w:spacing w:after="80" w:line="259" w:lineRule="auto"/>
      </w:pPr>
      <w:r>
        <w:t>Aerocolia;</w:t>
      </w:r>
    </w:p>
    <w:p>
      <w:pPr>
        <w:pStyle w:val="ListBullet2"/>
        <w:spacing w:after="80" w:line="259" w:lineRule="auto"/>
      </w:pPr>
      <w:r>
        <w:t>Flatulencia maloliente;</w:t>
      </w:r>
    </w:p>
    <w:p>
      <w:pPr>
        <w:pStyle w:val="ListBullet2"/>
        <w:spacing w:after="80" w:line="259" w:lineRule="auto"/>
      </w:pPr>
      <w:r>
        <w:t>Estreñimiento/diarrea;</w:t>
      </w:r>
    </w:p>
    <w:p>
      <w:pPr>
        <w:pStyle w:val="ListBullet2"/>
        <w:spacing w:after="80" w:line="259" w:lineRule="auto"/>
      </w:pPr>
      <w:r>
        <w:t>Pirosis;</w:t>
      </w:r>
    </w:p>
    <w:p>
      <w:pPr>
        <w:pStyle w:val="ListBullet2"/>
        <w:spacing w:after="80" w:line="259" w:lineRule="auto"/>
      </w:pPr>
      <w:r>
        <w:t>Deseo excesivo de azúcar y carne cruda.</w:t>
      </w:r>
    </w:p>
    <w:p>
      <w:pPr>
        <w:pStyle w:val="ListBullet"/>
        <w:spacing w:after="80" w:line="259" w:lineRule="auto"/>
      </w:pPr>
      <w:r>
        <w:t>Diagnóstico de exclusión: determinados síntomas deben llevar al paciente a consultar a un médico:</w:t>
      </w:r>
    </w:p>
    <w:p>
      <w:pPr>
        <w:pStyle w:val="ListBullet2"/>
        <w:spacing w:after="80" w:line="259" w:lineRule="auto"/>
      </w:pPr>
      <w:r>
        <w:t>Fiebre;</w:t>
      </w:r>
    </w:p>
    <w:p>
      <w:pPr>
        <w:pStyle w:val="ListBullet2"/>
        <w:spacing w:after="80" w:line="259" w:lineRule="auto"/>
      </w:pPr>
      <w:r>
        <w:t>Sangre roja o negra en las heces;</w:t>
      </w:r>
    </w:p>
    <w:p>
      <w:pPr>
        <w:pStyle w:val="ListBullet2"/>
        <w:spacing w:after="80" w:line="259" w:lineRule="auto"/>
      </w:pPr>
      <w:r>
        <w:t>Deshidratación importante;</w:t>
      </w:r>
    </w:p>
    <w:p>
      <w:pPr>
        <w:pStyle w:val="ListBullet2"/>
        <w:spacing w:after="80" w:line="259" w:lineRule="auto"/>
      </w:pPr>
      <w:r>
        <w:t>Pérdida de peso importante e inexplicada;</w:t>
      </w:r>
    </w:p>
    <w:p>
      <w:pPr>
        <w:pStyle w:val="ListBullet2"/>
        <w:spacing w:after="80" w:line="259" w:lineRule="auto"/>
      </w:pPr>
      <w:r>
        <w:t>Alternancia de estreñimiento y diarrea;</w:t>
      </w:r>
    </w:p>
    <w:p>
      <w:pPr>
        <w:pStyle w:val="ListBullet2"/>
        <w:spacing w:after="80" w:line="259" w:lineRule="auto"/>
      </w:pPr>
      <w:r>
        <w:t>Vómitos;</w:t>
      </w:r>
    </w:p>
    <w:p>
      <w:pPr>
        <w:pStyle w:val="ListBullet2"/>
        <w:spacing w:after="80" w:line="259" w:lineRule="auto"/>
      </w:pPr>
      <w:r>
        <w:t>Dolor cólico en la región umbilical;</w:t>
      </w:r>
    </w:p>
    <w:p>
      <w:pPr>
        <w:pStyle w:val="ListBullet2"/>
        <w:spacing w:after="80" w:line="259" w:lineRule="auto"/>
      </w:pPr>
      <w:r>
        <w:t>Meteorismo;</w:t>
      </w:r>
    </w:p>
    <w:p>
      <w:pPr>
        <w:pStyle w:val="ListBullet2"/>
        <w:spacing w:after="80" w:line="259" w:lineRule="auto"/>
      </w:pPr>
      <w:r>
        <w:t>Oclusión intestinal: la detención de heces y gases puede deberse a un íleo mecánico o a un íleo paralítico. El término íleo designa una alteración del tránsito intestinal. El íleo mecánico se debe a una obstrucción, por ejemplo un tumor, adherencias o bridas posoperatorias, mientras que el íleo paralítico corresponde a una obstrucción funcional por atonía del peristaltismo intestinal (véase Indicaciones).</w:t>
      </w:r>
    </w:p>
    <w:p>
      <w:pPr>
        <w:pStyle w:val="ListBullet2"/>
        <w:spacing w:after="80" w:line="259" w:lineRule="auto"/>
      </w:pPr>
      <w:r>
        <w:t>A diferencia de la peritonitis, la oclusión intestinal no suele asociarse a vientre en tabla ni a defensa abdominal marcada. Al inicio puede observarse un hiperperistaltismo visible por encima de la obstrucción, cuando el intestino intenta vencer el obstáculo. Posteriormente, la distensión proximal puede detener la motilidad intestinal distal mediante el reflejo intestino-intestinal.</w:t>
      </w:r>
    </w:p>
    <w:p>
      <w:pPr>
        <w:pStyle w:val="ListBullet2"/>
        <w:spacing w:after="80" w:line="259" w:lineRule="auto"/>
      </w:pPr>
      <w:r>
        <w:t>Hernia inguinal estrangulada irreductible;</w:t>
      </w:r>
    </w:p>
    <w:p>
      <w:pPr>
        <w:pStyle w:val="ListBullet2"/>
        <w:spacing w:after="80" w:line="259" w:lineRule="auto"/>
      </w:pPr>
      <w:r>
        <w:t>Presencia de ganglios en la palpación abdominal y en el ángulo venoso izquierdo (ganglio de Troisier): sospecha de cáncer;</w:t>
      </w:r>
    </w:p>
    <w:p>
      <w:pPr>
        <w:pStyle w:val="ListBullet2"/>
        <w:spacing w:after="80" w:line="259" w:lineRule="auto"/>
      </w:pPr>
      <w:r>
        <w:t>Signo del témpano de hielo, también conocido como peloteo de la ascitis, sugestivo de derrame intraabdominal o ascitis.</w:t>
      </w:r>
    </w:p>
    <w:p>
      <w:pPr>
        <w:pStyle w:val="ListBullet"/>
        <w:spacing w:after="80" w:line="259" w:lineRule="auto"/>
      </w:pPr>
      <w:r>
        <w:t>Indicaciones: patologías funcionales:</w:t>
      </w:r>
    </w:p>
    <w:p>
      <w:pPr>
        <w:pStyle w:val="ListBullet2"/>
        <w:spacing w:after="80" w:line="259" w:lineRule="auto"/>
      </w:pPr>
      <w:r>
        <w:t>Disbiosis;</w:t>
      </w:r>
    </w:p>
    <w:p>
      <w:pPr>
        <w:pStyle w:val="ListBullet2"/>
        <w:spacing w:after="80" w:line="259" w:lineRule="auto"/>
      </w:pPr>
      <w:r>
        <w:t>Secuelas de gastroenteritis;</w:t>
      </w:r>
    </w:p>
    <w:p>
      <w:pPr>
        <w:pStyle w:val="ListBullet2"/>
        <w:spacing w:after="80" w:line="259" w:lineRule="auto"/>
      </w:pPr>
      <w:r>
        <w:t>Enteroptosis: la masa intestinal es traccionada hacia abajo. La tensión anormal del intestino delgado se asocia con vasoconstricción, estasis venosa y linfática, y espasmos causados por la irritación de los plexos nerviosos perivasculares. También es posible un efecto desfavorable sobre el hígado a través de la presión portal. La enteroptosis se describe asimismo como un posible factor capaz de empujar la vejiga en sentido caudal y contribuir a largo plazo a la incontinencia urinaria de esfuerzo. Véase Capítulo 18, Vejiga, pág...</w:t>
      </w:r>
    </w:p>
    <w:p>
      <w:pPr>
        <w:pStyle w:val="ListBullet2"/>
        <w:spacing w:after="80" w:line="259" w:lineRule="auto"/>
      </w:pPr>
      <w:r>
        <w:t>Íleo paralítico:</w:t>
      </w:r>
    </w:p>
    <w:p>
      <w:pPr>
        <w:pStyle w:val="ListBullet2"/>
        <w:spacing w:after="80" w:line="259" w:lineRule="auto"/>
      </w:pPr>
      <w:r>
        <w:t>Síntomas:</w:t>
      </w:r>
    </w:p>
    <w:p>
      <w:pPr>
        <w:pStyle w:val="ListBullet2"/>
        <w:spacing w:after="80" w:line="259" w:lineRule="auto"/>
      </w:pPr>
      <w:r>
        <w:t>Dolor escaso o nulo relacionado con la distensión intestinal;</w:t>
      </w:r>
    </w:p>
    <w:p>
      <w:pPr>
        <w:pStyle w:val="ListBullet2"/>
        <w:spacing w:after="80" w:line="259" w:lineRule="auto"/>
      </w:pPr>
      <w:r>
        <w:t>Detención incompleta de heces y gases;</w:t>
      </w:r>
    </w:p>
    <w:p>
      <w:pPr>
        <w:pStyle w:val="ListBullet2"/>
        <w:spacing w:after="80" w:line="259" w:lineRule="auto"/>
      </w:pPr>
      <w:r>
        <w:t>Meteorismo;</w:t>
      </w:r>
    </w:p>
    <w:p>
      <w:pPr>
        <w:pStyle w:val="ListBullet2"/>
        <w:spacing w:after="80" w:line="259" w:lineRule="auto"/>
      </w:pPr>
      <w:r>
        <w:t>Pocos borborigmos.</w:t>
      </w:r>
    </w:p>
    <w:p>
      <w:pPr>
        <w:pStyle w:val="ListBullet2"/>
        <w:spacing w:after="80" w:line="259" w:lineRule="auto"/>
      </w:pPr>
      <w:r>
        <w:t>Fisiopatología: el íleo paralítico corresponde a una inhibición de la motilidad y de las secreciones intestinales causada por irritación del peritoneo, de inervación predominantemente simpática (véase Inervación del peritoneo, pág...).</w:t>
      </w:r>
    </w:p>
    <w:p>
      <w:pPr>
        <w:pStyle w:val="ListBullet2"/>
        <w:spacing w:after="80" w:line="259" w:lineRule="auto"/>
      </w:pPr>
      <w:r>
        <w:t>Causas:</w:t>
      </w:r>
    </w:p>
    <w:p>
      <w:pPr>
        <w:pStyle w:val="ListBullet2"/>
        <w:spacing w:after="80" w:line="259" w:lineRule="auto"/>
      </w:pPr>
      <w:r>
        <w:t>Cirugía: la anestesia, en particular la analgesia opioide, enlentece el tránsito intestinal;</w:t>
      </w:r>
    </w:p>
    <w:p>
      <w:pPr>
        <w:pStyle w:val="ListBullet2"/>
        <w:spacing w:after="80" w:line="259" w:lineRule="auto"/>
      </w:pPr>
      <w:r>
        <w:t>Hipopotasemia por vómitos, diarrea o enfermedades digestivas;</w:t>
      </w:r>
    </w:p>
    <w:p>
      <w:pPr>
        <w:pStyle w:val="ListBullet2"/>
        <w:spacing w:after="80" w:line="259" w:lineRule="auto"/>
      </w:pPr>
      <w:r>
        <w:t>Uso excesivo de laxantes irritantes;</w:t>
      </w:r>
    </w:p>
    <w:p>
      <w:pPr>
        <w:pStyle w:val="ListBullet2"/>
        <w:spacing w:after="80" w:line="259" w:lineRule="auto"/>
      </w:pPr>
      <w:r>
        <w:t>Infarto mesentérico;</w:t>
      </w:r>
    </w:p>
    <w:p>
      <w:pPr>
        <w:pStyle w:val="ListBullet2"/>
        <w:spacing w:after="80" w:line="259" w:lineRule="auto"/>
      </w:pPr>
      <w:r>
        <w:t>Angina intestinal posprandial;</w:t>
      </w:r>
    </w:p>
    <w:p>
      <w:pPr>
        <w:pStyle w:val="ListBullet2"/>
        <w:spacing w:after="80" w:line="259" w:lineRule="auto"/>
      </w:pPr>
      <w:r>
        <w:t>Cualquier dolor abdominopélvico: cólico renal, apendicitis, salpingitis.</w:t>
      </w:r>
    </w:p>
    <w:p>
      <w:pPr>
        <w:pStyle w:val="Heading2"/>
        <w:spacing w:after="80" w:line="259" w:lineRule="auto"/>
      </w:pPr>
      <w:r>
        <w:rPr>
          <w:b w:val="0"/>
        </w:rPr>
        <w:t>Enfermedad de Crohn</w:t>
      </w:r>
    </w:p>
    <w:p>
      <w:pPr>
        <w:spacing w:after="80" w:line="259" w:lineRule="auto"/>
      </w:pPr>
      <w:r>
        <w:rPr>
          <w:b w:val="0"/>
        </w:rPr>
        <w:t>La enfermedad de Crohn afecta principalmente al íleon y al colon.</w:t>
      </w:r>
    </w:p>
    <w:p>
      <w:pPr>
        <w:pStyle w:val="ListBullet"/>
        <w:spacing w:after="80" w:line="259" w:lineRule="auto"/>
      </w:pPr>
      <w:r>
        <w:t>Causas: varios factores se asocian a la enfermedad de Crohn:</w:t>
      </w:r>
    </w:p>
    <w:p>
      <w:pPr>
        <w:pStyle w:val="ListBullet2"/>
        <w:spacing w:after="80" w:line="259" w:lineRule="auto"/>
      </w:pPr>
      <w:r>
        <w:t>Genética;</w:t>
      </w:r>
    </w:p>
    <w:p>
      <w:pPr>
        <w:pStyle w:val="ListBullet2"/>
        <w:spacing w:after="80" w:line="259" w:lineRule="auto"/>
      </w:pPr>
      <w:r>
        <w:t>Disbiosis;</w:t>
      </w:r>
    </w:p>
    <w:p>
      <w:pPr>
        <w:pStyle w:val="ListBullet2"/>
        <w:spacing w:after="80" w:line="259" w:lineRule="auto"/>
      </w:pPr>
      <w:r>
        <w:t>Factores ambientales;</w:t>
      </w:r>
    </w:p>
    <w:p>
      <w:pPr>
        <w:pStyle w:val="ListBullet2"/>
        <w:spacing w:after="80" w:line="259" w:lineRule="auto"/>
      </w:pPr>
      <w:r>
        <w:t>Factores emocionales, que pueden modular la vivencia de la enfermedad y, en algunos casos, los brotes.</w:t>
      </w:r>
    </w:p>
    <w:p>
      <w:pPr>
        <w:pStyle w:val="ListBullet"/>
        <w:spacing w:after="80" w:line="259" w:lineRule="auto"/>
      </w:pPr>
      <w:r>
        <w:t>Síntomas:</w:t>
      </w:r>
    </w:p>
    <w:p>
      <w:pPr>
        <w:pStyle w:val="ListBullet2"/>
        <w:spacing w:after="80" w:line="259" w:lineRule="auto"/>
      </w:pPr>
      <w:r>
        <w:t>Diarrea relacionada con la inflamación de la pared intestinal;</w:t>
      </w:r>
    </w:p>
    <w:p>
      <w:pPr>
        <w:pStyle w:val="ListBullet2"/>
        <w:spacing w:after="80" w:line="259" w:lineRule="auto"/>
      </w:pPr>
      <w:r>
        <w:t>Dolor abdominopélvico;</w:t>
      </w:r>
    </w:p>
    <w:p>
      <w:pPr>
        <w:pStyle w:val="ListBullet2"/>
        <w:spacing w:after="80" w:line="259" w:lineRule="auto"/>
      </w:pPr>
      <w:r>
        <w:t>Pérdida de peso;</w:t>
      </w:r>
    </w:p>
    <w:p>
      <w:pPr>
        <w:pStyle w:val="ListBullet2"/>
        <w:spacing w:after="80" w:line="259" w:lineRule="auto"/>
      </w:pPr>
      <w:r>
        <w:t>Astenia;</w:t>
      </w:r>
    </w:p>
    <w:p>
      <w:pPr>
        <w:pStyle w:val="ListBullet2"/>
        <w:spacing w:after="80" w:line="259" w:lineRule="auto"/>
      </w:pPr>
      <w:r>
        <w:t>Aftas orales;</w:t>
      </w:r>
    </w:p>
    <w:p>
      <w:pPr>
        <w:pStyle w:val="ListBullet2"/>
        <w:spacing w:after="80" w:line="259" w:lineRule="auto"/>
      </w:pPr>
      <w:r>
        <w:t>Lumbalgia;</w:t>
      </w:r>
    </w:p>
    <w:p>
      <w:pPr>
        <w:pStyle w:val="ListBullet2"/>
        <w:spacing w:after="80" w:line="259" w:lineRule="auto"/>
      </w:pPr>
      <w:r>
        <w:t>Eritema nudoso de las extremidades;</w:t>
      </w:r>
    </w:p>
    <w:p>
      <w:pPr>
        <w:pStyle w:val="ListBullet2"/>
        <w:spacing w:after="80" w:line="259" w:lineRule="auto"/>
      </w:pPr>
      <w:r>
        <w:t>Afectación pancreática;</w:t>
      </w:r>
    </w:p>
    <w:p>
      <w:pPr>
        <w:pStyle w:val="ListBullet2"/>
        <w:spacing w:after="80" w:line="259" w:lineRule="auto"/>
      </w:pPr>
      <w:r>
        <w:t>Síndrome depresivo.</w:t>
      </w:r>
    </w:p>
    <w:p>
      <w:pPr>
        <w:pStyle w:val="ListBullet"/>
        <w:spacing w:after="80" w:line="259" w:lineRule="auto"/>
      </w:pPr>
      <w:r>
        <w:t>Evolución:</w:t>
      </w:r>
    </w:p>
    <w:p>
      <w:pPr>
        <w:pStyle w:val="ListBullet2"/>
        <w:spacing w:after="80" w:line="259" w:lineRule="auto"/>
      </w:pPr>
      <w:r>
        <w:t>Cronicidad;</w:t>
      </w:r>
    </w:p>
    <w:p>
      <w:pPr>
        <w:pStyle w:val="ListBullet2"/>
        <w:spacing w:after="80" w:line="259" w:lineRule="auto"/>
      </w:pPr>
      <w:r>
        <w:t>Aumento del riesgo de cáncer colorrectal según la extensión y la duración de la enfermedad;</w:t>
      </w:r>
    </w:p>
    <w:p>
      <w:pPr>
        <w:pStyle w:val="ListBullet2"/>
        <w:spacing w:after="80" w:line="259" w:lineRule="auto"/>
      </w:pPr>
      <w:r>
        <w:t>Con frecuencia, estos pacientes deben seguir una dieta estricta baja en fibra.</w:t>
      </w:r>
    </w:p>
    <w:p>
      <w:pPr>
        <w:pStyle w:val="Heading3"/>
        <w:spacing w:after="80" w:line="259" w:lineRule="auto"/>
      </w:pPr>
      <w:r>
        <w:t>Relevancia en ROP</w:t>
      </w:r>
    </w:p>
    <w:p>
      <w:pPr>
        <w:spacing w:after="80" w:line="259" w:lineRule="auto"/>
      </w:pPr>
      <w:r>
        <w:t>En nuestra experiencia clínica, el enfoque ROP puede contribuir a aliviar determinados dolores abdominopélvicos asociados con la enfermedad de Crohn y favorecer una mejora del tránsito intestinal.</w:t>
      </w:r>
    </w:p>
    <w:p>
      <w:pPr>
        <w:pStyle w:val="ListBullet"/>
        <w:spacing w:after="80" w:line="259" w:lineRule="auto"/>
      </w:pPr>
      <w:r>
        <w:t>Zonas reflejas podales: superficies plantares de ambos pies:</w:t>
      </w:r>
    </w:p>
    <w:p>
      <w:pPr>
        <w:pStyle w:val="ListBullet2"/>
        <w:spacing w:after="80" w:line="259" w:lineRule="auto"/>
      </w:pPr>
      <w:r>
        <w:t>Síndrome general de adaptación: véanse Capítulo 2, Tratamiento, y Capítulo 4, Sistema nervioso autónomo.</w:t>
      </w:r>
    </w:p>
    <w:p>
      <w:pPr>
        <w:pStyle w:val="ListBullet2"/>
        <w:spacing w:after="80" w:line="259" w:lineRule="auto"/>
      </w:pPr>
      <w:r>
        <w:t>Nervio vago (Figuras 14.15 y 14.16);</w:t>
      </w:r>
    </w:p>
    <w:p>
      <w:pPr>
        <w:spacing w:after="80" w:line="259" w:lineRule="auto"/>
      </w:pPr>
      <w:r>
        <w:rPr>
          <w:i/>
        </w:rPr>
        <w:t>Figura 14.15. Territorio craneal y cervical del nervio vago (en amarillo)</w:t>
      </w:r>
    </w:p>
    <w:p>
      <w:pPr>
        <w:spacing w:after="80" w:line="259" w:lineRule="auto"/>
      </w:pPr>
      <w:r>
        <w:rPr>
          <w:i/>
        </w:rPr>
        <w:t>Figura 14.16. Territorio abdominal izquierdo del nervio vago y plexo celíaco (solar)</w:t>
      </w:r>
    </w:p>
    <w:p>
      <w:pPr>
        <w:spacing w:after="80" w:line="259" w:lineRule="auto"/>
      </w:pPr>
      <w:r>
        <w:rPr>
          <w:i/>
        </w:rPr>
        <w:t>Figura 14.17. Hiato esofágico (nervios vagos derecho e izquierdo) y cardias</w:t>
      </w:r>
    </w:p>
    <w:p>
      <w:pPr>
        <w:spacing w:after="80" w:line="259" w:lineRule="auto"/>
      </w:pPr>
      <w:r>
        <w:rPr>
          <w:i/>
        </w:rPr>
        <w:t>Figura 14.18. Curvatura menor del estómago, rica en fibras vagales (entre los dos pulgares)</w:t>
      </w:r>
    </w:p>
    <w:p>
      <w:pPr>
        <w:pStyle w:val="ListBullet2"/>
        <w:spacing w:after="80" w:line="259" w:lineRule="auto"/>
      </w:pPr>
      <w:r>
        <w:t>Columna vertebral y articulaciones costotransversas: cadena ganglionar laterovertebral torácica Th8-Th10 (Figuras 14.19 y 14.20);</w:t>
      </w:r>
    </w:p>
    <w:p>
      <w:pPr>
        <w:spacing w:after="80" w:line="259" w:lineRule="auto"/>
      </w:pPr>
      <w:r>
        <w:rPr>
          <w:i/>
        </w:rPr>
        <w:t>Figura 14.19. Sistema simpático (origen espinal)</w:t>
      </w:r>
    </w:p>
    <w:p>
      <w:pPr>
        <w:spacing w:after="80" w:line="259" w:lineRule="auto"/>
      </w:pPr>
      <w:r>
        <w:rPr>
          <w:i/>
        </w:rPr>
        <w:t>Figura 14.20. Cadena ganglionar lumbar y pilares del diafragma (entre los dos pulgares)</w:t>
      </w:r>
    </w:p>
    <w:p>
      <w:pPr>
        <w:pStyle w:val="ListBullet2"/>
        <w:spacing w:after="80" w:line="259" w:lineRule="auto"/>
      </w:pPr>
      <w:r>
        <w:t>Plexo celíaco (solar); (Figuras 14.16 y 14.21)</w:t>
      </w:r>
    </w:p>
    <w:p>
      <w:pPr>
        <w:spacing w:after="80" w:line="259" w:lineRule="auto"/>
      </w:pPr>
      <w:r>
        <w:rPr>
          <w:i/>
        </w:rPr>
        <w:t>Figura 14.21. Plexo celíaco (solar)</w:t>
      </w:r>
    </w:p>
    <w:p>
      <w:pPr>
        <w:pStyle w:val="ListBullet2"/>
        <w:spacing w:after="80" w:line="259" w:lineRule="auto"/>
      </w:pPr>
      <w:r>
        <w:t>Plexo lumbar como vínculo viscerosomático (Figuras 14.19 y 14.20).</w:t>
      </w:r>
    </w:p>
    <w:p>
      <w:pPr>
        <w:pStyle w:val="ListBullet"/>
        <w:spacing w:after="80" w:line="259" w:lineRule="auto"/>
      </w:pPr>
      <w:r>
        <w:t>N.B. En nuestra experiencia clínica, los trastornos funcionales intestinales se observan a menudo en mujeres en asociación con factores hormonales y emocionales.</w:t>
      </w:r>
    </w:p>
    <w:p>
      <w:pPr>
        <w:pStyle w:val="ListBullet"/>
        <w:spacing w:after="80" w:line="259" w:lineRule="auto"/>
      </w:pPr>
      <w:r>
        <w:t>Síndrome locorregional:</w:t>
      </w:r>
    </w:p>
    <w:p>
      <w:pPr>
        <w:pStyle w:val="ListBullet2"/>
        <w:spacing w:after="80" w:line="259" w:lineRule="auto"/>
      </w:pPr>
      <w:r>
        <w:t>Diafragma: inserción del músculo suspensorio del duodeno, o músculo de Treitz, en el pilar derecho (Figuras 14.16 y 14.21);</w:t>
      </w:r>
    </w:p>
    <w:p>
      <w:pPr>
        <w:pStyle w:val="ListBullet2"/>
        <w:spacing w:after="80" w:line="259" w:lineRule="auto"/>
      </w:pPr>
      <w:r>
        <w:t>Estómago (reflejo gastroentérico) (Figura 14.16);</w:t>
      </w:r>
    </w:p>
    <w:p>
      <w:pPr>
        <w:pStyle w:val="ListBullet2"/>
        <w:spacing w:after="80" w:line="259" w:lineRule="auto"/>
      </w:pPr>
      <w:r>
        <w:t>Raíz del mesenterio: una línea desde la flexura duodenoyeyunal hasta el ombligo, a nivel de L3-L4 en la superficie plantar del pie izquierdo (Figuras 14.22 y 14.25), seguida de una línea desde la válvula ileocecal hasta el ombligo en la superficie plantar del pie derecho (Figuras 14.23 y 14.27);</w:t>
      </w:r>
    </w:p>
    <w:p>
      <w:pPr>
        <w:spacing w:after="80" w:line="259" w:lineRule="auto"/>
      </w:pPr>
      <w:r>
        <w:t>Figura 14.22. Raíz del mesenterio (entre la flexura duodenoyeyunal y el ombligo)</w:t>
      </w:r>
    </w:p>
    <w:p>
      <w:pPr>
        <w:spacing w:after="80" w:line="259" w:lineRule="auto"/>
      </w:pPr>
      <w:r>
        <w:rPr>
          <w:i/>
        </w:rPr>
        <w:t>Figura 14.23. Raíz del mesenterio (entre la válvula ileocecal y el ombligo)</w:t>
      </w:r>
    </w:p>
    <w:p>
      <w:pPr>
        <w:pStyle w:val="ListBullet2"/>
        <w:spacing w:after="80" w:line="259" w:lineRule="auto"/>
      </w:pPr>
      <w:r>
        <w:t>Intestino delgado (Figuras 14.24, 14.25, 14.26 y 14.27):</w:t>
      </w:r>
    </w:p>
    <w:p>
      <w:pPr>
        <w:pStyle w:val="ListBullet2"/>
        <w:spacing w:after="80" w:line="259" w:lineRule="auto"/>
      </w:pPr>
      <w:r>
        <w:t>Límite superior: una línea horizontal a nivel de las apófisis estiloides de los quintos metatarsianos;</w:t>
      </w:r>
    </w:p>
    <w:p>
      <w:pPr>
        <w:pStyle w:val="ListBullet2"/>
        <w:spacing w:after="80" w:line="259" w:lineRule="auto"/>
      </w:pPr>
      <w:r>
        <w:t>Límite inferior: el borde anterior de los talones, correspondiente a las ramas iliopúbicas;</w:t>
      </w:r>
    </w:p>
    <w:p>
      <w:pPr>
        <w:pStyle w:val="ListBullet2"/>
        <w:spacing w:after="80" w:line="259" w:lineRule="auto"/>
      </w:pPr>
      <w:r>
        <w:t>Límite lateral:</w:t>
      </w:r>
    </w:p>
    <w:p>
      <w:pPr>
        <w:pStyle w:val="ListBullet2"/>
        <w:spacing w:after="80" w:line="259" w:lineRule="auto"/>
      </w:pPr>
      <w:r>
        <w:t>yeyuno: se extiende hasta el borde lateral del pie izquierdo;</w:t>
      </w:r>
    </w:p>
    <w:p>
      <w:pPr>
        <w:pStyle w:val="ListBullet2"/>
        <w:spacing w:after="80" w:line="259" w:lineRule="auto"/>
      </w:pPr>
      <w:r>
        <w:t>íleon: alineado con el cuarto dedo del pie derecho.</w:t>
      </w:r>
    </w:p>
    <w:p>
      <w:pPr>
        <w:spacing w:after="80" w:line="259" w:lineRule="auto"/>
      </w:pPr>
      <w:r>
        <w:t>N.B. Debe respetarse la orientación de las asas: horizontal para el yeyuno y vertical para el íleon.</w:t>
      </w:r>
    </w:p>
    <w:p>
      <w:pPr>
        <w:spacing w:after="80" w:line="259" w:lineRule="auto"/>
      </w:pPr>
      <w:r>
        <w:rPr>
          <w:i/>
        </w:rPr>
        <w:t>Figura 14.24. Yeyuno (límites superior e inferior entre los dos dedos índices)</w:t>
      </w:r>
    </w:p>
    <w:p>
      <w:pPr>
        <w:spacing w:after="80" w:line="259" w:lineRule="auto"/>
      </w:pPr>
      <w:r>
        <w:rPr>
          <w:i/>
        </w:rPr>
        <w:t>Figura 14.25. Yeyuno</w:t>
      </w:r>
    </w:p>
    <w:p>
      <w:pPr>
        <w:spacing w:after="80" w:line="259" w:lineRule="auto"/>
      </w:pPr>
      <w:r>
        <w:rPr>
          <w:i/>
        </w:rPr>
        <w:t>Figura 14.26. Íleon (límites superior e inferior entre los dos dedos índices)</w:t>
      </w:r>
    </w:p>
    <w:p>
      <w:pPr>
        <w:spacing w:after="80" w:line="259" w:lineRule="auto"/>
      </w:pPr>
      <w:r>
        <w:rPr>
          <w:i/>
        </w:rPr>
        <w:t>Figura 14.27. Íleon y raíz del mesenterio</w:t>
      </w:r>
    </w:p>
    <w:p>
      <w:pPr>
        <w:spacing w:after="80" w:line="259" w:lineRule="auto"/>
      </w:pPr>
      <w:r>
        <w:rPr>
          <w:b w:val="0"/>
        </w:rPr>
        <w:t>Sistema límbico:</w:t>
      </w:r>
    </w:p>
    <w:p>
      <w:pPr>
        <w:pStyle w:val="ListBullet"/>
        <w:spacing w:after="80" w:line="259" w:lineRule="auto"/>
      </w:pPr>
      <w:r>
        <w:t>Equilibrio cerebro límbico-intestino delgado: escucha-inducción, con un pulgar sobre el intestino delgado y el otro sobre el cerebro límbico (Figura 1.12).</w:t>
      </w:r>
    </w:p>
    <w:p>
      <w:pPr>
        <w:spacing w:after="80" w:line="259" w:lineRule="auto"/>
      </w:pPr>
      <w:r>
        <w:t>Figura 14.28. Técnica de equilibrio visceral-emocional del intestino delgado (en esta figura, el pulgar derecho está colocado sobre el hígado a modo de ejemplo)</w:t>
      </w:r>
    </w:p>
    <w:p>
      <w:pPr>
        <w:pStyle w:val="Heading2"/>
        <w:spacing w:after="80" w:line="259" w:lineRule="auto"/>
      </w:pPr>
      <w:r>
        <w:rPr>
          <w:b w:val="0"/>
        </w:rPr>
        <w:t>10. Relaciones viscerosomáticas</w:t>
      </w:r>
    </w:p>
    <w:p>
      <w:pPr>
        <w:pStyle w:val="ListBullet"/>
        <w:spacing w:after="80" w:line="259" w:lineRule="auto"/>
      </w:pPr>
      <w:r>
        <w:t>Fijaciones vertebrales de Th10 a Th12 y sus costillas correspondientes;</w:t>
      </w:r>
    </w:p>
    <w:p>
      <w:pPr>
        <w:pStyle w:val="ListBullet"/>
        <w:spacing w:after="80" w:line="259" w:lineRule="auto"/>
      </w:pPr>
      <w:r>
        <w:t>L1 y L2.</w:t>
      </w:r>
    </w:p>
    <w:p>
      <w:pPr>
        <w:pStyle w:val="Heading2"/>
        <w:spacing w:after="80" w:line="259" w:lineRule="auto"/>
      </w:pPr>
      <w:r>
        <w:rPr>
          <w:b w:val="0"/>
        </w:rPr>
        <w:t>Relaciones visceroemocionales</w:t>
      </w:r>
    </w:p>
    <w:p>
      <w:pPr>
        <w:pStyle w:val="ListBullet"/>
        <w:spacing w:after="80" w:line="259" w:lineRule="auto"/>
      </w:pPr>
      <w:r>
        <w:t>El abdomen, con su amplio espectro de dolores y trastornos digestivos, puede constituir un lugar importante de expresión somática de la tensión emocional. Esta tensión puede favorecer la hiperactividad simpática en detrimento de la actividad vagal.</w:t>
      </w:r>
    </w:p>
    <w:p>
      <w:pPr>
        <w:pStyle w:val="ListBullet"/>
        <w:spacing w:after="80" w:line="259" w:lineRule="auto"/>
      </w:pPr>
      <w:r>
        <w:t>Desde el punto de vista emocional, resulta difícil establecer una frontera clara entre el intestino delgado y el colon. En la práctica clínica, la mucosa se considera a la vez receptora y emisora de emociones. Debido a la fuerte dependencia hormonal del intestino, este se presenta aquí como un órgano particularmente implicado en la somatización a largo plazo. Dentro de este modelo, la fibromialgia y la espasmofilia se observan con mayor frecuencia en mujeres por la interdependencia hormonal e intestinal. La hiperpermeabilidad y la disbiosis se describen como un terreno favorable para la fibromialgia.</w:t>
      </w:r>
    </w:p>
    <w:p>
      <w:pPr>
        <w:spacing w:after="80" w:line="259" w:lineRule="auto"/>
      </w:pPr>
      <w:r>
        <w:t>El llamado perfil de personalidad “intestinal” suele corresponder a personas que se sienten incómodas en su propio cuerpo. Este perfil puede asociarse con fatiga matutina, lumbalgia, dolor de rodilla y de pie, incluido el hallux valgus, así como uñas estriadas y quebradizas. Estas personas pueden mostrarse fácilmente vulnerables o irritables, con un estado de ánimo que tiende a mejorar a medida que avanza el día.</w:t>
      </w:r>
    </w:p>
    <w:p>
      <w:pPr>
        <w:spacing w:after="80" w:line="259" w:lineRule="auto"/>
      </w:pPr>
      <w:r>
        <w:t>El llamado perfil de personalidad “intestinal” se asocia con una marcada necesidad de seguridad. Estas personas pueden ser sobreprotectoras con sus seres queridos y tienden a aferrarse a rutinas, referencias familiares y hábitos estables. También pueden mostrar una meticulosidad notable en su entorno. En ocasiones, una aparente seguridad en sí mismas puede servir para ocultar una ansiedad subyacente. Pueden presentar rasgos hipocondríacos o una preocupación excesiva por la salud. A menudo son locuaces, a veces con cierto grado de teatralidad cuando intentan persuadir. Una vez que una idea se fija, pueden mostrarse obstinadas. Suelen ser personas con principios, generosas y sensibles, aunque su estado de ánimo puede ser cambiante. Tienden a tolerar mal todo aquello que las afecta directamente, a ellas o a sus seres queridos.</w:t>
      </w:r>
    </w:p>
    <w:p>
      <w:pPr>
        <w:pStyle w:val="Heading2"/>
        <w:spacing w:after="80" w:line="259" w:lineRule="auto"/>
      </w:pPr>
      <w:r>
        <w:rPr>
          <w:b w:val="0"/>
        </w:rPr>
        <w:t>12. Consejos</w:t>
      </w:r>
    </w:p>
    <w:p>
      <w:pPr>
        <w:spacing w:after="80" w:line="259" w:lineRule="auto"/>
      </w:pPr>
      <w:r>
        <w:t>El intestino delgado puede reflejar tensiones emocionales y psicológicas. Los espasmos intestinales pueden contribuir a fijaciones de la columna lumbar. Conviene favorecer una alimentación variada y equilibrada, sin exceso de carbohidratos ni de proteínas animales. Debe evitarse la actividad deportiva durante la digestión.</w:t>
      </w:r>
    </w:p>
    <w:p>
      <w:pPr>
        <w:pStyle w:val="Heading2"/>
        <w:spacing w:after="80" w:line="259" w:lineRule="auto"/>
      </w:pPr>
      <w:r>
        <w:rPr>
          <w:b w:val="0"/>
        </w:rPr>
        <w:t>13. Caso clínico</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Capítulo 14. Intestino delgado — Traducción médica al español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14. Intestino delgado - ROP - Spanish polished version</dc:title>
  <dc:subject>Spanish medical translation polished for fluency</dc:subject>
  <dc:creator/>
  <cp:keywords>ROP, intestino delgado, traducción médica, español</cp:keywords>
  <dc:description>generated by python-docx</dc:description>
  <cp:lastModifiedBy/>
  <cp:revision>1</cp:revision>
  <dcterms:created xsi:type="dcterms:W3CDTF">2013-12-23T23:15:00Z</dcterms:created>
  <dcterms:modified xsi:type="dcterms:W3CDTF">2013-12-23T23:15:00Z</dcterms:modified>
  <cp:category/>
</cp:coreProperties>
</file>