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b/>
          <w:sz w:val="36"/>
        </w:rPr>
        <w:t>Capitolo 14. Intestino tenue</w:t>
      </w:r>
    </w:p>
    <w:p>
      <w:pPr>
        <w:pStyle w:val="Heading1"/>
        <w:spacing w:after="120" w:line="252" w:lineRule="auto" w:before="200"/>
      </w:pPr>
      <w:r>
        <w:rPr>
          <w:b w:val="0"/>
          <w:i w:val="0"/>
        </w:rPr>
        <w:t>Presentazione</w:t>
      </w:r>
    </w:p>
    <w:p>
      <w:pPr>
        <w:spacing w:after="80" w:line="252" w:lineRule="auto"/>
      </w:pPr>
      <w:r>
        <w:rPr>
          <w:b w:val="0"/>
          <w:i w:val="0"/>
        </w:rPr>
        <w:t>L'intestino tenue è il più lungo organo cavo dell'addome. Nel cadavere misura circa 6-7 metri; nell'individuo vivente risulta considerevolmente più corto a causa del tono muscolare.</w:t>
      </w:r>
    </w:p>
    <w:p>
      <w:pPr>
        <w:spacing w:after="80" w:line="252" w:lineRule="auto"/>
      </w:pPr>
      <w:r>
        <w:rPr>
          <w:b w:val="0"/>
          <w:i w:val="0"/>
        </w:rPr>
        <w:t>È costituito da due porzioni:</w:t>
      </w:r>
    </w:p>
    <w:p>
      <w:pPr>
        <w:pStyle w:val="ListBullet"/>
        <w:spacing w:after="50" w:line="252" w:lineRule="auto"/>
        <w:ind w:left="340" w:hanging="142"/>
      </w:pPr>
      <w:r>
        <w:t>il duodeno;</w:t>
      </w:r>
    </w:p>
    <w:p>
      <w:pPr>
        <w:pStyle w:val="ListBullet"/>
        <w:spacing w:after="50" w:line="252" w:lineRule="auto"/>
        <w:ind w:left="340" w:hanging="142"/>
      </w:pPr>
      <w:r>
        <w:t>il digiuno-ileo.</w:t>
      </w:r>
    </w:p>
    <w:p>
      <w:pPr>
        <w:spacing w:after="80" w:line="252" w:lineRule="auto"/>
      </w:pPr>
      <w:r>
        <w:rPr>
          <w:b w:val="0"/>
          <w:i w:val="0"/>
        </w:rPr>
        <w:t>Nel loro insieme, queste porzioni si estendono dal piloro alla valvola ileocecale e svolgono un ruolo fondamentale nella digestione e nell'assorbimento. Sebbene appartenga all'intestino tenue, il duodeno viene trattato in un capitolo separato (cfr. Capitolo 10, Duodeno, pag...) per le sue specifiche caratteristiche anatomiche e fisiologiche.</w:t>
      </w:r>
    </w:p>
    <w:p>
      <w:pPr>
        <w:spacing w:after="80" w:line="252" w:lineRule="auto"/>
      </w:pPr>
      <w:r>
        <w:rPr>
          <w:b w:val="0"/>
          <w:i w:val="0"/>
        </w:rPr>
        <w:t>Il digiuno-ileo differisce dal duodeno sotto diversi aspetti: presenta una parete sottile, liscia, completamente peritonealizzata e molto mobile, con un lume di soli 2-3 cm di diametro. Svolge un'importante funzione digestiva grazie all'interazione tra mucosa, secrezioni intestinali e microbiota, noto anche come flora intestinale. Inoltre, contribuisce in modo significativo al metabolismo e all'immunità, dispone di un sistema nervoso intrinseco particolarmente sviluppato e mantiene una stretta relazione con l'asse intestino-cervello, con possibili ripercussioni sulla sfera emotiva. Dal punto di vista funzionale, intestino tenue e colon sono interdipendenti.</w:t>
      </w:r>
    </w:p>
    <w:p>
      <w:pPr>
        <w:pStyle w:val="Heading1"/>
        <w:spacing w:after="120" w:line="252" w:lineRule="auto" w:before="200"/>
      </w:pPr>
      <w:r>
        <w:rPr>
          <w:b w:val="0"/>
          <w:i w:val="0"/>
        </w:rPr>
        <w:t>Sede</w:t>
      </w:r>
    </w:p>
    <w:p>
      <w:pPr>
        <w:spacing w:after="80" w:line="252" w:lineRule="auto"/>
      </w:pPr>
      <w:r>
        <w:rPr>
          <w:b w:val="0"/>
          <w:i w:val="0"/>
        </w:rPr>
        <w:t>Il digiuno-ileo occupa gran parte della cavità addominale, più spesso a sinistra che a destra, all'interno della cornice colica (Figura 14.1). Il digiuno si localizza prevalentemente nel quadrante superiore sinistro dell'addome; l'ileo soprattutto nel quadrante inferiore destro.</w:t>
      </w:r>
    </w:p>
    <w:p>
      <w:pPr>
        <w:spacing w:after="100" w:line="252" w:lineRule="auto"/>
      </w:pPr>
      <w:r>
        <w:rPr>
          <w:b w:val="0"/>
          <w:i/>
        </w:rPr>
        <w:t>Figura 14.1. Topografia addominale nei quattro quadranti</w:t>
      </w:r>
    </w:p>
    <w:p>
      <w:pPr>
        <w:pStyle w:val="Heading1"/>
        <w:spacing w:after="120" w:line="252" w:lineRule="auto" w:before="200"/>
      </w:pPr>
      <w:r>
        <w:rPr>
          <w:b w:val="0"/>
          <w:i w:val="0"/>
        </w:rPr>
        <w:t>Anatomia</w:t>
      </w:r>
    </w:p>
    <w:p>
      <w:pPr>
        <w:pStyle w:val="ListBullet"/>
        <w:spacing w:after="50" w:line="252" w:lineRule="auto"/>
        <w:ind w:left="340" w:hanging="142"/>
      </w:pPr>
      <w:r>
        <w:t>Digiuno-ileo: comprende 15-16 anse intestinali a forma di U, disposte in due gruppi:</w:t>
      </w:r>
    </w:p>
    <w:p>
      <w:pPr>
        <w:pStyle w:val="ListBullet"/>
        <w:spacing w:after="50" w:line="252" w:lineRule="auto"/>
        <w:ind w:left="595" w:hanging="142"/>
      </w:pPr>
      <w:r>
        <w:t>un gruppo superiore sinistro, corrispondente al digiuno, più sviluppato dell'ileo. Le sue anse e la sua rete vascolare sono generalmente orientate in senso orizzontale. Il digiuno si sovrappone al colon discendente;</w:t>
      </w:r>
    </w:p>
    <w:p>
      <w:pPr>
        <w:pStyle w:val="ListBullet"/>
        <w:spacing w:after="50" w:line="252" w:lineRule="auto"/>
        <w:ind w:left="595" w:hanging="142"/>
      </w:pPr>
      <w:r>
        <w:t>un gruppo inferiore destro, corrispondente all'ileo, le cui anse e la cui rete vascolare sono generalmente orientate in senso verticale. L'ileo non si sovrappone al colon ascendente.</w:t>
      </w:r>
    </w:p>
    <w:p>
      <w:pPr>
        <w:pStyle w:val="ListBullet"/>
        <w:spacing w:after="50" w:line="252" w:lineRule="auto"/>
        <w:ind w:left="340" w:hanging="142"/>
      </w:pPr>
      <w:r>
        <w:t>Mesentere: il mesentere è un meso (Figura 14.2; cfr. Capitolo 1, Principi generali), cioè una piega peritoneale a doppio foglietto. Avvolge il digiuno-ileo e lo fissa alla parete addominale posteriore tramite la radice del mesentere. Cfr. Capitolo 1, Principi generali, e Capitolo 7, Cavità addominale e peritoneale, pag...</w:t>
      </w:r>
    </w:p>
    <w:p>
      <w:pPr>
        <w:spacing w:after="100" w:line="252" w:lineRule="auto"/>
      </w:pPr>
      <w:r>
        <w:rPr>
          <w:b w:val="0"/>
          <w:i/>
        </w:rPr>
        <w:t>Figura 14.2. Mesi</w:t>
      </w:r>
    </w:p>
    <w:p>
      <w:pPr>
        <w:pStyle w:val="ListBullet"/>
        <w:spacing w:after="50" w:line="252" w:lineRule="auto"/>
        <w:ind w:left="340" w:hanging="142"/>
      </w:pPr>
      <w:r>
        <w:t>Radice del mesentere: la radice del mesentere (Figura 14.3) costituisce la linea di inserzione del mesentere e contribuisce alla stabilità dell'intestino tenue, altrimenti molto mobile (cfr. Capitolo 7, Cavità addominale e peritoneale). Misura 16-18 cm e si estende dalla flessione duodeno-digiunale alla valvola ileocecale, attraversando la linea mediana addominale a livello dell'ombelico, di fronte al disco L3-L4. La flessione duodeno-digiunale è sostenuta dal muscolo sospensore del duodeno, noto come muscolo di Treitz (Figura 14.4), le cui fibre muscolari lisce si inseriscono sul pilastro destro del diaframma (cfr. Capitolo 10, Duodeno).</w:t>
      </w:r>
    </w:p>
    <w:p>
      <w:pPr>
        <w:spacing w:after="100" w:line="252" w:lineRule="auto"/>
      </w:pPr>
      <w:r>
        <w:rPr>
          <w:b w:val="0"/>
          <w:i/>
        </w:rPr>
        <w:t>Figura 14.3. Radice del mesentere</w:t>
      </w:r>
    </w:p>
    <w:p>
      <w:pPr>
        <w:spacing w:after="100" w:line="252" w:lineRule="auto"/>
      </w:pPr>
      <w:r>
        <w:rPr>
          <w:b w:val="0"/>
          <w:i/>
        </w:rPr>
        <w:t>Figura 14.4. Muscolo sospensore del duodeno, o muscolo di Treitz</w:t>
      </w:r>
    </w:p>
    <w:p>
      <w:pPr>
        <w:pStyle w:val="ListBullet"/>
        <w:spacing w:after="50" w:line="252" w:lineRule="auto"/>
        <w:ind w:left="340" w:hanging="142"/>
      </w:pPr>
      <w:r>
        <w:t>Il muscolo di Treitz contribuisce a mantenere l'angolo duodeno-digiunale contraendosi ed esercitando trazione sulla radice del mesentere verso l'alto e verso sinistra. Creando una tensione longitudinale, favorisce lo svuotamento duodenale nel digiuno (cfr. Capitolo 10, Duodeno, pag...). La radice del mesentere veicola inoltre la vascolarizzazione e l'innervazione dell'intestino tenue.</w:t>
      </w:r>
    </w:p>
    <w:p>
      <w:pPr>
        <w:pStyle w:val="Heading2"/>
        <w:spacing w:after="120" w:line="252" w:lineRule="auto" w:before="200"/>
      </w:pPr>
      <w:r>
        <w:rPr>
          <w:b w:val="0"/>
          <w:i w:val="0"/>
        </w:rPr>
        <w:t>Rilevanza in ROP</w:t>
      </w:r>
    </w:p>
    <w:p>
      <w:pPr>
        <w:pStyle w:val="ListBullet"/>
        <w:spacing w:after="50" w:line="252" w:lineRule="auto"/>
        <w:ind w:left="340" w:hanging="142"/>
      </w:pPr>
      <w:r>
        <w:t>Clinicamente, la perdita di tensione longitudinale della radice del mesentere deve essere considerata in relazione alla sindrome dell'arteria mesenterica superiore, o sindrome dello schiaccianoci: compressione della quarta porzione del duodeno e della vena renale sinistra tra l'aorta e l'arteria mesenterica superiore (cfr. Capitolo 10, Duodeno, pag...). Lo svuotamento duodenale nel digiuno può risultare ritardato, aumentando il rischio di reflusso gastroduodenale.</w:t>
      </w:r>
    </w:p>
    <w:p>
      <w:pPr>
        <w:pStyle w:val="ListBullet"/>
        <w:spacing w:after="50" w:line="252" w:lineRule="auto"/>
        <w:ind w:left="340" w:hanging="142"/>
      </w:pPr>
      <w:r>
        <w:t>La ricca rete vascolare, nervosa e linfatica della radice mesenterica è fortemente riflessogena. La stimolazione della sua zona riflessa mira a favorire una risposta funzionale del digiuno-ileo.</w:t>
      </w:r>
    </w:p>
    <w:p>
      <w:pPr>
        <w:pStyle w:val="Heading1"/>
        <w:spacing w:after="120" w:line="252" w:lineRule="auto" w:before="200"/>
      </w:pPr>
      <w:r>
        <w:rPr>
          <w:b w:val="0"/>
          <w:i w:val="0"/>
        </w:rPr>
        <w:t>Rapporti</w:t>
      </w:r>
    </w:p>
    <w:p>
      <w:pPr>
        <w:pStyle w:val="ListBullet"/>
        <w:spacing w:after="50" w:line="252" w:lineRule="auto"/>
        <w:ind w:left="340" w:hanging="142"/>
      </w:pPr>
      <w:r>
        <w:t>L'intestino tenue è intraperitoneale;</w:t>
      </w:r>
    </w:p>
    <w:p>
      <w:pPr>
        <w:pStyle w:val="ListBullet"/>
        <w:spacing w:after="50" w:line="252" w:lineRule="auto"/>
        <w:ind w:left="340" w:hanging="142"/>
      </w:pPr>
      <w:r>
        <w:t>a sinistra, il digiuno si sovrappone al colon discendente;</w:t>
      </w:r>
    </w:p>
    <w:p>
      <w:pPr>
        <w:pStyle w:val="ListBullet"/>
        <w:spacing w:after="50" w:line="252" w:lineRule="auto"/>
        <w:ind w:left="340" w:hanging="142"/>
      </w:pPr>
      <w:r>
        <w:t>a destra, l'ileo non si sovrappone al colon ascendente;</w:t>
      </w:r>
    </w:p>
    <w:p>
      <w:pPr>
        <w:pStyle w:val="ListBullet"/>
        <w:spacing w:after="50" w:line="252" w:lineRule="auto"/>
        <w:ind w:left="340" w:hanging="142"/>
      </w:pPr>
      <w:r>
        <w:t>dorsalmente, l'intestino tenue è in rapporto con la parete addominale posteriore e con gli organi retroperitoneali, in particolare con la porzione sopramezocolica del duodeno, i reni, gli ureteri e i colon ascendente e discendente;</w:t>
      </w:r>
    </w:p>
    <w:p>
      <w:pPr>
        <w:pStyle w:val="ListBullet"/>
        <w:spacing w:after="50" w:line="252" w:lineRule="auto"/>
        <w:ind w:left="340" w:hanging="142"/>
      </w:pPr>
      <w:r>
        <w:t>ventralmente: il grande omento;</w:t>
      </w:r>
    </w:p>
    <w:p>
      <w:pPr>
        <w:pStyle w:val="ListBullet"/>
        <w:spacing w:after="50" w:line="252" w:lineRule="auto"/>
        <w:ind w:left="340" w:hanging="142"/>
      </w:pPr>
      <w:r>
        <w:t>caudalmente: gli organi pelvici, in particolare la vescica;</w:t>
      </w:r>
    </w:p>
    <w:p>
      <w:pPr>
        <w:pStyle w:val="ListBullet"/>
        <w:spacing w:after="50" w:line="252" w:lineRule="auto"/>
        <w:ind w:left="340" w:hanging="142"/>
      </w:pPr>
      <w:r>
        <w:t>cranialmente: il mesocolon trasverso.</w:t>
      </w:r>
    </w:p>
    <w:p>
      <w:pPr>
        <w:pStyle w:val="Heading1"/>
        <w:spacing w:after="120" w:line="252" w:lineRule="auto" w:before="200"/>
      </w:pPr>
      <w:r>
        <w:rPr>
          <w:b w:val="0"/>
          <w:i w:val="0"/>
        </w:rPr>
        <w:t>Vascolarizzazione</w:t>
      </w:r>
    </w:p>
    <w:p>
      <w:pPr>
        <w:spacing w:after="80" w:line="252" w:lineRule="auto"/>
      </w:pPr>
      <w:r>
        <w:rPr>
          <w:b w:val="0"/>
          <w:i w:val="0"/>
        </w:rPr>
        <w:t>L'intestino tenue richiede un apporto vascolare e linfatico considerevole per svolgere le sue funzioni digestive, assorbitive e immunitarie.</w:t>
      </w:r>
    </w:p>
    <w:p>
      <w:pPr>
        <w:pStyle w:val="ListBullet"/>
        <w:spacing w:after="50" w:line="252" w:lineRule="auto"/>
        <w:ind w:left="340" w:hanging="142"/>
      </w:pPr>
      <w:r>
        <w:t>Arteria mesenterica superiore: l'arteria mesenterica superiore è il principale asse arterioso dell'intestino tenue (Figura 14.5). Origina dall'aorta addominale, 1 cm al di sotto del tronco celiaco, di fronte al disco intervertebrale Th12-L1. Passa dapprima dietro al pancreas e poi davanti alla terza porzione del duodeno, prima di decorrere tra i due foglietti del mesentere. Emette numerosi rami collaterali e irrora tutto l'intestino tenue, il colon ascendente e i due terzi prossimali del colon trasverso.</w:t>
      </w:r>
    </w:p>
    <w:p>
      <w:pPr>
        <w:spacing w:after="100" w:line="252" w:lineRule="auto"/>
      </w:pPr>
      <w:r>
        <w:rPr>
          <w:b w:val="0"/>
          <w:i/>
        </w:rPr>
        <w:t>Figura 14.5. Arteria mesenterica superiore</w:t>
      </w:r>
    </w:p>
    <w:p>
      <w:pPr>
        <w:pStyle w:val="ListBullet"/>
        <w:spacing w:after="50" w:line="252" w:lineRule="auto"/>
        <w:ind w:left="340" w:hanging="142"/>
      </w:pPr>
      <w:r>
        <w:t>Il suo polso, palpabile a livello della terza porzione del duodeno, a destra dell'ombelico, può costituire un punto di repere vascolare clinico, sebbene da solo non fornisca indicazioni sulla funzione intestinale (Figura 14.6).</w:t>
      </w:r>
    </w:p>
    <w:p>
      <w:pPr>
        <w:spacing w:after="100" w:line="252" w:lineRule="auto"/>
      </w:pPr>
      <w:r>
        <w:rPr>
          <w:b w:val="0"/>
          <w:i/>
        </w:rPr>
        <w:t>Figura 14.6. Polsi delle arterie della cavità addominale</w:t>
      </w:r>
    </w:p>
    <w:p>
      <w:pPr>
        <w:pStyle w:val="ListBullet"/>
        <w:spacing w:after="50" w:line="252" w:lineRule="auto"/>
        <w:ind w:left="340" w:hanging="142"/>
      </w:pPr>
      <w:r>
        <w:t>Vena mesenterica superiore: situata a destra dell'arteria mesenterica superiore, la vena mesenterica superiore appartiene al sistema portale (Figura 14.7). Drena verso il fegato il sangue venoso ricco di nutrienti proveniente dall'intestino tenue (cfr. Capitolo 11, Fegato, pag...).</w:t>
      </w:r>
    </w:p>
    <w:p>
      <w:pPr>
        <w:spacing w:after="100" w:line="252" w:lineRule="auto"/>
      </w:pPr>
      <w:r>
        <w:rPr>
          <w:b w:val="0"/>
          <w:i/>
        </w:rPr>
        <w:t>Figura 14.7. Sistema portale</w:t>
      </w:r>
    </w:p>
    <w:p>
      <w:pPr>
        <w:pStyle w:val="ListBullet"/>
        <w:spacing w:after="50" w:line="252" w:lineRule="auto"/>
        <w:ind w:left="340" w:hanging="142"/>
      </w:pPr>
      <w:r>
        <w:t>Rete linfatica: l'intestino tenue possiede una rete linfatica ben sviluppata (Figura 14.8), che partecipa alla funzione immunitaria. Trasporta molecole lipidiche a catena lunga e molecole proteiche, nonché le vitamine liposolubili A, D, E e K, verso l'angolo venoso sinistro, noto anche come angolo venoso di Pirogov, attraverso la cisterna del chilo e il dotto toracico (cfr. Capitolo 11, Fegato e cistifellea).</w:t>
      </w:r>
    </w:p>
    <w:p>
      <w:pPr>
        <w:spacing w:after="100" w:line="252" w:lineRule="auto"/>
      </w:pPr>
      <w:r>
        <w:rPr>
          <w:b w:val="0"/>
          <w:i/>
        </w:rPr>
        <w:t>Figura 14.8. Sistema linfatico</w:t>
      </w:r>
    </w:p>
    <w:p>
      <w:pPr>
        <w:pStyle w:val="Heading1"/>
        <w:spacing w:after="120" w:line="252" w:lineRule="auto" w:before="200"/>
      </w:pPr>
      <w:r>
        <w:rPr>
          <w:b w:val="0"/>
          <w:i w:val="0"/>
        </w:rPr>
        <w:t>Innervazione</w:t>
      </w:r>
    </w:p>
    <w:p>
      <w:pPr>
        <w:pStyle w:val="Heading2"/>
        <w:spacing w:after="120" w:line="252" w:lineRule="auto" w:before="200"/>
      </w:pPr>
      <w:r>
        <w:rPr>
          <w:b w:val="0"/>
          <w:i w:val="0"/>
        </w:rPr>
        <w:t>Innervazione del peritoneo:</w:t>
      </w:r>
    </w:p>
    <w:p>
      <w:pPr>
        <w:pStyle w:val="ListBullet"/>
        <w:spacing w:after="50" w:line="252" w:lineRule="auto"/>
        <w:ind w:left="340" w:hanging="142"/>
      </w:pPr>
      <w:r>
        <w:t>Presenta una doppia innervazione, somatica e autonoma:</w:t>
      </w:r>
    </w:p>
    <w:p>
      <w:pPr>
        <w:pStyle w:val="ListBullet"/>
        <w:spacing w:after="50" w:line="252" w:lineRule="auto"/>
        <w:ind w:left="595" w:hanging="142"/>
      </w:pPr>
      <w:r>
        <w:t>Peritoneo parietale: cfr. Capitolo 7, Innervazione del peritoneo, pag...</w:t>
      </w:r>
    </w:p>
    <w:p>
      <w:pPr>
        <w:pStyle w:val="ListBullet"/>
        <w:spacing w:after="50" w:line="252" w:lineRule="auto"/>
        <w:ind w:left="595" w:hanging="142"/>
      </w:pPr>
      <w:r>
        <w:t>Il peritoneo parietale riceve un'innervazione somatica condivisa con la parete addominale tramite i nervi frenici (Figura 14.9), gli ultimi sei nervi intercostali (Figura 14.10) e i nervi del plesso lombare (Figura 14.11). Contiene numerose terminazioni nervose sensibili alla temperatura, alla pressione e al dolore.</w:t>
      </w:r>
    </w:p>
    <w:p>
      <w:pPr>
        <w:spacing w:after="100" w:line="252" w:lineRule="auto"/>
      </w:pPr>
      <w:r>
        <w:rPr>
          <w:b w:val="0"/>
          <w:i/>
        </w:rPr>
        <w:t>Figura 14.9. Nervo frenico</w:t>
      </w:r>
    </w:p>
    <w:p>
      <w:pPr>
        <w:spacing w:after="100" w:line="252" w:lineRule="auto"/>
      </w:pPr>
      <w:r>
        <w:rPr>
          <w:b w:val="0"/>
          <w:i/>
        </w:rPr>
        <w:t>Figura 14.10. Nervi intercostali</w:t>
      </w:r>
    </w:p>
    <w:p>
      <w:pPr>
        <w:spacing w:after="100" w:line="252" w:lineRule="auto"/>
      </w:pPr>
      <w:r>
        <w:rPr>
          <w:b w:val="0"/>
          <w:i/>
        </w:rPr>
        <w:t>Figura 14.11. Nervi del plesso lombare</w:t>
      </w:r>
    </w:p>
    <w:p>
      <w:pPr>
        <w:pStyle w:val="ListBullet"/>
        <w:spacing w:after="50" w:line="252" w:lineRule="auto"/>
        <w:ind w:left="340" w:hanging="142"/>
      </w:pPr>
      <w:r>
        <w:t>Questa innervazione condivisa con la parete addominale contribuisce a spiegare la proiezione verso il sistema osteomuscoloarticolare di dolori cervicali, scapolari, addominali e lombari di origine peritoneale o viscerale - funzionale, infettiva, chirurgica o traumatica - attraverso le fibre somatiche del foglietto parietale (cfr. Capitolo 7, Rapporti peritoneosomatici, pag...).</w:t>
      </w:r>
    </w:p>
    <w:p>
      <w:pPr>
        <w:pStyle w:val="ListBullet"/>
        <w:spacing w:after="50" w:line="252" w:lineRule="auto"/>
        <w:ind w:left="340" w:hanging="142"/>
      </w:pPr>
      <w:r>
        <w:t>Peritoneo viscerale: riceve un'innervazione autonoma estrinseca condivisa con i visceri:</w:t>
      </w:r>
    </w:p>
    <w:p>
      <w:pPr>
        <w:pStyle w:val="ListBullet"/>
        <w:spacing w:after="50" w:line="252" w:lineRule="auto"/>
        <w:ind w:left="595" w:hanging="142"/>
      </w:pPr>
      <w:r>
        <w:t>Simpatico: le radici simpatiche originano da Th8 a Th11 e raggiungono i plessi prevertebrali celiaco e mesenterico superiore (Figura 14.12) attraverso i nervi splancnici maggiore e minore.</w:t>
      </w:r>
    </w:p>
    <w:p>
      <w:pPr>
        <w:spacing w:after="100" w:line="252" w:lineRule="auto"/>
      </w:pPr>
      <w:r>
        <w:rPr>
          <w:b w:val="0"/>
          <w:i/>
        </w:rPr>
        <w:t>Figura 14.12. Sistema nervoso autonomo</w:t>
      </w:r>
    </w:p>
    <w:p>
      <w:pPr>
        <w:pStyle w:val="ListBullet"/>
        <w:spacing w:after="50" w:line="252" w:lineRule="auto"/>
        <w:ind w:left="595" w:hanging="142"/>
      </w:pPr>
      <w:r>
        <w:t>Sensibilità: il peritoneo viscerale è relativamente insensibile al tatto, alle variazioni di temperatura e all'incisione chirurgica. La sensibilità viscerale dipende dal sistema simpatico, stimolato dalla distensione intestinale e da sostanze chimiche (cfr. Capitolo 4, Sistema nervoso autonomo, pag...).</w:t>
      </w:r>
    </w:p>
    <w:p>
      <w:pPr>
        <w:pStyle w:val="ListBullet"/>
        <w:spacing w:after="50" w:line="252" w:lineRule="auto"/>
        <w:ind w:left="595" w:hanging="142"/>
      </w:pPr>
      <w:r>
        <w:t>Motilità: il sistema simpatico riduce la peristalsi e le secrezioni intestinali, in particolare durante stress, ansia, paura o sforzo fisico.</w:t>
      </w:r>
    </w:p>
    <w:p>
      <w:pPr>
        <w:pStyle w:val="ListBullet"/>
        <w:spacing w:after="50" w:line="252" w:lineRule="auto"/>
        <w:ind w:left="340" w:hanging="142"/>
      </w:pPr>
      <w:r>
        <w:t>Nervo vago: il nervo vago contribuisce alla regolazione della funzione digestiva:</w:t>
      </w:r>
    </w:p>
    <w:p>
      <w:pPr>
        <w:pStyle w:val="ListBullet"/>
        <w:spacing w:after="50" w:line="252" w:lineRule="auto"/>
        <w:ind w:left="595" w:hanging="142"/>
      </w:pPr>
      <w:r>
        <w:t>Motilità: il nervo vago agisce in larga misura in antagonismo rispetto al sistema simpatico. Favorisce la peristalsi, le secrezioni intestinali e la permeabilità intestinale fisiologica, facilitando così l'assorbimento. A seconda del contesto, questo può accompagnarsi a un rilassamento intestinale coordinato.</w:t>
      </w:r>
    </w:p>
    <w:p>
      <w:pPr>
        <w:pStyle w:val="ListBullet"/>
        <w:spacing w:after="50" w:line="252" w:lineRule="auto"/>
        <w:ind w:left="595" w:hanging="142"/>
      </w:pPr>
      <w:r>
        <w:t>Sensibilità: il nervo vago contiene il 70-80% di fibre sensitive, che informano continuamente il cervello sullo stato dei visceri. È connesso al sistema nervoso intrinseco.</w:t>
      </w:r>
    </w:p>
    <w:p>
      <w:pPr>
        <w:pStyle w:val="ListBullet"/>
        <w:spacing w:after="50" w:line="252" w:lineRule="auto"/>
        <w:ind w:left="340" w:hanging="142"/>
      </w:pPr>
      <w:r>
        <w:t>Sistema nervoso intrinseco o enterico (SNE): il SNE è spesso definito secondo cervello o cervello addominale. È costituito da plessi intramurali (Figura 14.13) situati nella parete stessa dell'intestino tenue: il plesso mioenterico di Auerbach e il plesso sottomucoso di Meissner.</w:t>
      </w:r>
    </w:p>
    <w:p>
      <w:pPr>
        <w:spacing w:after="100" w:line="252" w:lineRule="auto"/>
      </w:pPr>
      <w:r>
        <w:rPr>
          <w:b w:val="0"/>
          <w:i/>
        </w:rPr>
        <w:t>Figura 14.13. Plessi intramurali enterici</w:t>
      </w:r>
    </w:p>
    <w:p>
      <w:pPr>
        <w:pStyle w:val="ListBullet"/>
        <w:spacing w:after="50" w:line="252" w:lineRule="auto"/>
        <w:ind w:left="340" w:hanging="142"/>
      </w:pPr>
      <w:r>
        <w:t>Il SNE è sensibile ai segnali neuro-ormonali e alla composizione chimica del contenuto intestinale.</w:t>
      </w:r>
    </w:p>
    <w:p>
      <w:pPr>
        <w:pStyle w:val="ListBullet"/>
        <w:spacing w:after="50" w:line="252" w:lineRule="auto"/>
        <w:ind w:left="340" w:hanging="142"/>
      </w:pPr>
      <w:r>
        <w:t>Funzione: il SNE può operare in larga misura indipendentemente dal cervello e dal midollo spinale, purché le condizioni fisiologiche lo consentano.</w:t>
      </w:r>
    </w:p>
    <w:p>
      <w:pPr>
        <w:pStyle w:val="ListBullet"/>
        <w:spacing w:after="50" w:line="252" w:lineRule="auto"/>
        <w:ind w:left="340" w:hanging="142"/>
      </w:pPr>
      <w:r>
        <w:t>Svolge un ruolo importante nella produzione di mediatori neurochimici, compresa una quota considerevole della serotonina corporea, oltre ad acetilcolina, noradrenalina e GABA. Fa inoltre parte di un ambiente immunitario intestinale particolarmente rilevante (cfr. Capitolo 4, Sistema nervoso autonomo, pag...).</w:t>
      </w:r>
    </w:p>
    <w:p>
      <w:pPr>
        <w:pStyle w:val="ListBullet"/>
        <w:spacing w:after="50" w:line="252" w:lineRule="auto"/>
        <w:ind w:left="340" w:hanging="142"/>
      </w:pPr>
      <w:r>
        <w:t>Pacemaker intestinale: la parete dell'intestino tenue contiene anche cellule specializzate, le cellule interstiziali di Cajal, localizzate negli strati muscolari longitudinale e circolare. Esse generano onde lente, distinte dalle onde peristaltiche, e contribuiscono al coordinamento della motilità intestinale.</w:t>
      </w:r>
    </w:p>
    <w:p>
      <w:pPr>
        <w:pStyle w:val="Heading1"/>
        <w:spacing w:after="120" w:line="252" w:lineRule="auto" w:before="200"/>
      </w:pPr>
      <w:r>
        <w:rPr>
          <w:b w:val="0"/>
          <w:i w:val="0"/>
        </w:rPr>
        <w:t>Fisiologia</w:t>
      </w:r>
    </w:p>
    <w:p>
      <w:pPr>
        <w:pStyle w:val="Heading2"/>
        <w:spacing w:after="120" w:line="252" w:lineRule="auto" w:before="200"/>
      </w:pPr>
      <w:r>
        <w:rPr>
          <w:b w:val="0"/>
          <w:i w:val="0"/>
        </w:rPr>
        <w:t>Motilità:</w:t>
      </w:r>
    </w:p>
    <w:p>
      <w:pPr>
        <w:spacing w:after="80" w:line="252" w:lineRule="auto"/>
      </w:pPr>
      <w:r>
        <w:rPr>
          <w:b w:val="0"/>
          <w:i w:val="0"/>
        </w:rPr>
        <w:t>La motilità è attivata da tre principali tipi di meccanismo:</w:t>
      </w:r>
    </w:p>
    <w:p>
      <w:pPr>
        <w:pStyle w:val="ListBullet"/>
        <w:spacing w:after="50" w:line="252" w:lineRule="auto"/>
        <w:ind w:left="340" w:hanging="142"/>
      </w:pPr>
      <w:r>
        <w:t>meccanico: distensione della parete intestinale durante il passaggio del chimo;</w:t>
      </w:r>
    </w:p>
    <w:p>
      <w:pPr>
        <w:pStyle w:val="ListBullet"/>
        <w:spacing w:after="50" w:line="252" w:lineRule="auto"/>
        <w:ind w:left="340" w:hanging="142"/>
      </w:pPr>
      <w:r>
        <w:t>neurologico: attivazione del nervo vago, influenzata da segnali cefalici quali vista, odore, gusto e contatto con il cibo, nonché dai meccanocettori intestinali. La stimolazione vagale è modulata dalla secrezione di un ormone intestinale, il peptide inibitorio gastrico (GIP);</w:t>
      </w:r>
    </w:p>
    <w:p>
      <w:pPr>
        <w:pStyle w:val="ListBullet"/>
        <w:spacing w:after="50" w:line="252" w:lineRule="auto"/>
        <w:ind w:left="340" w:hanging="142"/>
      </w:pPr>
      <w:r>
        <w:t>ormono-chimico: secrezioni gastriche, duodenali, epatobiliari e pancreatiche.</w:t>
      </w:r>
    </w:p>
    <w:p>
      <w:pPr>
        <w:spacing w:after="80" w:line="252" w:lineRule="auto"/>
      </w:pPr>
      <w:r>
        <w:rPr>
          <w:b w:val="0"/>
          <w:i w:val="0"/>
        </w:rPr>
        <w:t>La motilità dell'intestino tenue si esprime attraverso contrazioni ritmiche, movimenti di va e vieni e segmentazione, che omogeneizzano il chimo, oltre che attraverso la peristalsi, che lo propelle in senso distale.</w:t>
      </w:r>
    </w:p>
    <w:p>
      <w:pPr>
        <w:pStyle w:val="ListBullet"/>
        <w:spacing w:after="50" w:line="252" w:lineRule="auto"/>
        <w:ind w:left="340" w:hanging="142"/>
      </w:pPr>
      <w:r>
        <w:t>Ecosistema: l'intestino tenue forma un ecosistema composto da:</w:t>
      </w:r>
    </w:p>
    <w:p>
      <w:pPr>
        <w:pStyle w:val="ListBullet"/>
        <w:spacing w:after="50" w:line="252" w:lineRule="auto"/>
        <w:ind w:left="595" w:hanging="142"/>
      </w:pPr>
      <w:r>
        <w:t>mucosa intestinale;</w:t>
      </w:r>
    </w:p>
    <w:p>
      <w:pPr>
        <w:pStyle w:val="ListBullet"/>
        <w:spacing w:after="50" w:line="252" w:lineRule="auto"/>
        <w:ind w:left="595" w:hanging="142"/>
      </w:pPr>
      <w:r>
        <w:t>sistema immunitario;</w:t>
      </w:r>
    </w:p>
    <w:p>
      <w:pPr>
        <w:pStyle w:val="ListBullet"/>
        <w:spacing w:after="50" w:line="252" w:lineRule="auto"/>
        <w:ind w:left="595" w:hanging="142"/>
      </w:pPr>
      <w:r>
        <w:t>microbiota intestinale.</w:t>
      </w:r>
    </w:p>
    <w:p>
      <w:pPr>
        <w:pStyle w:val="ListBullet"/>
        <w:spacing w:after="50" w:line="252" w:lineRule="auto"/>
        <w:ind w:left="340" w:hanging="142"/>
      </w:pPr>
      <w:r>
        <w:t>Mucosa intestinale: la mucosa intestinale costituisce l'interfaccia tra l'ambiente interno dell'organismo e il contenuto del lume digestivo:</w:t>
      </w:r>
    </w:p>
    <w:p>
      <w:pPr>
        <w:pStyle w:val="ListBullet"/>
        <w:spacing w:after="50" w:line="252" w:lineRule="auto"/>
        <w:ind w:left="595" w:hanging="142"/>
      </w:pPr>
      <w:r>
        <w:t>Ambiente esterno: il lume del tubo digerente, dalla cavità orale all'ano, è in contatto con l'ambiente esterno.</w:t>
      </w:r>
    </w:p>
    <w:p>
      <w:pPr>
        <w:pStyle w:val="ListBullet"/>
        <w:spacing w:after="50" w:line="252" w:lineRule="auto"/>
        <w:ind w:left="595" w:hanging="142"/>
      </w:pPr>
      <w:r>
        <w:t>Ambiente interno: comprende i fluidi corporei - sangue, linfa e liquido interstiziale - nei quali sono immerse le cellule. La sua composizione è mantenuta entro limiti ristretti dall'omeostasi.</w:t>
      </w:r>
    </w:p>
    <w:p>
      <w:pPr>
        <w:pStyle w:val="ListBullet"/>
        <w:spacing w:after="50" w:line="252" w:lineRule="auto"/>
        <w:ind w:left="595" w:hanging="142"/>
      </w:pPr>
      <w:r>
        <w:t>La mucosa agisce come barriera selettiva tra questi due ambienti, consentendo digestione e assorbimento. L'intestino tenue regola una quota molto importante di entrambe le funzioni.</w:t>
      </w:r>
    </w:p>
    <w:p>
      <w:pPr>
        <w:pStyle w:val="ListBullet"/>
        <w:spacing w:after="50" w:line="252" w:lineRule="auto"/>
        <w:ind w:left="340" w:hanging="142"/>
      </w:pPr>
      <w:r>
        <w:t>Digestione: la digestione trasforma gli alimenti in molecole semplici, successivamente assorbibili. La mucosa intestinale contiene diversi tipi cellulari specializzati:</w:t>
      </w:r>
    </w:p>
    <w:p>
      <w:pPr>
        <w:pStyle w:val="ListBullet"/>
        <w:spacing w:after="50" w:line="252" w:lineRule="auto"/>
        <w:ind w:left="595" w:hanging="142"/>
      </w:pPr>
      <w:r>
        <w:t>Cellule caliciformi: producono il muco protettivo che riveste la mucosa.</w:t>
      </w:r>
    </w:p>
    <w:p>
      <w:pPr>
        <w:pStyle w:val="ListBullet"/>
        <w:spacing w:after="50" w:line="252" w:lineRule="auto"/>
        <w:ind w:left="595" w:hanging="142"/>
      </w:pPr>
      <w:r>
        <w:t>Cellule di Lieberkühn: contribuiscono alla secrezione intestinale lievemente alcalina e alle funzioni enzimatiche e antimicrobiche. La produzione giornaliera di succo digestivo intestinale è di circa 1 L.</w:t>
      </w:r>
    </w:p>
    <w:p>
      <w:pPr>
        <w:pStyle w:val="ListBullet"/>
        <w:spacing w:after="50" w:line="252" w:lineRule="auto"/>
        <w:ind w:left="595" w:hanging="142"/>
      </w:pPr>
      <w:r>
        <w:t>Enterociti, o cellule assorbenti: grazie alla loro disposizione intercellulare e ai desmosomi, queste cellule svolgono una funzione di barriera selettiva, permettendo l'assorbimento dei micronutrienti e limitando il passaggio di macromolecole insufficientemente degradate o indesiderate.</w:t>
      </w:r>
    </w:p>
    <w:p>
      <w:pPr>
        <w:pStyle w:val="ListBullet"/>
        <w:spacing w:after="50" w:line="252" w:lineRule="auto"/>
        <w:ind w:left="340" w:hanging="142"/>
      </w:pPr>
      <w:r>
        <w:t>Assorbimento: l'assorbimento richiede una permeabilità intestinale fisiologica. La mucosa intestinale è rivestita da villi, proiezioni digitiformi (Figura 14.14) il cui asse centrale contiene cellule muscolari lisce, oltre a vasi sanguigni e linfatici.</w:t>
      </w:r>
    </w:p>
    <w:p>
      <w:pPr>
        <w:spacing w:after="100" w:line="252" w:lineRule="auto"/>
      </w:pPr>
      <w:r>
        <w:rPr>
          <w:b w:val="0"/>
          <w:i/>
        </w:rPr>
        <w:t>Figura 14.14. Villi intestinali</w:t>
      </w:r>
    </w:p>
    <w:p>
      <w:pPr>
        <w:pStyle w:val="ListBullet"/>
        <w:spacing w:after="50" w:line="252" w:lineRule="auto"/>
        <w:ind w:left="340" w:hanging="142"/>
      </w:pPr>
      <w:r>
        <w:t>I villi sono a loro volta rivestiti da microvilli, che formano un orletto a spazzola e aumentano notevolmente la superficie di scambio tra micronutrienti e capillari. Se fosse disteso, l'intestino tenue avrebbe una superficie equivalente a un campo da tennis.</w:t>
      </w:r>
    </w:p>
    <w:p>
      <w:pPr>
        <w:pStyle w:val="ListBullet"/>
        <w:spacing w:after="50" w:line="252" w:lineRule="auto"/>
        <w:ind w:left="340" w:hanging="142"/>
      </w:pPr>
      <w:r>
        <w:t>I movimenti peristaltici, insieme alla contrazione delle cellule muscolari lisce dei villi, accorciano i villi e facilitano il trasferimento dei micronutrienti nelle circolazioni sanguigna e linfatica:</w:t>
      </w:r>
    </w:p>
    <w:p>
      <w:pPr>
        <w:pStyle w:val="ListBullet"/>
        <w:spacing w:after="50" w:line="252" w:lineRule="auto"/>
        <w:ind w:left="595" w:hanging="142"/>
      </w:pPr>
      <w:r>
        <w:t>Via sanguigna: i capillari sanguigni assorbono acqua, sali minerali, zuccheri semplici, aminoacidi, acidi grassi a catena corta e vitamine idrosolubili. Questi nutrienti vengono quindi trasportati al fegato attraverso il sistema portale.</w:t>
      </w:r>
    </w:p>
    <w:p>
      <w:pPr>
        <w:pStyle w:val="ListBullet"/>
        <w:spacing w:after="50" w:line="252" w:lineRule="auto"/>
        <w:ind w:left="595" w:hanging="142"/>
      </w:pPr>
      <w:r>
        <w:t>Via linfatica: i capillari linfatici, o vasi chiliferi, assorbono principalmente grassi, proteine a catena lunga e vitamine liposolubili A, D, E e K. Drenano successivamente nella rete linfatica, nella cisterna del chilo e nel dotto toracico, prima di sboccare nella rete venosa a livello dell'angolo venoso sinistro (Figura 14.8).</w:t>
      </w:r>
    </w:p>
    <w:p>
      <w:pPr>
        <w:pStyle w:val="Heading2"/>
        <w:spacing w:after="120" w:line="252" w:lineRule="auto" w:before="200"/>
      </w:pPr>
      <w:r>
        <w:rPr>
          <w:b w:val="0"/>
          <w:i w:val="0"/>
        </w:rPr>
        <w:t>Rilevanza in ROP</w:t>
      </w:r>
    </w:p>
    <w:p>
      <w:pPr>
        <w:pStyle w:val="ListBullet"/>
        <w:spacing w:after="50" w:line="252" w:lineRule="auto"/>
        <w:ind w:left="340" w:hanging="142"/>
      </w:pPr>
      <w:r>
        <w:t>L'azione riflessa sulla motilità intestinale ha lo scopo di sostenere digestione e assorbimento;</w:t>
      </w:r>
    </w:p>
    <w:p>
      <w:pPr>
        <w:pStyle w:val="ListBullet"/>
        <w:spacing w:after="50" w:line="252" w:lineRule="auto"/>
        <w:ind w:left="340" w:hanging="142"/>
      </w:pPr>
      <w:r>
        <w:t>l'azione riflessa sul fegato e sul sistema linfatico mira a favorire la qualità dell'assorbimento e la funzione immunitaria.</w:t>
      </w:r>
    </w:p>
    <w:p>
      <w:pPr>
        <w:pStyle w:val="ListBullet"/>
        <w:spacing w:after="50" w:line="252" w:lineRule="auto"/>
        <w:ind w:left="340" w:hanging="142"/>
      </w:pPr>
      <w:r>
        <w:t>Sistema immunitario: i recettori situati sulla superficie intestinale identificano determinati patogeni o sostanze potenzialmente nocive e li presentano alle cellule immunitarie intestinali:</w:t>
      </w:r>
    </w:p>
    <w:p>
      <w:pPr>
        <w:pStyle w:val="ListBullet"/>
        <w:spacing w:after="50" w:line="252" w:lineRule="auto"/>
        <w:ind w:left="595" w:hanging="142"/>
      </w:pPr>
      <w:r>
        <w:t>Mastociti: intervengono nelle risposte allergiche, immunitarie e infiammatorie;</w:t>
      </w:r>
    </w:p>
    <w:p>
      <w:pPr>
        <w:pStyle w:val="ListBullet"/>
        <w:spacing w:after="50" w:line="252" w:lineRule="auto"/>
        <w:ind w:left="595" w:hanging="142"/>
      </w:pPr>
      <w:r>
        <w:t>Cellule di Paneth: rilasciano peptidi antimicrobici nel lume intestinale in risposta a determinati stimoli microbici;</w:t>
      </w:r>
    </w:p>
    <w:p>
      <w:pPr>
        <w:pStyle w:val="ListBullet"/>
        <w:spacing w:after="50" w:line="252" w:lineRule="auto"/>
        <w:ind w:left="595" w:hanging="142"/>
      </w:pPr>
      <w:r>
        <w:t>Tessuto linfoide associato all'intestino (GALT): riveste la superficie interna della mucosa intestinale. È costituito da linfociti, isolati o raggruppati nelle placche di Peyer.</w:t>
      </w:r>
    </w:p>
    <w:p>
      <w:pPr>
        <w:pStyle w:val="ListBullet"/>
        <w:spacing w:after="50" w:line="252" w:lineRule="auto"/>
        <w:ind w:left="340" w:hanging="142"/>
      </w:pPr>
      <w:r>
        <w:t>Contribuisce a impedire l'ingresso di batteri patogeni nel circolo sanguigno. In condizioni fisiologiche, la carica microbica dell'intestino tenue è nettamente inferiore a quella del colon, per l'effetto combinato delle difese immunitarie, della motilità e dell'ambiente luminale.</w:t>
      </w:r>
    </w:p>
    <w:p>
      <w:pPr>
        <w:pStyle w:val="ListBullet"/>
        <w:spacing w:after="50" w:line="252" w:lineRule="auto"/>
        <w:ind w:left="340" w:hanging="142"/>
      </w:pPr>
      <w:r>
        <w:t>Microbiota intestinale, o flora intestinale: il microbiota è una comunità di batteri, funghi, lieviti, virus e protozoi che vivono in interazione con il loro ospite. In condizioni di equilibrio, questa relazione è commensale o simbiotica. Si stima che il corpo umano ospiti circa 38 miliardi di batteri.</w:t>
      </w:r>
    </w:p>
    <w:p>
      <w:pPr>
        <w:pStyle w:val="ListBullet"/>
        <w:spacing w:after="50" w:line="252" w:lineRule="auto"/>
        <w:ind w:left="340" w:hanging="142"/>
      </w:pPr>
      <w:r>
        <w:t>Il microbiota colonizza non solo l'intestino, ma anche altre cavità (cavità orale, apparati respiratorio e genitale) e superfici.</w:t>
      </w:r>
    </w:p>
    <w:p>
      <w:pPr>
        <w:pStyle w:val="ListBullet"/>
        <w:spacing w:after="50" w:line="252" w:lineRule="auto"/>
        <w:ind w:left="340" w:hanging="142"/>
      </w:pPr>
      <w:r>
        <w:t>Ogni individuo presenta una composizione microbica caratteristica. Dalla nascita, il tratto digestivo del neonato viene progressivamente colonizzato e i microrganismi instaurano rapidamente interazioni commensali reciproche con l'ospite.</w:t>
      </w:r>
    </w:p>
    <w:p>
      <w:pPr>
        <w:spacing w:after="80" w:line="252" w:lineRule="auto"/>
      </w:pPr>
      <w:r>
        <w:rPr>
          <w:b w:val="0"/>
          <w:i w:val="0"/>
        </w:rPr>
        <w:t>Il microbiota è un importante determinante della salute: contribuisce all'immunità, alla digestione e all'assorbimento, e interagisce anche con le funzioni cerebrali ed emotive tramite l'asse intestino-cervello.</w:t>
      </w:r>
    </w:p>
    <w:p>
      <w:pPr>
        <w:pStyle w:val="Heading1"/>
        <w:spacing w:after="120" w:line="252" w:lineRule="auto" w:before="200"/>
      </w:pPr>
      <w:r>
        <w:rPr>
          <w:b w:val="0"/>
          <w:i w:val="0"/>
        </w:rPr>
        <w:t>Patologie comuni</w:t>
      </w:r>
    </w:p>
    <w:p>
      <w:pPr>
        <w:pStyle w:val="ListBullet"/>
        <w:spacing w:after="50" w:line="252" w:lineRule="auto"/>
        <w:ind w:left="340" w:hanging="142"/>
      </w:pPr>
      <w:r>
        <w:t>Iperpermeabilità intestinale e disbiosi sono spesso descritte come condizioni associate, capaci di rinforzarsi reciprocamente.</w:t>
      </w:r>
    </w:p>
    <w:p>
      <w:pPr>
        <w:pStyle w:val="ListBullet"/>
        <w:spacing w:after="50" w:line="252" w:lineRule="auto"/>
        <w:ind w:left="340" w:hanging="142"/>
      </w:pPr>
      <w:r>
        <w:t>Iperpermeabilità intestinale: quando le giunzioni intercellulari tra gli enterociti sono alterate, la permeabilità intestinale può aumentare. Ciò può favorire un maggiore passaggio di macromolecole luminali insufficientemente degradate, con possibile attivazione immunitaria o infiammatoria.</w:t>
      </w:r>
    </w:p>
    <w:p>
      <w:pPr>
        <w:pStyle w:val="ListBullet"/>
        <w:spacing w:after="50" w:line="252" w:lineRule="auto"/>
        <w:ind w:left="340" w:hanging="142"/>
      </w:pPr>
      <w:r>
        <w:t>Cause:</w:t>
      </w:r>
    </w:p>
    <w:p>
      <w:pPr>
        <w:pStyle w:val="ListBullet"/>
        <w:spacing w:after="50" w:line="252" w:lineRule="auto"/>
        <w:ind w:left="595" w:hanging="142"/>
      </w:pPr>
      <w:r>
        <w:t>agenti infettivi: stafilococchi, streptococchi, colibacilli, salmonelle e Candida albicans, che rilasciano tossine;</w:t>
      </w:r>
    </w:p>
    <w:p>
      <w:pPr>
        <w:pStyle w:val="ListBullet"/>
        <w:spacing w:after="50" w:line="252" w:lineRule="auto"/>
        <w:ind w:left="595" w:hanging="142"/>
      </w:pPr>
      <w:r>
        <w:t>stress cronico: l'eccesso di attività simpatica e di ormoni dello stress (adrenalina, cortisolo) provoca vasocostrizione e aumento della pressione arteriosa, riducendo il flusso sanguigno intestinale e indebolendo così la mucosa;</w:t>
      </w:r>
    </w:p>
    <w:p>
      <w:pPr>
        <w:pStyle w:val="ListBullet"/>
        <w:spacing w:after="50" w:line="252" w:lineRule="auto"/>
        <w:ind w:left="595" w:hanging="142"/>
      </w:pPr>
      <w:r>
        <w:t>alimentazione: alimenti altamente trasformati o raffinati, alimenti ad alto indice glicemico, acidi grassi saturi, eccesso di latte vaccino, glutine e carne, nonché cotture a temperature superiori a 110 °C, possono alterare l'ecosistema intestinale;</w:t>
      </w:r>
    </w:p>
    <w:p>
      <w:pPr>
        <w:pStyle w:val="ListBullet"/>
        <w:spacing w:after="50" w:line="252" w:lineRule="auto"/>
        <w:ind w:left="595" w:hanging="142"/>
      </w:pPr>
      <w:r>
        <w:t>attività sportive prolungate (come la corsa di lunga distanza): possono ridurre transitoriamente la perfusione splancnica a favore dell'apparato locomotore;</w:t>
      </w:r>
    </w:p>
    <w:p>
      <w:pPr>
        <w:pStyle w:val="ListBullet"/>
        <w:spacing w:after="50" w:line="252" w:lineRule="auto"/>
        <w:ind w:left="595" w:hanging="142"/>
      </w:pPr>
      <w:r>
        <w:t>farmaci: farmaci antinfiammatori non steroidei, salicilati, corticosteroidi, antibiotici e chemioterapia possono alterare la mucosa o il microbiota. La disbiosi può allora essere causa, conseguenza, o entrambe, dell'iperpermeabilità intestinale.</w:t>
      </w:r>
    </w:p>
    <w:p>
      <w:pPr>
        <w:pStyle w:val="ListBullet"/>
        <w:spacing w:after="50" w:line="252" w:lineRule="auto"/>
        <w:ind w:left="340" w:hanging="142"/>
      </w:pPr>
      <w:r>
        <w:t>Conseguenze: possono essere numerose:</w:t>
      </w:r>
    </w:p>
    <w:p>
      <w:pPr>
        <w:pStyle w:val="ListBullet"/>
        <w:spacing w:after="50" w:line="252" w:lineRule="auto"/>
        <w:ind w:left="595" w:hanging="142"/>
      </w:pPr>
      <w:r>
        <w:t>allergie alimentari: l'alterazione della barriera intestinale può aumentare l'esposizione del sistema immunitario ad alcuni antigeni alimentari. In alcuni individui, ciò può accompagnarsi a fenomeni allergici, in particolare con coinvolgimento dei mastociti e dell'istamina;</w:t>
      </w:r>
    </w:p>
    <w:p>
      <w:pPr>
        <w:pStyle w:val="ListBullet"/>
        <w:spacing w:after="50" w:line="252" w:lineRule="auto"/>
        <w:ind w:left="595" w:hanging="142"/>
      </w:pPr>
      <w:r>
        <w:t>malattie autoimmuni: l'iperpermeabilità intestinale è descritta come fattore associato in alcune malattie autoimmuni. Proteine insufficientemente degradate che attraversano una mucosa eccessivamente permeabile possono essere riconosciute come "non-self". Gli anticorpi possono quindi bersagliare sia la componente "non-self" sia il tessuto al quale essa si è fissata;</w:t>
      </w:r>
    </w:p>
    <w:p>
      <w:pPr>
        <w:pStyle w:val="ListBullet"/>
        <w:spacing w:after="50" w:line="252" w:lineRule="auto"/>
        <w:ind w:left="595" w:hanging="142"/>
      </w:pPr>
      <w:r>
        <w:t>carenze di micronutrienti: un assorbimento alterato può determinare carenze di vitamine, minerali, acidi grassi essenziali e altri micronutrienti;</w:t>
      </w:r>
    </w:p>
    <w:p>
      <w:pPr>
        <w:pStyle w:val="ListBullet"/>
        <w:spacing w:after="50" w:line="252" w:lineRule="auto"/>
        <w:ind w:left="595" w:hanging="142"/>
      </w:pPr>
      <w:r>
        <w:t>sovraccarico epatico: un aumento del carico del sistema portale da parte di sostanze provenienti dal lume intestinale può incrementare il lavoro di detossificazione del fegato.</w:t>
      </w:r>
    </w:p>
    <w:p>
      <w:pPr>
        <w:spacing w:after="80" w:line="252" w:lineRule="auto"/>
      </w:pPr>
      <w:r>
        <w:rPr>
          <w:b w:val="0"/>
          <w:i w:val="0"/>
        </w:rPr>
        <w:t>Le tossine vengono captate dal fegato. "Questo carico di lavoro supplementare rallenta il metabolismo epatico. Il fegato lascia progressivamente passare nel sangue un gran numero di scorie metaboliche. L’organismo tenterà di eliminare queste sostanze tossiche attraverso altre vie naturali di eliminazione, gli emuntori: pelle, polmoni, reni e intestino. Quando la capacità della via di eliminazione è superata, queste sostanze si depositano nei tessuti (muscoli, articolazioni, cervello, vasi, ecc.)". Questo corrisponde alla teoria del sovraccarico o dell’intossicazione tissutale, sostenuta dal Dr Jean Seignalet nel suo libro L’alimentation ou la troisième médecine, Collection Ecologie humaine.</w:t>
      </w:r>
    </w:p>
    <w:p>
      <w:pPr>
        <w:pStyle w:val="ListBullet"/>
        <w:spacing w:after="50" w:line="252" w:lineRule="auto"/>
        <w:ind w:left="340" w:hanging="142"/>
      </w:pPr>
      <w:r>
        <w:t>All'interno di questo modello, tale disfunzione è descritta come contributiva a disturbi digestivi, dolore osteoarticolare, muscolare e tendineo, infezioni ricorrenti e disturbi comportamentali.</w:t>
      </w:r>
    </w:p>
    <w:p>
      <w:pPr>
        <w:pStyle w:val="Heading2"/>
        <w:spacing w:after="120" w:line="252" w:lineRule="auto" w:before="200"/>
      </w:pPr>
      <w:r>
        <w:rPr>
          <w:b w:val="0"/>
          <w:i w:val="0"/>
        </w:rPr>
        <w:t>Rilevanza in ROP</w:t>
      </w:r>
    </w:p>
    <w:p>
      <w:pPr>
        <w:spacing w:after="80" w:line="252" w:lineRule="auto"/>
      </w:pPr>
      <w:r>
        <w:rPr>
          <w:b w:val="0"/>
          <w:i w:val="0"/>
        </w:rPr>
        <w:t>In presenza di dolore e fissazioni osteomuscoloarticolari, soprattutto in assenza di trauma evidente o sovraccarico, l'approccio ROP invita il professionista a considerare un possibile legame con una disfunzione viscerale.</w:t>
      </w:r>
    </w:p>
    <w:p>
      <w:pPr>
        <w:pStyle w:val="ListBullet"/>
        <w:spacing w:after="50" w:line="252" w:lineRule="auto"/>
        <w:ind w:left="340" w:hanging="142"/>
      </w:pPr>
      <w:r>
        <w:t>Disbiosi: la disbiosi corrisponde a un'alterazione del microbiota.</w:t>
      </w:r>
    </w:p>
    <w:p>
      <w:pPr>
        <w:pStyle w:val="ListBullet"/>
        <w:spacing w:after="50" w:line="252" w:lineRule="auto"/>
        <w:ind w:left="340" w:hanging="142"/>
      </w:pPr>
      <w:r>
        <w:t>Cause: la relazione armoniosa e commensale tra batteri e ospite intestinale può essere alterata da stress, infiammazione, infezione, cattive abitudini di vita o squilibrio alimentare - eccesso di alcol, zuccheri o proteine, oppure insufficiente apporto di fibre -, terapia antibiotica, alcune esposizioni ambientali, nonché fissazioni vertebrali e fibrosi dell'intestino e delle sue inserzioni.</w:t>
      </w:r>
    </w:p>
    <w:p>
      <w:pPr>
        <w:spacing w:after="80" w:line="252" w:lineRule="auto"/>
      </w:pPr>
      <w:r>
        <w:rPr>
          <w:b w:val="0"/>
          <w:i w:val="0"/>
        </w:rPr>
        <w:t>Quando la composizione del microbiota si modifica, con riduzione della diversità o squilibrio tra specie commensali e specie potenzialmente patogene, la protezione della mucosa può risultare alterata.</w:t>
      </w:r>
    </w:p>
    <w:p>
      <w:pPr>
        <w:spacing w:after="80" w:line="252" w:lineRule="auto"/>
      </w:pPr>
      <w:r>
        <w:rPr>
          <w:b w:val="0"/>
          <w:i w:val="0"/>
        </w:rPr>
        <w:t>La fermentazione alimentare fisiologica può allora lasciare spazio a fermentazioni anomale o a fenomeni di putrefazione.</w:t>
      </w:r>
    </w:p>
    <w:p>
      <w:pPr>
        <w:spacing w:after="80" w:line="252" w:lineRule="auto"/>
      </w:pPr>
      <w:r>
        <w:rPr>
          <w:b w:val="0"/>
          <w:i w:val="0"/>
        </w:rPr>
        <w:t>L'iperpermeabilità intestinale può essere considerata sia causa sia conseguenza della disbiosi; le due condizioni possono mantenersi reciprocamente.</w:t>
      </w:r>
    </w:p>
    <w:p>
      <w:pPr>
        <w:spacing w:after="80" w:line="252" w:lineRule="auto"/>
      </w:pPr>
      <w:r>
        <w:rPr>
          <w:b w:val="0"/>
          <w:i w:val="0"/>
        </w:rPr>
        <w:t>Conseguenze: la massima di Ippocrate, "tutte le malattie iniziano nell'intestino", deve essere intesa come un'intuizione storica piuttosto che come un'affermazione universale letterale. Più rigorosamente, secondo il Professor Sokol, non bisogna confondere correlazione e causalità quando si discutono disbiosi e iperpermeabilità intestinale, che coesistono frequentemente.</w:t>
      </w:r>
    </w:p>
    <w:p>
      <w:pPr>
        <w:spacing w:after="80" w:line="252" w:lineRule="auto"/>
      </w:pPr>
      <w:r>
        <w:rPr>
          <w:b w:val="0"/>
          <w:i w:val="0"/>
        </w:rPr>
        <w:t>La disbiosi è considerata un fattore associato in molte patologie, tra cui in particolare:</w:t>
      </w:r>
    </w:p>
    <w:p>
      <w:pPr>
        <w:pStyle w:val="ListBullet"/>
        <w:spacing w:after="50" w:line="252" w:lineRule="auto"/>
        <w:ind w:left="340" w:hanging="142"/>
      </w:pPr>
      <w:r>
        <w:t>rettocolite ulcerosa, tiroidite, adrenalite;</w:t>
      </w:r>
    </w:p>
    <w:p>
      <w:pPr>
        <w:pStyle w:val="ListBullet"/>
        <w:spacing w:after="50" w:line="252" w:lineRule="auto"/>
        <w:ind w:left="340" w:hanging="142"/>
      </w:pPr>
      <w:r>
        <w:t>asma, sinusite;</w:t>
      </w:r>
    </w:p>
    <w:p>
      <w:pPr>
        <w:pStyle w:val="ListBullet"/>
        <w:spacing w:after="50" w:line="252" w:lineRule="auto"/>
        <w:ind w:left="340" w:hanging="142"/>
      </w:pPr>
      <w:r>
        <w:t>allergie;</w:t>
      </w:r>
    </w:p>
    <w:p>
      <w:pPr>
        <w:pStyle w:val="ListBullet"/>
        <w:spacing w:after="50" w:line="252" w:lineRule="auto"/>
        <w:ind w:left="340" w:hanging="142"/>
      </w:pPr>
      <w:r>
        <w:t>artralgie, in particolare lombalgia;</w:t>
      </w:r>
    </w:p>
    <w:p>
      <w:pPr>
        <w:pStyle w:val="ListBullet"/>
        <w:spacing w:after="50" w:line="252" w:lineRule="auto"/>
        <w:ind w:left="340" w:hanging="142"/>
      </w:pPr>
      <w:r>
        <w:t>fibromialgia;</w:t>
      </w:r>
    </w:p>
    <w:p>
      <w:pPr>
        <w:pStyle w:val="ListBullet"/>
        <w:spacing w:after="50" w:line="252" w:lineRule="auto"/>
        <w:ind w:left="340" w:hanging="142"/>
      </w:pPr>
      <w:r>
        <w:t>cistite;</w:t>
      </w:r>
    </w:p>
    <w:p>
      <w:pPr>
        <w:pStyle w:val="ListBullet"/>
        <w:spacing w:after="50" w:line="252" w:lineRule="auto"/>
        <w:ind w:left="340" w:hanging="142"/>
      </w:pPr>
      <w:r>
        <w:t>alcuni stati depressivi;</w:t>
      </w:r>
    </w:p>
    <w:p>
      <w:pPr>
        <w:pStyle w:val="ListBullet"/>
        <w:spacing w:after="50" w:line="252" w:lineRule="auto"/>
        <w:ind w:left="340" w:hanging="142"/>
      </w:pPr>
      <w:r>
        <w:t>disturbi della placca dentale;</w:t>
      </w:r>
    </w:p>
    <w:p>
      <w:pPr>
        <w:pStyle w:val="ListBullet"/>
        <w:spacing w:after="50" w:line="252" w:lineRule="auto"/>
        <w:ind w:left="340" w:hanging="142"/>
      </w:pPr>
      <w:r>
        <w:t>ecc.</w:t>
      </w:r>
    </w:p>
    <w:p>
      <w:pPr>
        <w:spacing w:after="80" w:line="252" w:lineRule="auto"/>
      </w:pPr>
      <w:r>
        <w:rPr>
          <w:b w:val="0"/>
          <w:i w:val="0"/>
        </w:rPr>
        <w:t>Alcuni autori, tra cui il Dr Donatini, specialista del microbiota, suggeriscono che alcune malattie neurodegenerative, come il morbo di Parkinson, la sclerosi multipla o il morbo di Alzheimer, potrebbero essere collegate al sistema nervoso enterico tramite il nervo vago.</w:t>
      </w:r>
    </w:p>
    <w:p>
      <w:pPr>
        <w:pStyle w:val="ListBullet"/>
        <w:spacing w:after="50" w:line="252" w:lineRule="auto"/>
        <w:ind w:left="340" w:hanging="142"/>
      </w:pPr>
      <w:r>
        <w:t>Segni di allarme di disbiosi e iperpermeabilità intestinale:</w:t>
      </w:r>
    </w:p>
    <w:p>
      <w:pPr>
        <w:pStyle w:val="ListBullet"/>
        <w:spacing w:after="50" w:line="252" w:lineRule="auto"/>
        <w:ind w:left="595" w:hanging="142"/>
      </w:pPr>
      <w:r>
        <w:t>alito cattivo;</w:t>
      </w:r>
    </w:p>
    <w:p>
      <w:pPr>
        <w:pStyle w:val="ListBullet"/>
        <w:spacing w:after="50" w:line="252" w:lineRule="auto"/>
        <w:ind w:left="595" w:hanging="142"/>
      </w:pPr>
      <w:r>
        <w:t>eruttazioni;</w:t>
      </w:r>
    </w:p>
    <w:p>
      <w:pPr>
        <w:pStyle w:val="ListBullet"/>
        <w:spacing w:after="50" w:line="252" w:lineRule="auto"/>
        <w:ind w:left="595" w:hanging="142"/>
      </w:pPr>
      <w:r>
        <w:t>aerocolia;</w:t>
      </w:r>
    </w:p>
    <w:p>
      <w:pPr>
        <w:pStyle w:val="ListBullet"/>
        <w:spacing w:after="50" w:line="252" w:lineRule="auto"/>
        <w:ind w:left="595" w:hanging="142"/>
      </w:pPr>
      <w:r>
        <w:t>gas maleodoranti;</w:t>
      </w:r>
    </w:p>
    <w:p>
      <w:pPr>
        <w:pStyle w:val="ListBullet"/>
        <w:spacing w:after="50" w:line="252" w:lineRule="auto"/>
        <w:ind w:left="595" w:hanging="142"/>
      </w:pPr>
      <w:r>
        <w:t>stipsi/diarrea;</w:t>
      </w:r>
    </w:p>
    <w:p>
      <w:pPr>
        <w:pStyle w:val="ListBullet"/>
        <w:spacing w:after="50" w:line="252" w:lineRule="auto"/>
        <w:ind w:left="595" w:hanging="142"/>
      </w:pPr>
      <w:r>
        <w:t>pirosi gastrica;</w:t>
      </w:r>
    </w:p>
    <w:p>
      <w:pPr>
        <w:pStyle w:val="ListBullet"/>
        <w:spacing w:after="50" w:line="252" w:lineRule="auto"/>
        <w:ind w:left="595" w:hanging="142"/>
      </w:pPr>
      <w:r>
        <w:t>desiderio eccessivo di zuccheri e carne cruda.</w:t>
      </w:r>
    </w:p>
    <w:p>
      <w:pPr>
        <w:pStyle w:val="ListBullet"/>
        <w:spacing w:after="50" w:line="252" w:lineRule="auto"/>
        <w:ind w:left="340" w:hanging="142"/>
      </w:pPr>
      <w:r>
        <w:t>Diagnosi di esclusione: alcuni sintomi devono indurre il paziente a consultare un medico:</w:t>
      </w:r>
    </w:p>
    <w:p>
      <w:pPr>
        <w:pStyle w:val="ListBullet"/>
        <w:spacing w:after="50" w:line="252" w:lineRule="auto"/>
        <w:ind w:left="595" w:hanging="142"/>
      </w:pPr>
      <w:r>
        <w:t>febbre;</w:t>
      </w:r>
    </w:p>
    <w:p>
      <w:pPr>
        <w:pStyle w:val="ListBullet"/>
        <w:spacing w:after="50" w:line="252" w:lineRule="auto"/>
        <w:ind w:left="595" w:hanging="142"/>
      </w:pPr>
      <w:r>
        <w:t>sangue rosso o nero nelle feci;</w:t>
      </w:r>
    </w:p>
    <w:p>
      <w:pPr>
        <w:pStyle w:val="ListBullet"/>
        <w:spacing w:after="50" w:line="252" w:lineRule="auto"/>
        <w:ind w:left="595" w:hanging="142"/>
      </w:pPr>
      <w:r>
        <w:t>disidratazione importante;</w:t>
      </w:r>
    </w:p>
    <w:p>
      <w:pPr>
        <w:pStyle w:val="ListBullet"/>
        <w:spacing w:after="50" w:line="252" w:lineRule="auto"/>
        <w:ind w:left="595" w:hanging="142"/>
      </w:pPr>
      <w:r>
        <w:t>perdita di peso significativa e non spiegata;</w:t>
      </w:r>
    </w:p>
    <w:p>
      <w:pPr>
        <w:pStyle w:val="ListBullet"/>
        <w:spacing w:after="50" w:line="252" w:lineRule="auto"/>
        <w:ind w:left="595" w:hanging="142"/>
      </w:pPr>
      <w:r>
        <w:t>alternanza di stipsi e diarrea;</w:t>
      </w:r>
    </w:p>
    <w:p>
      <w:pPr>
        <w:pStyle w:val="ListBullet"/>
        <w:spacing w:after="50" w:line="252" w:lineRule="auto"/>
        <w:ind w:left="595" w:hanging="142"/>
      </w:pPr>
      <w:r>
        <w:t>vomito;</w:t>
      </w:r>
    </w:p>
    <w:p>
      <w:pPr>
        <w:pStyle w:val="ListBullet"/>
        <w:spacing w:after="50" w:line="252" w:lineRule="auto"/>
        <w:ind w:left="595" w:hanging="142"/>
      </w:pPr>
      <w:r>
        <w:t>dolore colico in regione ombelicale;</w:t>
      </w:r>
    </w:p>
    <w:p>
      <w:pPr>
        <w:pStyle w:val="ListBullet"/>
        <w:spacing w:after="50" w:line="252" w:lineRule="auto"/>
        <w:ind w:left="595" w:hanging="142"/>
      </w:pPr>
      <w:r>
        <w:t>meteorismo;</w:t>
      </w:r>
    </w:p>
    <w:p>
      <w:pPr>
        <w:pStyle w:val="ListBullet"/>
        <w:spacing w:after="50" w:line="252" w:lineRule="auto"/>
        <w:ind w:left="595" w:hanging="142"/>
      </w:pPr>
      <w:r>
        <w:t>occlusione intestinale: l'arresto di feci e gas può derivare da ileo meccanico o da ileo paralitico. Il termine ileo indica un disturbo del transito intestinale. L'ileo meccanico è causato da un'ostruzione, come un tumore, aderenze o briglie postoperatorie, mentre l'ileo paralitico corrisponde a un'ostruzione funzionale dovuta ad atonia della peristalsi intestinale (cfr. Indicazioni).</w:t>
      </w:r>
    </w:p>
    <w:p>
      <w:pPr>
        <w:pStyle w:val="ListBullet"/>
        <w:spacing w:after="50" w:line="252" w:lineRule="auto"/>
        <w:ind w:left="595" w:hanging="142"/>
      </w:pPr>
      <w:r>
        <w:t>A differenza della peritonite, l'occlusione intestinale non si associa di norma ad addome a tavola né a marcata contrattura di difesa. All'inizio può osservarsi un'iperperistalsi visibile a monte, quando l'intestino tenta di superare l'ostruzione. La distensione a monte può poi arrestare la motilità intestinale a valle attraverso il riflesso intestino-intestinale.</w:t>
      </w:r>
    </w:p>
    <w:p>
      <w:pPr>
        <w:pStyle w:val="ListBullet"/>
        <w:spacing w:after="50" w:line="252" w:lineRule="auto"/>
        <w:ind w:left="340" w:hanging="142"/>
      </w:pPr>
      <w:r>
        <w:t>ernia inguinale strozzata irriducibile;</w:t>
      </w:r>
    </w:p>
    <w:p>
      <w:pPr>
        <w:pStyle w:val="ListBullet"/>
        <w:spacing w:after="50" w:line="252" w:lineRule="auto"/>
        <w:ind w:left="340" w:hanging="142"/>
      </w:pPr>
      <w:r>
        <w:t>presenza di linfonodi alla palpazione addominale e a livello dell’angolo venoso sinistro, noto come angolo venoso di Pirogov (linfonodo di Troisier): sospetto di cancro;</w:t>
      </w:r>
    </w:p>
    <w:p>
      <w:pPr>
        <w:pStyle w:val="ListBullet"/>
        <w:spacing w:after="50" w:line="252" w:lineRule="auto"/>
        <w:ind w:left="340" w:hanging="142"/>
      </w:pPr>
      <w:r>
        <w:t>segno del ballottamento, o segno del "cubetto di ghiaccio", suggestivo di versamento intra-addominale o ascite.</w:t>
      </w:r>
    </w:p>
    <w:p>
      <w:pPr>
        <w:pStyle w:val="ListBullet"/>
        <w:spacing w:after="50" w:line="252" w:lineRule="auto"/>
        <w:ind w:left="340" w:hanging="142"/>
      </w:pPr>
      <w:r>
        <w:t>Indicazioni: patologie funzionali:</w:t>
      </w:r>
    </w:p>
    <w:p>
      <w:pPr>
        <w:pStyle w:val="ListBullet"/>
        <w:spacing w:after="50" w:line="252" w:lineRule="auto"/>
        <w:ind w:left="595" w:hanging="142"/>
      </w:pPr>
      <w:r>
        <w:t>disbiosi;</w:t>
      </w:r>
    </w:p>
    <w:p>
      <w:pPr>
        <w:pStyle w:val="ListBullet"/>
        <w:spacing w:after="50" w:line="252" w:lineRule="auto"/>
        <w:ind w:left="595" w:hanging="142"/>
      </w:pPr>
      <w:r>
        <w:t>esiti di gastroenterite;</w:t>
      </w:r>
    </w:p>
    <w:p>
      <w:pPr>
        <w:pStyle w:val="ListBullet"/>
        <w:spacing w:after="50" w:line="252" w:lineRule="auto"/>
        <w:ind w:left="595" w:hanging="142"/>
      </w:pPr>
      <w:r>
        <w:t>enteroptosi: la massa intestinale è attratta verso il basso. La tensione anomala dell'intestino tenue si associa a vasocostrizione, stasi venosa e linfatica e spasmi causati dall'irritazione dei plessi nervosi perivascolari. È possibile anche un effetto sfavorevole sul fegato attraverso la pressione portale. L'enteroptosi è inoltre descritta come potenzialmente in grado di spingere caudalmente la vescica e contribuire nel lungo periodo all'incontinenza urinaria da sforzo. Cfr. Capitolo 18, Vescica, pag...</w:t>
      </w:r>
    </w:p>
    <w:p>
      <w:pPr>
        <w:pStyle w:val="ListBullet"/>
        <w:spacing w:after="50" w:line="252" w:lineRule="auto"/>
        <w:ind w:left="595" w:hanging="142"/>
      </w:pPr>
      <w:r>
        <w:t>ileo paralitico:</w:t>
      </w:r>
    </w:p>
    <w:p>
      <w:pPr>
        <w:pStyle w:val="ListBullet"/>
        <w:spacing w:after="50" w:line="252" w:lineRule="auto"/>
        <w:ind w:left="850" w:hanging="142"/>
      </w:pPr>
      <w:r>
        <w:t>Sintomi:</w:t>
      </w:r>
    </w:p>
    <w:p>
      <w:pPr>
        <w:pStyle w:val="ListBullet"/>
        <w:spacing w:after="50" w:line="252" w:lineRule="auto"/>
        <w:ind w:left="1106" w:hanging="142"/>
      </w:pPr>
      <w:r>
        <w:t>dolore scarso o assente correlato alla distensione intestinale;</w:t>
      </w:r>
    </w:p>
    <w:p>
      <w:pPr>
        <w:pStyle w:val="ListBullet"/>
        <w:spacing w:after="50" w:line="252" w:lineRule="auto"/>
        <w:ind w:left="1106" w:hanging="142"/>
      </w:pPr>
      <w:r>
        <w:t>arresto incompleto di feci e gas;</w:t>
      </w:r>
    </w:p>
    <w:p>
      <w:pPr>
        <w:pStyle w:val="ListBullet"/>
        <w:spacing w:after="50" w:line="252" w:lineRule="auto"/>
        <w:ind w:left="1106" w:hanging="142"/>
      </w:pPr>
      <w:r>
        <w:t>meteorismo;</w:t>
      </w:r>
    </w:p>
    <w:p>
      <w:pPr>
        <w:pStyle w:val="ListBullet"/>
        <w:spacing w:after="50" w:line="252" w:lineRule="auto"/>
        <w:ind w:left="1106" w:hanging="142"/>
      </w:pPr>
      <w:r>
        <w:t>pochi borborigmi.</w:t>
      </w:r>
    </w:p>
    <w:p>
      <w:pPr>
        <w:pStyle w:val="ListBullet"/>
        <w:spacing w:after="50" w:line="252" w:lineRule="auto"/>
        <w:ind w:left="850" w:hanging="142"/>
      </w:pPr>
      <w:r>
        <w:t>Fisiopatologia: l'ileo paralitico corrisponde all'inibizione della motilità e delle secrezioni intestinali causata dall'irritazione del peritoneo a prevalenza simpatica (cfr. Innervazione del peritoneo, pag...).</w:t>
      </w:r>
    </w:p>
    <w:p>
      <w:pPr>
        <w:pStyle w:val="ListBullet"/>
        <w:spacing w:after="50" w:line="252" w:lineRule="auto"/>
        <w:ind w:left="850" w:hanging="142"/>
      </w:pPr>
      <w:r>
        <w:t>Cause:</w:t>
      </w:r>
    </w:p>
    <w:p>
      <w:pPr>
        <w:pStyle w:val="ListBullet"/>
        <w:spacing w:after="50" w:line="252" w:lineRule="auto"/>
        <w:ind w:left="1106" w:hanging="142"/>
      </w:pPr>
      <w:r>
        <w:t>chirurgia: l'anestesia, in particolare l'analgesia oppioide, rallenta il transito intestinale;</w:t>
      </w:r>
    </w:p>
    <w:p>
      <w:pPr>
        <w:pStyle w:val="ListBullet"/>
        <w:spacing w:after="50" w:line="252" w:lineRule="auto"/>
        <w:ind w:left="1106" w:hanging="142"/>
      </w:pPr>
      <w:r>
        <w:t>ipokaliemia dovuta a vomito, diarrea o malattie digestive;</w:t>
      </w:r>
    </w:p>
    <w:p>
      <w:pPr>
        <w:pStyle w:val="ListBullet"/>
        <w:spacing w:after="50" w:line="252" w:lineRule="auto"/>
        <w:ind w:left="1106" w:hanging="142"/>
      </w:pPr>
      <w:r>
        <w:t>uso eccessivo di lassativi irritanti;</w:t>
      </w:r>
    </w:p>
    <w:p>
      <w:pPr>
        <w:pStyle w:val="ListBullet"/>
        <w:spacing w:after="50" w:line="252" w:lineRule="auto"/>
        <w:ind w:left="1106" w:hanging="142"/>
      </w:pPr>
      <w:r>
        <w:t>infarto mesenterico;</w:t>
      </w:r>
    </w:p>
    <w:p>
      <w:pPr>
        <w:pStyle w:val="ListBullet"/>
        <w:spacing w:after="50" w:line="252" w:lineRule="auto"/>
        <w:ind w:left="1106" w:hanging="142"/>
      </w:pPr>
      <w:r>
        <w:t>dolore da angina intestinale postprandiale;</w:t>
      </w:r>
    </w:p>
    <w:p>
      <w:pPr>
        <w:pStyle w:val="ListBullet"/>
        <w:spacing w:after="50" w:line="252" w:lineRule="auto"/>
        <w:ind w:left="1106" w:hanging="142"/>
      </w:pPr>
      <w:r>
        <w:t>qualsiasi dolore addominopelvico: colica renale, appendicite, salpingite.</w:t>
      </w:r>
    </w:p>
    <w:p>
      <w:pPr>
        <w:pStyle w:val="Heading1"/>
        <w:spacing w:after="120" w:line="252" w:lineRule="auto" w:before="200"/>
      </w:pPr>
      <w:r>
        <w:rPr>
          <w:b w:val="0"/>
          <w:i w:val="0"/>
        </w:rPr>
        <w:t>Malattia di Crohn</w:t>
      </w:r>
    </w:p>
    <w:p>
      <w:pPr>
        <w:spacing w:after="80" w:line="252" w:lineRule="auto"/>
      </w:pPr>
      <w:r>
        <w:rPr>
          <w:b w:val="0"/>
          <w:i w:val="0"/>
        </w:rPr>
        <w:t>La malattia di Crohn interessa principalmente l'ileo e il colon.</w:t>
      </w:r>
    </w:p>
    <w:p>
      <w:pPr>
        <w:pStyle w:val="ListBullet"/>
        <w:spacing w:after="50" w:line="252" w:lineRule="auto"/>
        <w:ind w:left="340" w:hanging="142"/>
      </w:pPr>
      <w:r>
        <w:t>Cause: diversi fattori sono associati alla malattia di Crohn:</w:t>
      </w:r>
    </w:p>
    <w:p>
      <w:pPr>
        <w:pStyle w:val="ListBullet"/>
        <w:spacing w:after="50" w:line="252" w:lineRule="auto"/>
        <w:ind w:left="595" w:hanging="142"/>
      </w:pPr>
      <w:r>
        <w:t>genetica;</w:t>
      </w:r>
    </w:p>
    <w:p>
      <w:pPr>
        <w:pStyle w:val="ListBullet"/>
        <w:spacing w:after="50" w:line="252" w:lineRule="auto"/>
        <w:ind w:left="595" w:hanging="142"/>
      </w:pPr>
      <w:r>
        <w:t>disbiosi;</w:t>
      </w:r>
    </w:p>
    <w:p>
      <w:pPr>
        <w:pStyle w:val="ListBullet"/>
        <w:spacing w:after="50" w:line="252" w:lineRule="auto"/>
        <w:ind w:left="595" w:hanging="142"/>
      </w:pPr>
      <w:r>
        <w:t>ambiente;</w:t>
      </w:r>
    </w:p>
    <w:p>
      <w:pPr>
        <w:pStyle w:val="ListBullet"/>
        <w:spacing w:after="50" w:line="252" w:lineRule="auto"/>
        <w:ind w:left="595" w:hanging="142"/>
      </w:pPr>
      <w:r>
        <w:t>fattori emotivi, che possono modulare il vissuto della malattia e, in alcuni casi, le riacutizzazioni.</w:t>
      </w:r>
    </w:p>
    <w:p>
      <w:pPr>
        <w:pStyle w:val="ListBullet"/>
        <w:spacing w:after="50" w:line="252" w:lineRule="auto"/>
        <w:ind w:left="340" w:hanging="142"/>
      </w:pPr>
      <w:r>
        <w:t>Sintomi:</w:t>
      </w:r>
    </w:p>
    <w:p>
      <w:pPr>
        <w:pStyle w:val="ListBullet"/>
        <w:spacing w:after="50" w:line="252" w:lineRule="auto"/>
        <w:ind w:left="595" w:hanging="142"/>
      </w:pPr>
      <w:r>
        <w:t>diarrea correlata all'infiammazione della parete intestinale;</w:t>
      </w:r>
    </w:p>
    <w:p>
      <w:pPr>
        <w:pStyle w:val="ListBullet"/>
        <w:spacing w:after="50" w:line="252" w:lineRule="auto"/>
        <w:ind w:left="595" w:hanging="142"/>
      </w:pPr>
      <w:r>
        <w:t>dolore addominopelvico;</w:t>
      </w:r>
    </w:p>
    <w:p>
      <w:pPr>
        <w:pStyle w:val="ListBullet"/>
        <w:spacing w:after="50" w:line="252" w:lineRule="auto"/>
        <w:ind w:left="595" w:hanging="142"/>
      </w:pPr>
      <w:r>
        <w:t>perdita di peso;</w:t>
      </w:r>
    </w:p>
    <w:p>
      <w:pPr>
        <w:pStyle w:val="ListBullet"/>
        <w:spacing w:after="50" w:line="252" w:lineRule="auto"/>
        <w:ind w:left="595" w:hanging="142"/>
      </w:pPr>
      <w:r>
        <w:t>astenia;</w:t>
      </w:r>
    </w:p>
    <w:p>
      <w:pPr>
        <w:pStyle w:val="ListBullet"/>
        <w:spacing w:after="50" w:line="252" w:lineRule="auto"/>
        <w:ind w:left="595" w:hanging="142"/>
      </w:pPr>
      <w:r>
        <w:t>afte orali;</w:t>
      </w:r>
    </w:p>
    <w:p>
      <w:pPr>
        <w:pStyle w:val="ListBullet"/>
        <w:spacing w:after="50" w:line="252" w:lineRule="auto"/>
        <w:ind w:left="595" w:hanging="142"/>
      </w:pPr>
      <w:r>
        <w:t>lombalgia;</w:t>
      </w:r>
    </w:p>
    <w:p>
      <w:pPr>
        <w:pStyle w:val="ListBullet"/>
        <w:spacing w:after="50" w:line="252" w:lineRule="auto"/>
        <w:ind w:left="595" w:hanging="142"/>
      </w:pPr>
      <w:r>
        <w:t>eritema nodoso degli arti;</w:t>
      </w:r>
    </w:p>
    <w:p>
      <w:pPr>
        <w:pStyle w:val="ListBullet"/>
        <w:spacing w:after="50" w:line="252" w:lineRule="auto"/>
        <w:ind w:left="595" w:hanging="142"/>
      </w:pPr>
      <w:r>
        <w:t>coinvolgimento pancreatico;</w:t>
      </w:r>
    </w:p>
    <w:p>
      <w:pPr>
        <w:pStyle w:val="ListBullet"/>
        <w:spacing w:after="50" w:line="252" w:lineRule="auto"/>
        <w:ind w:left="595" w:hanging="142"/>
      </w:pPr>
      <w:r>
        <w:t>sindrome depressiva.</w:t>
      </w:r>
    </w:p>
    <w:p>
      <w:pPr>
        <w:pStyle w:val="ListBullet"/>
        <w:spacing w:after="50" w:line="252" w:lineRule="auto"/>
        <w:ind w:left="340" w:hanging="142"/>
      </w:pPr>
      <w:r>
        <w:t>Decorso:</w:t>
      </w:r>
    </w:p>
    <w:p>
      <w:pPr>
        <w:pStyle w:val="ListBullet"/>
        <w:spacing w:after="50" w:line="252" w:lineRule="auto"/>
        <w:ind w:left="595" w:hanging="142"/>
      </w:pPr>
      <w:r>
        <w:t>cronicità;</w:t>
      </w:r>
    </w:p>
    <w:p>
      <w:pPr>
        <w:pStyle w:val="ListBullet"/>
        <w:spacing w:after="50" w:line="252" w:lineRule="auto"/>
        <w:ind w:left="595" w:hanging="142"/>
      </w:pPr>
      <w:r>
        <w:t>aumento del rischio di cancro colorettale in funzione dell’estensione e della durata della malattia;</w:t>
      </w:r>
    </w:p>
    <w:p>
      <w:pPr>
        <w:pStyle w:val="ListBullet"/>
        <w:spacing w:after="50" w:line="252" w:lineRule="auto"/>
        <w:ind w:left="595" w:hanging="142"/>
      </w:pPr>
      <w:r>
        <w:t>questi pazienti sono spesso tenuti a seguire una dieta rigorosa povera di fibre.</w:t>
      </w:r>
    </w:p>
    <w:p>
      <w:pPr>
        <w:pStyle w:val="Heading2"/>
        <w:spacing w:after="120" w:line="252" w:lineRule="auto" w:before="200"/>
      </w:pPr>
      <w:r>
        <w:rPr>
          <w:b w:val="0"/>
          <w:i w:val="0"/>
        </w:rPr>
        <w:t>Rilevanza in ROP</w:t>
      </w:r>
    </w:p>
    <w:p>
      <w:pPr>
        <w:spacing w:after="80" w:line="252" w:lineRule="auto"/>
      </w:pPr>
      <w:r>
        <w:rPr>
          <w:b w:val="0"/>
          <w:i w:val="0"/>
        </w:rPr>
        <w:t>Nella nostra esperienza clinica, l'approccio ROP può contribuire ad alleviare alcuni dolori addominopelvici associati alla malattia di Crohn e a sostenere un miglioramento del transito intestinale.</w:t>
      </w:r>
    </w:p>
    <w:p>
      <w:pPr>
        <w:pStyle w:val="ListBullet"/>
        <w:spacing w:after="50" w:line="252" w:lineRule="auto"/>
        <w:ind w:left="340" w:hanging="142"/>
      </w:pPr>
      <w:r>
        <w:t>Zone riflesse podaliche: superfici plantari di entrambi i piedi:</w:t>
      </w:r>
    </w:p>
    <w:p>
      <w:pPr>
        <w:pStyle w:val="ListBullet"/>
        <w:spacing w:after="50" w:line="252" w:lineRule="auto"/>
        <w:ind w:left="595" w:hanging="142"/>
      </w:pPr>
      <w:r>
        <w:t>Sindrome generale di adattamento: cfr. Capitolo 2, Trattamento, e Capitolo 4, Sistema nervoso autonomo.</w:t>
      </w:r>
    </w:p>
    <w:p>
      <w:pPr>
        <w:pStyle w:val="ListBullet"/>
        <w:spacing w:after="50" w:line="252" w:lineRule="auto"/>
        <w:ind w:left="595" w:hanging="142"/>
      </w:pPr>
      <w:r>
        <w:t>Nervo vago (Figure 14.15 e 14.16);</w:t>
      </w:r>
    </w:p>
    <w:p>
      <w:pPr>
        <w:spacing w:after="100" w:line="252" w:lineRule="auto"/>
      </w:pPr>
      <w:r>
        <w:rPr>
          <w:b w:val="0"/>
          <w:i/>
        </w:rPr>
        <w:t>Figura 14.15. Territorio craniale e cervicale del nervo vago (in giallo)</w:t>
      </w:r>
    </w:p>
    <w:p>
      <w:pPr>
        <w:spacing w:after="100" w:line="252" w:lineRule="auto"/>
      </w:pPr>
      <w:r>
        <w:rPr>
          <w:b w:val="0"/>
          <w:i/>
        </w:rPr>
        <w:t>Figura 14.16. Territorio addominale sinistro del nervo vago e plesso celiaco (solare)</w:t>
      </w:r>
    </w:p>
    <w:p>
      <w:pPr>
        <w:spacing w:after="100" w:line="252" w:lineRule="auto"/>
      </w:pPr>
      <w:r>
        <w:rPr>
          <w:b w:val="0"/>
          <w:i/>
        </w:rPr>
        <w:t>Figura 14.17. Iato esofageo (nervi vaghi destro e sinistro) e cardias</w:t>
      </w:r>
    </w:p>
    <w:p>
      <w:pPr>
        <w:spacing w:after="100" w:line="252" w:lineRule="auto"/>
      </w:pPr>
      <w:r>
        <w:rPr>
          <w:b w:val="0"/>
          <w:i/>
        </w:rPr>
        <w:t>Figura 14.18. Piccola curvatura dello stomaco, ricca di fibre vagali (tra i due pollici)</w:t>
      </w:r>
    </w:p>
    <w:p>
      <w:pPr>
        <w:pStyle w:val="ListBullet"/>
        <w:spacing w:after="50" w:line="252" w:lineRule="auto"/>
        <w:ind w:left="595" w:hanging="142"/>
      </w:pPr>
      <w:r>
        <w:t>Colonna vertebrale e articolazioni costotrasversarie: catena gangliare laterovertebrale toracica Th8-Th10 (Figure 14.19 e 14.20);</w:t>
      </w:r>
    </w:p>
    <w:p>
      <w:pPr>
        <w:spacing w:after="100" w:line="252" w:lineRule="auto"/>
      </w:pPr>
      <w:r>
        <w:rPr>
          <w:b w:val="0"/>
          <w:i/>
        </w:rPr>
        <w:t>Figura 14.19. Sistema simpatico (origine spinale)</w:t>
      </w:r>
    </w:p>
    <w:p>
      <w:pPr>
        <w:spacing w:after="100" w:line="252" w:lineRule="auto"/>
      </w:pPr>
      <w:r>
        <w:rPr>
          <w:b w:val="0"/>
          <w:i/>
        </w:rPr>
        <w:t>Figura 14.20. Catena gangliare lombare e pilastri del diaframma (tra i due pollici)</w:t>
      </w:r>
    </w:p>
    <w:p>
      <w:pPr>
        <w:pStyle w:val="ListBullet"/>
        <w:spacing w:after="50" w:line="252" w:lineRule="auto"/>
        <w:ind w:left="595" w:hanging="142"/>
      </w:pPr>
      <w:r>
        <w:t>Plesso celiaco (solare) (Figure 14.16 e 14.21);</w:t>
      </w:r>
    </w:p>
    <w:p>
      <w:pPr>
        <w:spacing w:after="100" w:line="252" w:lineRule="auto"/>
      </w:pPr>
      <w:r>
        <w:rPr>
          <w:b w:val="0"/>
          <w:i/>
        </w:rPr>
        <w:t>Figura 14.21. Plesso celiaco (solare)</w:t>
      </w:r>
    </w:p>
    <w:p>
      <w:pPr>
        <w:pStyle w:val="ListBullet"/>
        <w:spacing w:after="50" w:line="252" w:lineRule="auto"/>
        <w:ind w:left="595" w:hanging="142"/>
      </w:pPr>
      <w:r>
        <w:t>Plesso lombare, come collegamento viscerosomatico (Figure 14.19 e 14.20).</w:t>
      </w:r>
    </w:p>
    <w:p>
      <w:pPr>
        <w:pStyle w:val="ListBullet"/>
        <w:spacing w:after="50" w:line="252" w:lineRule="auto"/>
        <w:ind w:left="340" w:hanging="142"/>
      </w:pPr>
      <w:r>
        <w:t>N.B. Nella nostra esperienza clinica, i disturbi funzionali intestinali si osservano spesso nelle donne in associazione con fattori ormonali ed emotivi.</w:t>
      </w:r>
    </w:p>
    <w:p>
      <w:pPr>
        <w:pStyle w:val="ListBullet"/>
        <w:spacing w:after="50" w:line="252" w:lineRule="auto"/>
        <w:ind w:left="340" w:hanging="142"/>
      </w:pPr>
      <w:r>
        <w:t>Sindrome locoregionale:</w:t>
      </w:r>
    </w:p>
    <w:p>
      <w:pPr>
        <w:pStyle w:val="ListBullet"/>
        <w:spacing w:after="50" w:line="252" w:lineRule="auto"/>
        <w:ind w:left="595" w:hanging="142"/>
      </w:pPr>
      <w:r>
        <w:t>Diaframma: inserzione del muscolo sospensore del duodeno, o muscolo di Treitz, sul pilastro destro (Figure 14.16 e 14.21);</w:t>
      </w:r>
    </w:p>
    <w:p>
      <w:pPr>
        <w:pStyle w:val="ListBullet"/>
        <w:spacing w:after="50" w:line="252" w:lineRule="auto"/>
        <w:ind w:left="595" w:hanging="142"/>
      </w:pPr>
      <w:r>
        <w:t>Stomaco (riflesso gastroenterico) (Figura 14.16);</w:t>
      </w:r>
    </w:p>
    <w:p>
      <w:pPr>
        <w:pStyle w:val="ListBullet"/>
        <w:spacing w:after="50" w:line="252" w:lineRule="auto"/>
        <w:ind w:left="595" w:hanging="142"/>
      </w:pPr>
      <w:r>
        <w:t>Radice del mesentere: una linea dalla flessione duodeno-digiunale all’ombelico, a livello di L3-L4 sulla superficie plantare del piede sinistro (Figure 14.22 e 14.25), seguita da una linea dalla valvola ileocecale all’ombelico sulla superficie plantare del piede destro (Figure 14.23 e 14.27);</w:t>
      </w:r>
    </w:p>
    <w:p>
      <w:pPr>
        <w:spacing w:after="100" w:line="252" w:lineRule="auto"/>
      </w:pPr>
      <w:r>
        <w:rPr>
          <w:b w:val="0"/>
          <w:i/>
        </w:rPr>
        <w:t>Figura 14.22. Radice del mesentere (tra la flessione duodeno-digiunale e l’ombelico)</w:t>
      </w:r>
    </w:p>
    <w:p>
      <w:pPr>
        <w:spacing w:after="100" w:line="252" w:lineRule="auto"/>
      </w:pPr>
      <w:r>
        <w:rPr>
          <w:b w:val="0"/>
          <w:i/>
        </w:rPr>
        <w:t>Figura 14.23. Radice del mesentere (tra la valvola ileocecale e l’ombelico)</w:t>
      </w:r>
    </w:p>
    <w:p>
      <w:pPr>
        <w:pStyle w:val="ListBullet"/>
        <w:spacing w:after="50" w:line="252" w:lineRule="auto"/>
        <w:ind w:left="595" w:hanging="142"/>
      </w:pPr>
      <w:r>
        <w:t>Intestino tenue (Figure 14.24, 14.25, 14.26 e 14.27):</w:t>
      </w:r>
    </w:p>
    <w:p>
      <w:pPr>
        <w:pStyle w:val="ListBullet"/>
        <w:spacing w:after="50" w:line="252" w:lineRule="auto"/>
        <w:ind w:left="850" w:hanging="142"/>
      </w:pPr>
      <w:r>
        <w:t>limite superiore: una linea orizzontale a livello dei processi stiloidei dei quinti metatarsi;</w:t>
      </w:r>
    </w:p>
    <w:p>
      <w:pPr>
        <w:pStyle w:val="ListBullet"/>
        <w:spacing w:after="50" w:line="252" w:lineRule="auto"/>
        <w:ind w:left="850" w:hanging="142"/>
      </w:pPr>
      <w:r>
        <w:t>limite inferiore: il margine anteriore dei talloni, corrispondente ai rami iliopubici;</w:t>
      </w:r>
    </w:p>
    <w:p>
      <w:pPr>
        <w:pStyle w:val="ListBullet"/>
        <w:spacing w:after="50" w:line="252" w:lineRule="auto"/>
        <w:ind w:left="850" w:hanging="142"/>
      </w:pPr>
      <w:r>
        <w:t>limite laterale:</w:t>
      </w:r>
    </w:p>
    <w:p>
      <w:pPr>
        <w:pStyle w:val="ListBullet"/>
        <w:spacing w:after="50" w:line="252" w:lineRule="auto"/>
        <w:ind w:left="1106" w:hanging="142"/>
      </w:pPr>
      <w:r>
        <w:t>digiuno: fino al margine laterale del piede sinistro;</w:t>
      </w:r>
    </w:p>
    <w:p>
      <w:pPr>
        <w:pStyle w:val="ListBullet"/>
        <w:spacing w:after="50" w:line="252" w:lineRule="auto"/>
        <w:ind w:left="1106" w:hanging="142"/>
      </w:pPr>
      <w:r>
        <w:t>ileo: allineato con il quarto dito del piede destro.</w:t>
      </w:r>
    </w:p>
    <w:p>
      <w:pPr>
        <w:spacing w:after="80" w:line="252" w:lineRule="auto"/>
      </w:pPr>
      <w:r>
        <w:rPr>
          <w:b w:val="0"/>
          <w:i w:val="0"/>
        </w:rPr>
        <w:t>N.B. Rispettare l’orientamento delle anse: orizzontale per il digiuno e verticale per l’ileo.</w:t>
      </w:r>
    </w:p>
    <w:p>
      <w:pPr>
        <w:spacing w:after="100" w:line="252" w:lineRule="auto"/>
      </w:pPr>
      <w:r>
        <w:rPr>
          <w:b w:val="0"/>
          <w:i/>
        </w:rPr>
        <w:t>Figura 14.24. Digiuno (limiti superiore e inferiore tra i due indici)</w:t>
      </w:r>
    </w:p>
    <w:p>
      <w:pPr>
        <w:spacing w:after="100" w:line="252" w:lineRule="auto"/>
      </w:pPr>
      <w:r>
        <w:rPr>
          <w:b w:val="0"/>
          <w:i/>
        </w:rPr>
        <w:t>Figura 14.25. Digiuno</w:t>
      </w:r>
    </w:p>
    <w:p>
      <w:pPr>
        <w:spacing w:after="100" w:line="252" w:lineRule="auto"/>
      </w:pPr>
      <w:r>
        <w:rPr>
          <w:b w:val="0"/>
          <w:i/>
        </w:rPr>
        <w:t>Figura 14.26. Ileo (limiti superiore e inferiore tra i due indici)</w:t>
      </w:r>
    </w:p>
    <w:p>
      <w:pPr>
        <w:spacing w:after="100" w:line="252" w:lineRule="auto"/>
      </w:pPr>
      <w:r>
        <w:rPr>
          <w:b w:val="0"/>
          <w:i/>
        </w:rPr>
        <w:t>Figura 14.27. Ileo e radice del mesentere</w:t>
      </w:r>
    </w:p>
    <w:p>
      <w:pPr>
        <w:pStyle w:val="Heading2"/>
        <w:spacing w:after="120" w:line="252" w:lineRule="auto" w:before="200"/>
      </w:pPr>
      <w:r>
        <w:rPr>
          <w:b w:val="0"/>
          <w:i w:val="0"/>
        </w:rPr>
        <w:t>Sistema limbico:</w:t>
      </w:r>
    </w:p>
    <w:p>
      <w:pPr>
        <w:pStyle w:val="ListBullet"/>
        <w:spacing w:after="50" w:line="252" w:lineRule="auto"/>
        <w:ind w:left="340" w:hanging="142"/>
      </w:pPr>
      <w:r>
        <w:t>Equilibrio cervello limbico-intestino tenue: ascolto-induzione, con un pollice sull’intestino tenue e l’altro sul cervello limbico (Figura 1.12).</w:t>
      </w:r>
    </w:p>
    <w:p>
      <w:pPr>
        <w:spacing w:after="100" w:line="252" w:lineRule="auto"/>
      </w:pPr>
      <w:r>
        <w:rPr>
          <w:b w:val="0"/>
          <w:i/>
        </w:rPr>
        <w:t>Figura 14.28. Tecnica di equilibrio viscerale-emozionale-intestino tenue (in questa figura, il pollice destro è sul fegato, usato come esempio)</w:t>
      </w:r>
    </w:p>
    <w:p>
      <w:pPr>
        <w:pStyle w:val="Heading1"/>
        <w:spacing w:after="120" w:line="252" w:lineRule="auto" w:before="200"/>
      </w:pPr>
      <w:r>
        <w:rPr>
          <w:b w:val="0"/>
          <w:i w:val="0"/>
        </w:rPr>
        <w:t>10. Rapporti viscerosomatici</w:t>
      </w:r>
    </w:p>
    <w:p>
      <w:pPr>
        <w:pStyle w:val="ListBullet"/>
        <w:spacing w:after="50" w:line="252" w:lineRule="auto"/>
        <w:ind w:left="340" w:hanging="142"/>
      </w:pPr>
      <w:r>
        <w:t>Fissazioni vertebrali da Th10 a Th12 e delle coste corrispondenti;</w:t>
      </w:r>
    </w:p>
    <w:p>
      <w:pPr>
        <w:pStyle w:val="ListBullet"/>
        <w:spacing w:after="50" w:line="252" w:lineRule="auto"/>
        <w:ind w:left="340" w:hanging="142"/>
      </w:pPr>
      <w:r>
        <w:t>L1 e L2.</w:t>
      </w:r>
    </w:p>
    <w:p>
      <w:pPr>
        <w:pStyle w:val="Heading1"/>
        <w:spacing w:after="120" w:line="252" w:lineRule="auto" w:before="200"/>
      </w:pPr>
      <w:r>
        <w:rPr>
          <w:b w:val="0"/>
          <w:i w:val="0"/>
        </w:rPr>
        <w:t>Rapporti viscero-emozionali</w:t>
      </w:r>
    </w:p>
    <w:p>
      <w:pPr>
        <w:pStyle w:val="ListBullet"/>
        <w:spacing w:after="50" w:line="252" w:lineRule="auto"/>
        <w:ind w:left="340" w:hanging="142"/>
      </w:pPr>
      <w:r>
        <w:t>L'addome, con il suo insieme di dolori e disturbi digestivi, può costituire un importante luogo di espressione somatica della tensione emotiva. Tale tensione può favorire un'iperattività simpatica a scapito dell'attività vagale.</w:t>
      </w:r>
    </w:p>
    <w:p>
      <w:pPr>
        <w:pStyle w:val="ListBullet"/>
        <w:spacing w:after="50" w:line="252" w:lineRule="auto"/>
        <w:ind w:left="340" w:hanging="142"/>
      </w:pPr>
      <w:r>
        <w:t>Sul piano emotivo, è difficile tracciare una distinzione netta tra intestino tenue e colon. Nel contesto clinico, la mucosa viene considerata sia ricevente sia emittente di emozioni. Poiché l'intestino è fortemente dipendente dagli ormoni, viene presentato qui come un organo particolarmente coinvolto nella somatizzazione a lungo termine. In questo modello, fibromialgia e spasmofilia sono osservate più spesso nelle donne, in ragione dell'interdipendenza ormonale e intestinale. Iperpermeabilità e disbiosi sono descritte come un terreno favorevole alla fibromialgia.</w:t>
      </w:r>
    </w:p>
    <w:p>
      <w:pPr>
        <w:spacing w:after="80" w:line="252" w:lineRule="auto"/>
      </w:pPr>
      <w:r>
        <w:rPr>
          <w:b w:val="0"/>
          <w:i w:val="0"/>
        </w:rPr>
        <w:t>Il cosiddetto profilo di personalità "intestinale" descrive spesso persone che si sentono a disagio nel proprio corpo. Questo profilo può associarsi a stanchezza mattutina, lombalgia, dolore al ginocchio e al piede, incluso l'alluce valgo, nonché a unghie striate e fragili. Tali persone possono sentirsi facilmente ferite o irritarsi con facilità, con un umore che tende a migliorare nel corso della giornata.</w:t>
      </w:r>
    </w:p>
    <w:p>
      <w:pPr>
        <w:spacing w:after="80" w:line="252" w:lineRule="auto"/>
      </w:pPr>
      <w:r>
        <w:rPr>
          <w:b w:val="0"/>
          <w:i w:val="0"/>
        </w:rPr>
        <w:t>Il cosiddetto profilo "intestinale" è associato a un forte bisogno di sicurezza. Queste persone possono essere iperprotettive verso i propri cari e tendono a restare legate a routine, punti di riferimento familiari e abitudini stabili. Possono inoltre mostrare una marcata meticolosità nel proprio ambiente. Talvolta, un'apparente fiducia in sé può servire a mascherare un'ansia sottostante. Possono manifestare tratti ipocondriaci o una preoccupazione eccessiva per la salute. Possono essere loquaci, talvolta con una certa teatralità quando cercano di persuadere. Una volta che un'idea si fissa, possono mostrarsi ostinate. Sono spesso persone di principio, generose e sensibili, sebbene il loro umore possa essere mutevole. Tendono a tollerare male tutto ciò che riguarda direttamente loro stesse o i loro cari.</w:t>
      </w:r>
    </w:p>
    <w:p>
      <w:pPr>
        <w:pStyle w:val="Heading1"/>
        <w:spacing w:after="120" w:line="252" w:lineRule="auto" w:before="200"/>
      </w:pPr>
      <w:r>
        <w:rPr>
          <w:b w:val="0"/>
          <w:i w:val="0"/>
        </w:rPr>
        <w:t>12. Consigli</w:t>
      </w:r>
    </w:p>
    <w:p>
      <w:pPr>
        <w:spacing w:after="80" w:line="252" w:lineRule="auto"/>
      </w:pPr>
      <w:r>
        <w:rPr>
          <w:b w:val="0"/>
          <w:i w:val="0"/>
        </w:rPr>
        <w:t>L'intestino tenue può riflettere tensioni emotive e psicologiche. Gli spasmi intestinali possono contribuire a fissazioni vertebrali lombari. È opportuno privilegiare un'alimentazione varia ed equilibrata, senza eccesso di carboidrati né di proteine animali. L'attività sportiva dovrebbe essere evitata durante la digestione.</w:t>
      </w:r>
    </w:p>
    <w:p>
      <w:pPr>
        <w:pStyle w:val="Heading1"/>
        <w:spacing w:after="120" w:line="252" w:lineRule="auto" w:before="200"/>
      </w:pPr>
      <w:r>
        <w:rPr>
          <w:b w:val="0"/>
          <w:i w:val="0"/>
        </w:rPr>
        <w:t>13. Caso clinico</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Capitolo 14. Intestino tenue — Versione italiana revisionata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Capitolo 14. Intestino tenue - ROP - Italiano revisionato</dc:title>
  <dc:subject>Revisione medica italiana</dc:subject>
  <dc:creator>OpenAI</dc:creator>
  <cp:keywords/>
  <dc:description>Polished Italian medical translation; ROP unchanged.</dc:description>
  <cp:lastModifiedBy/>
  <cp:revision>1</cp:revision>
  <dcterms:created xsi:type="dcterms:W3CDTF">2013-12-23T23:15:00Z</dcterms:created>
  <dcterms:modified xsi:type="dcterms:W3CDTF">2013-12-23T23:15:00Z</dcterms:modified>
  <cp:category/>
</cp:coreProperties>
</file>