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60" w:before="0"/>
      </w:pPr>
      <w:r>
        <w:rPr>
          <w:rFonts w:ascii="Cambria" w:cs="Cambria" w:eastAsia="Cambria" w:hAnsi="Cambria"/>
          <w:b/>
          <w:bCs/>
          <w:color w:val="1B5E3F"/>
          <w:sz w:val="44"/>
          <w:szCs w:val="44"/>
        </w:rPr>
        <w:t xml:space="preserve">Chapitre 5 — Mécanisme de stress</w:t>
      </w:r>
    </w:p>
    <w:p>
      <w:pPr>
        <w:spacing w:after="140" w:line="276"/>
        <w:jc w:val="both"/>
      </w:pPr>
      <w:r>
        <w:rPr>
          <w:rFonts w:ascii="Cambria" w:cs="Cambria" w:eastAsia="Cambria" w:hAnsi="Cambria"/>
          <w:b/>
          <w:bCs/>
          <w:color w:val="1A1A1A"/>
          <w:sz w:val="21"/>
          <w:szCs w:val="21"/>
        </w:rPr>
        <w:t xml:space="preserve">Physiologie de l'adaptation, coût allostatique et approche ROP</w:t>
      </w:r>
    </w:p>
    <w:p>
      <w:pPr>
        <w:spacing w:after="140" w:line="276"/>
        <w:jc w:val="both"/>
      </w:pPr>
      <w:r>
        <w:rPr>
          <w:rFonts w:ascii="Cambria" w:cs="Cambria" w:eastAsia="Cambria" w:hAnsi="Cambria"/>
          <w:i/>
          <w:iCs/>
          <w:color w:val="1A1A1A"/>
          <w:sz w:val="21"/>
          <w:szCs w:val="21"/>
        </w:rPr>
        <w:t xml:space="preserve">La santé ne se mesure pas à l'absence de réaction, mais à la capacité de l'organisme à se mobiliser puis à récupérer.</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FIL DIRECTEUR DU CHAPITRE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En clinique, la question n'est pas de savoir si le patient réagit au stress, mais s'il peut terminer sa réaction. Le stress mobilise et protège. Il devient coûteux lorsqu'il persiste, se répète ou ne se clôt pas. La ROP ne supprime pas le stresseur ; elle cherche, par un toucher mesuré, à soutenir la flexibilité autonome et la récupération, dans les limites des données disponibles.</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 Le stress : une réponse d'adaptation</w:t>
      </w:r>
    </w:p>
    <w:p>
      <w:pPr>
        <w:spacing w:after="140" w:line="276"/>
        <w:jc w:val="both"/>
      </w:pPr>
      <w:r>
        <w:rPr>
          <w:rFonts w:ascii="Cambria" w:cs="Cambria" w:eastAsia="Cambria" w:hAnsi="Cambria"/>
          <w:color w:val="1A1A1A"/>
          <w:sz w:val="21"/>
          <w:szCs w:val="21"/>
        </w:rPr>
        <w:t xml:space="preserve">Dans le langage courant, nous appelons stress à la fois la contrainte, le ressenti et les réactions du corps. Pour raisonner clairement, il faut pourtant distinguer le stresseur de la réponse de stress. Le stresseur est ce qui met l'organisme à l'épreuve : une douleur, un conflit, une infection, un effort ou un manque de sommeil. Le stress est la réponse mobilisée pour y faire face.</w:t>
      </w:r>
    </w:p>
    <w:p>
      <w:pPr>
        <w:spacing w:after="140" w:line="276"/>
        <w:jc w:val="both"/>
      </w:pPr>
      <w:r>
        <w:rPr>
          <w:rFonts w:ascii="Cambria" w:cs="Cambria" w:eastAsia="Cambria" w:hAnsi="Cambria"/>
          <w:color w:val="1A1A1A"/>
          <w:sz w:val="21"/>
          <w:szCs w:val="21"/>
        </w:rPr>
        <w:t xml:space="preserve">Cette réponse est d'abord protectrice. Elle augmente la vigilance, rend l'énergie plus disponible, accélère ou ajuste la circulation et la respiration, prépare la musculature à l'action et met temporairement au second plan certaines fonctions digestives, immunitaires ou reproductives. À court terme, elle nous aide à agir et à nous adapter.</w:t>
      </w:r>
    </w:p>
    <w:p>
      <w:pPr>
        <w:spacing w:after="140" w:line="276"/>
        <w:jc w:val="both"/>
      </w:pPr>
      <w:r>
        <w:rPr>
          <w:rFonts w:ascii="Cambria" w:cs="Cambria" w:eastAsia="Cambria" w:hAnsi="Cambria"/>
          <w:color w:val="1A1A1A"/>
          <w:sz w:val="21"/>
          <w:szCs w:val="21"/>
        </w:rPr>
        <w:t xml:space="preserve">En clinique, la question n'est donc pas seulement : « Quel est le stresseur ? » Il faut aussi demander : depuis combien de temps agit-il, à quelle fréquence revient-il, le patient peut-il agir sur la situation et, surtout, récupère-t-il lorsque l'événement est terminé ?</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IDÉE-CLÉ</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Le stress aigu n'est pas l'ennemi. Le coût pathologique apparaît surtout lorsque la mobilisation défensive devient disproportionnée, répétée ou insuffisamment suivie de récupération.</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2. De l'homéostasie à l'allostasie</w:t>
      </w:r>
    </w:p>
    <w:p>
      <w:pPr>
        <w:pStyle w:val="Heading2"/>
        <w:keepNext/>
        <w:spacing w:after="130" w:before="320"/>
      </w:pPr>
      <w:r>
        <w:rPr>
          <w:rFonts w:ascii="Cambria" w:cs="Cambria" w:eastAsia="Cambria" w:hAnsi="Cambria"/>
          <w:b/>
          <w:bCs/>
          <w:color w:val="1B5E3F"/>
          <w:sz w:val="24"/>
          <w:szCs w:val="24"/>
        </w:rPr>
        <w:t xml:space="preserve">2.1. Homéostasie : maintenir des variables compatibles avec la vie</w:t>
      </w:r>
    </w:p>
    <w:p>
      <w:pPr>
        <w:spacing w:after="140" w:line="276"/>
        <w:jc w:val="both"/>
      </w:pPr>
      <w:r>
        <w:rPr>
          <w:rFonts w:ascii="Cambria" w:cs="Cambria" w:eastAsia="Cambria" w:hAnsi="Cambria"/>
          <w:color w:val="1A1A1A"/>
          <w:sz w:val="21"/>
          <w:szCs w:val="21"/>
        </w:rPr>
        <w:t xml:space="preserve">L'homéostasie, notion formalisée par Walter Cannon, est la capacité de l'organisme à maintenir ses grandes variables internes dans des limites compatibles avec la vie : température, pH, glycémie, pression artérielle, équilibre hydrominéral ou oxygénation [9]. Il ne s'agit pas d'un état immobile. L'équilibre vivant repose sur des corrections permanentes, le plus souvent invisibles.</w:t>
      </w:r>
    </w:p>
    <w:p>
      <w:pPr>
        <w:pStyle w:val="Heading2"/>
        <w:keepNext/>
        <w:spacing w:after="130" w:before="320"/>
      </w:pPr>
      <w:r>
        <w:rPr>
          <w:rFonts w:ascii="Cambria" w:cs="Cambria" w:eastAsia="Cambria" w:hAnsi="Cambria"/>
          <w:b/>
          <w:bCs/>
          <w:color w:val="1B5E3F"/>
          <w:sz w:val="24"/>
          <w:szCs w:val="24"/>
        </w:rPr>
        <w:t xml:space="preserve">2.2. Allostasie : préserver la stabilité en changeant de fonctionnement</w:t>
      </w:r>
    </w:p>
    <w:p>
      <w:pPr>
        <w:spacing w:after="140" w:line="276"/>
        <w:jc w:val="both"/>
      </w:pPr>
      <w:r>
        <w:rPr>
          <w:rFonts w:ascii="Cambria" w:cs="Cambria" w:eastAsia="Cambria" w:hAnsi="Cambria"/>
          <w:color w:val="1A1A1A"/>
          <w:sz w:val="21"/>
          <w:szCs w:val="21"/>
        </w:rPr>
        <w:t xml:space="preserve">L'allostasie complète cette notion : l'organisme préserve sa stabilité en changeant provisoirement de fonctionnement. Face à un effort, un danger, une infection, un conflit ou un manque de sommeil, il redistribue les flux, mobilise ses réserves et adapte son comportement. La bonne réponse n'est donc pas toujours le retour immédiat à une valeur fixe, mais l'ajustement le plus adapté au contexte.</w:t>
      </w:r>
    </w:p>
    <w:p>
      <w:pPr>
        <w:spacing w:after="140" w:line="276"/>
        <w:jc w:val="both"/>
      </w:pPr>
      <w:r>
        <w:rPr>
          <w:rFonts w:ascii="Cambria" w:cs="Cambria" w:eastAsia="Cambria" w:hAnsi="Cambria"/>
          <w:color w:val="1A1A1A"/>
          <w:sz w:val="21"/>
          <w:szCs w:val="21"/>
        </w:rPr>
        <w:t xml:space="preserve">Dans cette perspective, le mécanisme de stress est une forme d'allostasie. Il devient problématique lorsque l'adaptation doit être maintenue trop longtemps, lorsqu'elle est déclenchée trop souvent ou lorsqu'elle continue en l'absence de menace actuelle.</w:t>
      </w:r>
    </w:p>
    <w:p>
      <w:pPr>
        <w:pStyle w:val="Heading2"/>
        <w:keepNext/>
        <w:spacing w:after="130" w:before="320"/>
      </w:pPr>
      <w:r>
        <w:rPr>
          <w:rFonts w:ascii="Cambria" w:cs="Cambria" w:eastAsia="Cambria" w:hAnsi="Cambria"/>
          <w:b/>
          <w:bCs/>
          <w:color w:val="1B5E3F"/>
          <w:sz w:val="24"/>
          <w:szCs w:val="24"/>
        </w:rPr>
        <w:t xml:space="preserve">2.3. Charge allostatique : le prix cumulé de l'adaptation</w:t>
      </w:r>
    </w:p>
    <w:p>
      <w:pPr>
        <w:spacing w:after="140" w:line="276"/>
        <w:jc w:val="both"/>
      </w:pPr>
      <w:r>
        <w:rPr>
          <w:rFonts w:ascii="Cambria" w:cs="Cambria" w:eastAsia="Cambria" w:hAnsi="Cambria"/>
          <w:color w:val="1A1A1A"/>
          <w:sz w:val="21"/>
          <w:szCs w:val="21"/>
        </w:rPr>
        <w:t xml:space="preserve">Les travaux de Bruce McEwen ont largement contribué à formaliser les notions d'allostasie et de charge allostatique. Là où le syndrome général d'adaptation de Hans Selye décrit les grandes phases de la réponse à une contrainte prolongée [10], le modèle de McEwen insiste sur le coût biologique cumulé des ajustements nécessaires pour maintenir l'adaptation [1,2].</w:t>
      </w:r>
    </w:p>
    <w:p>
      <w:pPr>
        <w:spacing w:after="140" w:line="276"/>
        <w:jc w:val="both"/>
      </w:pPr>
      <w:r>
        <w:rPr>
          <w:rFonts w:ascii="Cambria" w:cs="Cambria" w:eastAsia="Cambria" w:hAnsi="Cambria"/>
          <w:color w:val="1A1A1A"/>
          <w:sz w:val="21"/>
          <w:szCs w:val="21"/>
        </w:rPr>
        <w:t xml:space="preserve">La charge allostatique est le prix cumulé de ces ajustements. Elle ne dépend jamais d'un seul facteur. Elle se construit à partir de l'intensité et de la répétition des stresseurs, mais aussi de l'histoire du patient, de ses ressources, de son sommeil, de son activité physique, de ses maladies et de sa capacité à récupérer.</w:t>
      </w:r>
    </w:p>
    <w:p>
      <w:pPr>
        <w:spacing w:after="140" w:line="276"/>
        <w:jc w:val="both"/>
      </w:pPr>
      <w:r>
        <w:rPr>
          <w:rFonts w:ascii="Cambria" w:cs="Cambria" w:eastAsia="Cambria" w:hAnsi="Cambria"/>
          <w:color w:val="1A1A1A"/>
          <w:sz w:val="21"/>
          <w:szCs w:val="21"/>
        </w:rPr>
        <w:t xml:space="preserve">Tant que les capacités d'adaptation restent suffisantes, l'organisme absorbe la contrainte et retrouve un fonctionnement stable. Mais lorsque les stress s'accumulent plus vite que la récupération, la marge se réduit. C'est souvent à ce moment que nous voyons apparaître fatigue, troubles du sommeil, douleurs, tensions ou manifestations digestives, parfois avant toute lésion anatomique identifiable.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DONNÉES ÉTABLIES</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Dans le modèle de McEwen, les médiateurs de l'allostasie protègent l'organisme à court terme. Leur activation répétée, prolongée ou insuffisamment régulée peut toutefois contribuer à une charge allostatique touchant plusieurs systèmes : cardiovasculaire, métabolique, immunitaire, cérébral et comportemental [1,2].</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3. La trilogie des stresseurs</w:t>
      </w:r>
    </w:p>
    <w:p>
      <w:pPr>
        <w:spacing w:after="140" w:line="276"/>
        <w:jc w:val="both"/>
      </w:pPr>
      <w:r>
        <w:rPr>
          <w:rFonts w:ascii="Cambria" w:cs="Cambria" w:eastAsia="Cambria" w:hAnsi="Cambria"/>
          <w:color w:val="1A1A1A"/>
          <w:sz w:val="21"/>
          <w:szCs w:val="21"/>
        </w:rPr>
        <w:t xml:space="preserve">Dans la pratique, un stresseur voyage rarement seul. Nous distinguons trois grandes familles qui se croisent en permanence : les stresseurs physiques, émotionnels et biochimiques. Cette trilogie évite de réduire le stress à la seule inquiétude psychologique.</w:t>
      </w:r>
    </w:p>
    <w:p>
      <w:pPr>
        <w:pStyle w:val="Heading2"/>
        <w:keepNext/>
        <w:spacing w:after="130" w:before="320"/>
      </w:pPr>
      <w:r>
        <w:rPr>
          <w:rFonts w:ascii="Cambria" w:cs="Cambria" w:eastAsia="Cambria" w:hAnsi="Cambria"/>
          <w:b/>
          <w:bCs/>
          <w:color w:val="1B5E3F"/>
          <w:sz w:val="24"/>
          <w:szCs w:val="24"/>
        </w:rPr>
        <w:t xml:space="preserve">3.1. Stresseurs physiques</w:t>
      </w:r>
    </w:p>
    <w:p>
      <w:pPr>
        <w:spacing w:after="140" w:line="276"/>
        <w:jc w:val="both"/>
      </w:pPr>
      <w:r>
        <w:rPr>
          <w:rFonts w:ascii="Cambria" w:cs="Cambria" w:eastAsia="Cambria" w:hAnsi="Cambria"/>
          <w:color w:val="1A1A1A"/>
          <w:sz w:val="21"/>
          <w:szCs w:val="21"/>
        </w:rPr>
        <w:t xml:space="preserve">Les stresseurs physiques comprennent les traumatismes, les douleurs aiguës ou chroniques, les contraintes posturales, les suites de chirurgie, les infections, le manque ou l'excès d'activité physique, les agressions sensorielles, les climats extrêmes et le manque de sommeil. Un ancien traumatisme cervical, une douleur persistante ou une respiration continuellement contrainte peuvent ainsi entretenir un message corporel d'alerte longtemps après l'événement initial.</w:t>
      </w:r>
    </w:p>
    <w:p>
      <w:pPr>
        <w:pStyle w:val="Heading2"/>
        <w:keepNext/>
        <w:spacing w:after="130" w:before="320"/>
      </w:pPr>
      <w:r>
        <w:rPr>
          <w:rFonts w:ascii="Cambria" w:cs="Cambria" w:eastAsia="Cambria" w:hAnsi="Cambria"/>
          <w:b/>
          <w:bCs/>
          <w:color w:val="1B5E3F"/>
          <w:sz w:val="24"/>
          <w:szCs w:val="24"/>
        </w:rPr>
        <w:t xml:space="preserve">3.2. Stresseurs émotionnels, psychologiques et sociaux</w:t>
      </w:r>
    </w:p>
    <w:p>
      <w:pPr>
        <w:spacing w:after="140" w:line="276"/>
        <w:jc w:val="both"/>
      </w:pPr>
      <w:r>
        <w:rPr>
          <w:rFonts w:ascii="Cambria" w:cs="Cambria" w:eastAsia="Cambria" w:hAnsi="Cambria"/>
          <w:color w:val="1A1A1A"/>
          <w:sz w:val="21"/>
          <w:szCs w:val="21"/>
        </w:rPr>
        <w:t xml:space="preserve">Les conflits, les ruptures affectives, le harcèlement, l'isolement, l'insécurité professionnelle, le deuil et les traumatismes psychiques peuvent déclencher une réponse de stress importante. Leur effet dépend non seulement de la gravité objective de l'événement, mais aussi de sa prévisibilité, de son caractère contrôlable, du soutien disponible et de l'histoire personnelle du sujet.</w:t>
      </w:r>
    </w:p>
    <w:p>
      <w:pPr>
        <w:pStyle w:val="Heading2"/>
        <w:keepNext/>
        <w:spacing w:after="130" w:before="320"/>
      </w:pPr>
      <w:r>
        <w:rPr>
          <w:rFonts w:ascii="Cambria" w:cs="Cambria" w:eastAsia="Cambria" w:hAnsi="Cambria"/>
          <w:b/>
          <w:bCs/>
          <w:color w:val="1B5E3F"/>
          <w:sz w:val="24"/>
          <w:szCs w:val="24"/>
        </w:rPr>
        <w:t xml:space="preserve">3.3. Stresseurs biochimiques</w:t>
      </w:r>
    </w:p>
    <w:p>
      <w:pPr>
        <w:spacing w:after="140" w:line="276"/>
        <w:jc w:val="both"/>
      </w:pPr>
      <w:r>
        <w:rPr>
          <w:rFonts w:ascii="Cambria" w:cs="Cambria" w:eastAsia="Cambria" w:hAnsi="Cambria"/>
          <w:color w:val="1A1A1A"/>
          <w:sz w:val="21"/>
          <w:szCs w:val="21"/>
        </w:rPr>
        <w:t xml:space="preserve">Les stresseurs biochimiques sont souvent moins visibles : déséquilibres nutritionnels, certaines carences, perturbations du microbiote, inflammation, toxiques environnementaux, médicaments, alcool ou troubles métaboliques. Ils peuvent agir à bas bruit, augmenter la fatigue, la douleur ou l'inconfort digestif, puis devenir pour le cerveau autant de signaux supplémentaires de menace.</w:t>
      </w:r>
    </w:p>
    <w:p>
      <w:pPr>
        <w:pStyle w:val="Heading2"/>
        <w:keepNext/>
        <w:spacing w:after="130" w:before="320"/>
      </w:pPr>
      <w:r>
        <w:rPr>
          <w:rFonts w:ascii="Cambria" w:cs="Cambria" w:eastAsia="Cambria" w:hAnsi="Cambria"/>
          <w:b/>
          <w:bCs/>
          <w:color w:val="1B5E3F"/>
          <w:sz w:val="24"/>
          <w:szCs w:val="24"/>
        </w:rPr>
        <w:t xml:space="preserve">3.4. L'effet cumulatif</w:t>
      </w:r>
    </w:p>
    <w:p>
      <w:pPr>
        <w:spacing w:after="140" w:line="276"/>
        <w:jc w:val="both"/>
      </w:pPr>
      <w:r>
        <w:rPr>
          <w:rFonts w:ascii="Cambria" w:cs="Cambria" w:eastAsia="Cambria" w:hAnsi="Cambria"/>
          <w:color w:val="1A1A1A"/>
          <w:sz w:val="21"/>
          <w:szCs w:val="21"/>
        </w:rPr>
        <w:t xml:space="preserve">Ces stresseurs ne s'additionnent pas comme des chiffres sur une feuille : ils se renforcent. La douleur perturbe le sommeil ; le manque de sommeil augmente la sensibilité douloureuse ; l'inquiétude modifie la respiration et le transit ; l'inconfort digestif entretient à son tour l'hypervigilance. C'est cette boucle, plus que chaque facteur pris isolément, qui alourdit la charge allostatique.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LECTURE ROP</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Quand nous trouvons une zone douloureuse ou dense, nous ne l'isolons pas du reste du patient. Nous la replaçons dans son histoire : traumatismes, sommeil, douleurs, contexte émotionnel, digestion, traitements et qualité de récupération.</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4. Le stress n'est pas seulement l'événement : c'est la réponse</w:t>
      </w:r>
    </w:p>
    <w:p>
      <w:pPr>
        <w:spacing w:after="140" w:line="276"/>
        <w:jc w:val="both"/>
      </w:pPr>
      <w:r>
        <w:rPr>
          <w:rFonts w:ascii="Cambria" w:cs="Cambria" w:eastAsia="Cambria" w:hAnsi="Cambria"/>
          <w:color w:val="1A1A1A"/>
          <w:sz w:val="21"/>
          <w:szCs w:val="21"/>
        </w:rPr>
        <w:t xml:space="preserve">Deux personnes exposées au même événement ne réagissent pas de la même manière. Le cerveau n'évalue pas seulement ce qui arrive, mais ce que cela signifie pour le sujet : menace physique, perte de sécurité, atteinte du lien affectif, du statut social ou de l'image de soi. L'histoire passée, les apprentissages, le contexte et les ressources perçues modulent alors toute la réponse.</w:t>
      </w:r>
    </w:p>
    <w:p>
      <w:pPr>
        <w:pStyle w:val="Heading2"/>
        <w:keepNext/>
        <w:spacing w:after="130" w:before="320"/>
      </w:pPr>
      <w:r>
        <w:rPr>
          <w:rFonts w:ascii="Cambria" w:cs="Cambria" w:eastAsia="Cambria" w:hAnsi="Cambria"/>
          <w:b/>
          <w:bCs/>
          <w:color w:val="1B5E3F"/>
          <w:sz w:val="24"/>
          <w:szCs w:val="24"/>
        </w:rPr>
        <w:t xml:space="preserve">4.1. Perception et réseaux émotionnels</w:t>
      </w:r>
    </w:p>
    <w:p>
      <w:pPr>
        <w:spacing w:after="140" w:line="276"/>
        <w:jc w:val="both"/>
      </w:pPr>
      <w:r>
        <w:rPr>
          <w:rFonts w:ascii="Cambria" w:cs="Cambria" w:eastAsia="Cambria" w:hAnsi="Cambria"/>
          <w:color w:val="1A1A1A"/>
          <w:sz w:val="21"/>
          <w:szCs w:val="21"/>
        </w:rPr>
        <w:t xml:space="preserve">L'amygdale participe à la détection rapide de ce qui paraît important ou menaçant. L'hippocampe replace l'événement dans son contexte et dans la mémoire. Les régions préfrontales contribuent à l'analyse, au contrôle de certaines réponses et au choix d'une action. Il faut les comprendre comme des réseaux en interaction, et non comme trois cerveaux séparés qui se succéderaient.</w:t>
      </w:r>
    </w:p>
    <w:p>
      <w:pPr>
        <w:pStyle w:val="Heading2"/>
        <w:keepNext/>
        <w:spacing w:after="130" w:before="320"/>
      </w:pPr>
      <w:r>
        <w:rPr>
          <w:rFonts w:ascii="Cambria" w:cs="Cambria" w:eastAsia="Cambria" w:hAnsi="Cambria"/>
          <w:b/>
          <w:bCs/>
          <w:color w:val="1B5E3F"/>
          <w:sz w:val="24"/>
          <w:szCs w:val="24"/>
        </w:rPr>
        <w:t xml:space="preserve">4.2. Commande hypothalamique</w:t>
      </w:r>
    </w:p>
    <w:p>
      <w:pPr>
        <w:spacing w:after="140" w:line="276"/>
        <w:jc w:val="both"/>
      </w:pPr>
      <w:r>
        <w:rPr>
          <w:rFonts w:ascii="Cambria" w:cs="Cambria" w:eastAsia="Cambria" w:hAnsi="Cambria"/>
          <w:color w:val="1A1A1A"/>
          <w:sz w:val="21"/>
          <w:szCs w:val="21"/>
        </w:rPr>
        <w:t xml:space="preserve">L'hypothalamus intègre les informations provenant des réseaux émotionnels, du tronc cérébral, du système nerveux autonome et de l'état interne du corps. Il coordonne ensuite des réponses neurologiques, endocriniennes et comportementales destinées à maintenir l'adaptation.</w:t>
      </w:r>
    </w:p>
    <w:p>
      <w:pPr>
        <w:pStyle w:val="Heading2"/>
        <w:keepNext/>
        <w:spacing w:after="130" w:before="320"/>
      </w:pPr>
      <w:r>
        <w:rPr>
          <w:rFonts w:ascii="Cambria" w:cs="Cambria" w:eastAsia="Cambria" w:hAnsi="Cambria"/>
          <w:b/>
          <w:bCs/>
          <w:color w:val="1B5E3F"/>
          <w:sz w:val="24"/>
          <w:szCs w:val="24"/>
        </w:rPr>
        <w:t xml:space="preserve">4.3. Le retour du corps vers le cerveau : l'interoception</w:t>
      </w:r>
    </w:p>
    <w:p>
      <w:pPr>
        <w:spacing w:after="140" w:line="276"/>
        <w:jc w:val="both"/>
      </w:pPr>
      <w:r>
        <w:rPr>
          <w:rFonts w:ascii="Cambria" w:cs="Cambria" w:eastAsia="Cambria" w:hAnsi="Cambria"/>
          <w:color w:val="1A1A1A"/>
          <w:sz w:val="21"/>
          <w:szCs w:val="21"/>
        </w:rPr>
        <w:t xml:space="preserve">La réponse ne circule pas seulement du cerveau vers le corps. Le rythme cardiaque, la respiration, la tension musculaire, la motricité digestive et l'état inflammatoire génèrent en permanence des informations ascendantes. Leur perception et leur intégration constituent l'interoception. L'insula, le cortex cingulaire, le tronc cérébral et les réseaux limbiques participent à la représentation de cet état interne [6,7].</w:t>
      </w:r>
    </w:p>
    <w:p>
      <w:pPr>
        <w:spacing w:after="140" w:line="276"/>
        <w:jc w:val="both"/>
      </w:pPr>
      <w:r>
        <w:rPr>
          <w:rFonts w:ascii="Cambria" w:cs="Cambria" w:eastAsia="Cambria" w:hAnsi="Cambria"/>
          <w:color w:val="1A1A1A"/>
          <w:sz w:val="21"/>
          <w:szCs w:val="21"/>
        </w:rPr>
        <w:t xml:space="preserve">Une respiration courte, une oppression thoracique ou un abdomen contracté peuvent alors devenir eux-mêmes de nouveaux signaux d'alarme. Le corps n'est plus seulement le lieu où le stress s'exprime : il peut devenir une source d'informations qui entretient la réponse. Cette boucle corps-cerveau est essentielle pour comprendre l'intérêt potentiel des approches tactiles et corporelles.</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CHAÎNE PHYSIOLOGIQUE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Stresseur → perception et interprétation → réseaux émotionnels → hypothalamus → réponses autonome et hormonale → modifications corporelles → signaux intéroceptifs → apaisement ou réactivation de l'alarme.</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5. La double réponse au stresseur : urgence et soutien</w:t>
      </w:r>
    </w:p>
    <w:p>
      <w:pPr>
        <w:pStyle w:val="Heading2"/>
        <w:keepNext/>
        <w:spacing w:after="130" w:before="320"/>
      </w:pPr>
      <w:r>
        <w:rPr>
          <w:rFonts w:ascii="Cambria" w:cs="Cambria" w:eastAsia="Cambria" w:hAnsi="Cambria"/>
          <w:b/>
          <w:bCs/>
          <w:color w:val="1B5E3F"/>
          <w:sz w:val="24"/>
          <w:szCs w:val="24"/>
        </w:rPr>
        <w:t xml:space="preserve">5.1. Axe SAM : la réponse neurologique immédiate</w:t>
      </w:r>
    </w:p>
    <w:p>
      <w:pPr>
        <w:spacing w:after="140" w:line="276"/>
        <w:jc w:val="both"/>
      </w:pPr>
      <w:r>
        <w:rPr>
          <w:rFonts w:ascii="Cambria" w:cs="Cambria" w:eastAsia="Cambria" w:hAnsi="Cambria"/>
          <w:color w:val="1A1A1A"/>
          <w:sz w:val="21"/>
          <w:szCs w:val="21"/>
        </w:rPr>
        <w:t xml:space="preserve">La réponse SAM agit en quelques secondes. L'hypothalamus et le tronc cérébral recrutent les voies sympathiques, notamment les circuits noradrénergiques du locus coeruleus. La médullosurrénale libère de l'adrénaline et de la noradrénaline. Le cœur et la respiration s'accélèrent, la pression artérielle s'ajuste, le glucose devient disponible et la musculature se prépare à agir.</w:t>
      </w:r>
    </w:p>
    <w:p>
      <w:pPr>
        <w:spacing w:after="140" w:line="276"/>
        <w:jc w:val="both"/>
      </w:pPr>
      <w:r>
        <w:rPr>
          <w:rFonts w:ascii="Cambria" w:cs="Cambria" w:eastAsia="Cambria" w:hAnsi="Cambria"/>
          <w:color w:val="1A1A1A"/>
          <w:sz w:val="21"/>
          <w:szCs w:val="21"/>
        </w:rPr>
        <w:t xml:space="preserve">Cette réponse sympathico-adrénalo-médullaire, souvent désignée par l'acronyme SAM, est particulièrement adaptée aux situations qui exigent une action rapide : fuir, combattre, s'immobiliser ou résoudre un problème urgent.</w:t>
      </w:r>
    </w:p>
    <w:p>
      <w:pPr>
        <w:pStyle w:val="Heading2"/>
        <w:keepNext/>
        <w:spacing w:after="130" w:before="320"/>
      </w:pPr>
      <w:r>
        <w:rPr>
          <w:rFonts w:ascii="Cambria" w:cs="Cambria" w:eastAsia="Cambria" w:hAnsi="Cambria"/>
          <w:b/>
          <w:bCs/>
          <w:color w:val="1B5E3F"/>
          <w:sz w:val="24"/>
          <w:szCs w:val="24"/>
        </w:rPr>
        <w:t xml:space="preserve">5.2. Axe HHS : la réponse hormonale plus lente</w:t>
      </w:r>
    </w:p>
    <w:p>
      <w:pPr>
        <w:spacing w:after="140" w:line="276"/>
        <w:jc w:val="both"/>
      </w:pPr>
      <w:r>
        <w:rPr>
          <w:rFonts w:ascii="Cambria" w:cs="Cambria" w:eastAsia="Cambria" w:hAnsi="Cambria"/>
          <w:color w:val="1A1A1A"/>
          <w:sz w:val="21"/>
          <w:szCs w:val="21"/>
        </w:rPr>
        <w:t xml:space="preserve">Si la contrainte se prolonge, un deuxième dispositif prend le relais. L'hypothalamus libère la CRH, qui stimule l'antéhypophyse ; celle-ci sécrète l'ACTH, qui agit sur le cortex surrénalien et favorise notamment la libération de cortisol. L'axe hypothalamo-hypophyso-surrénalien, ou HHS, aide alors l'organisme à tenir dans la durée.</w:t>
      </w:r>
    </w:p>
    <w:p>
      <w:pPr>
        <w:spacing w:after="140" w:line="276"/>
        <w:jc w:val="both"/>
      </w:pPr>
      <w:r>
        <w:rPr>
          <w:rFonts w:ascii="Cambria" w:cs="Cambria" w:eastAsia="Cambria" w:hAnsi="Cambria"/>
          <w:color w:val="1A1A1A"/>
          <w:sz w:val="21"/>
          <w:szCs w:val="21"/>
        </w:rPr>
        <w:t xml:space="preserve">Le cortisol n'est pas une hormone toxique par nature. Il est indispensable à la vie. Le problème tient à une exposition excessive, à un rythme circadien perturbé, à une sensibilité tissulaire modifiée ou à une activation inappropriée par rapport au contexte.</w:t>
      </w:r>
    </w:p>
    <w:tbl>
      <w:tblPr>
        <w:tblW w:type="dxa" w:w="9638"/>
        <w:tblBorders>
          <w:top w:val="single" w:color="C9C2B4" w:sz="4"/>
          <w:left w:val="single" w:color="C9C2B4" w:sz="4"/>
          <w:bottom w:val="single" w:color="C9C2B4" w:sz="4"/>
          <w:right w:val="single" w:color="C9C2B4" w:sz="4"/>
          <w:insideH w:val="single" w:color="C9C2B4" w:sz="2"/>
          <w:insideV w:val="single" w:color="C9C2B4" w:sz="2"/>
        </w:tblBorders>
      </w:tblPr>
      <w:tblGrid>
        <w:gridCol w:w="2623"/>
        <w:gridCol w:w="3690"/>
        <w:gridCol w:w="3325"/>
      </w:tblGrid>
      <w:tr>
        <w:trPr>
          <w:cantSplit/>
          <w:tblHeader/>
        </w:trPr>
        <w:tc>
          <w:tcPr>
            <w:tcW w:type="dxa" w:w="2623"/>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Repère</w:t>
            </w:r>
          </w:p>
        </w:tc>
        <w:tc>
          <w:tcPr>
            <w:tcW w:type="dxa" w:w="3690"/>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Axe SAM</w:t>
            </w:r>
          </w:p>
        </w:tc>
        <w:tc>
          <w:tcPr>
            <w:tcW w:type="dxa" w:w="3325"/>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Axe HHS</w:t>
            </w:r>
          </w:p>
        </w:tc>
      </w:tr>
      <w:tr>
        <w:trPr>
          <w:cantSplit/>
        </w:trPr>
        <w:tc>
          <w:tcPr>
            <w:tcW w:type="dxa" w:w="2623"/>
            <w:shd w:fill="E8F0EA"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Délai</w:t>
            </w:r>
          </w:p>
        </w:tc>
        <w:tc>
          <w:tcPr>
            <w:tcW w:type="dxa" w:w="3690"/>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Secondes à minutes</w:t>
            </w:r>
          </w:p>
        </w:tc>
        <w:tc>
          <w:tcPr>
            <w:tcW w:type="dxa" w:w="3325"/>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Minutes à heures</w:t>
            </w:r>
          </w:p>
        </w:tc>
      </w:tr>
      <w:tr>
        <w:trPr>
          <w:cantSplit/>
        </w:trPr>
        <w:tc>
          <w:tcPr>
            <w:tcW w:type="dxa" w:w="2623"/>
            <w:shd w:fill="FFFFFF"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Voie dominante</w:t>
            </w:r>
          </w:p>
        </w:tc>
        <w:tc>
          <w:tcPr>
            <w:tcW w:type="dxa" w:w="3690"/>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Sympathique, locus coeruleus, médullosurrénale</w:t>
            </w:r>
          </w:p>
        </w:tc>
        <w:tc>
          <w:tcPr>
            <w:tcW w:type="dxa" w:w="3325"/>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Hypothalamus, hypophyse, cortex surrénalien</w:t>
            </w:r>
          </w:p>
        </w:tc>
      </w:tr>
      <w:tr>
        <w:trPr>
          <w:cantSplit/>
        </w:trPr>
        <w:tc>
          <w:tcPr>
            <w:tcW w:type="dxa" w:w="2623"/>
            <w:shd w:fill="E8F0EA"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Médiateurs principaux</w:t>
            </w:r>
          </w:p>
        </w:tc>
        <w:tc>
          <w:tcPr>
            <w:tcW w:type="dxa" w:w="3690"/>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Noradrénaline, adrénaline</w:t>
            </w:r>
          </w:p>
        </w:tc>
        <w:tc>
          <w:tcPr>
            <w:tcW w:type="dxa" w:w="3325"/>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CRH, ACTH, cortisol</w:t>
            </w:r>
          </w:p>
        </w:tc>
      </w:tr>
      <w:tr>
        <w:trPr>
          <w:cantSplit/>
        </w:trPr>
        <w:tc>
          <w:tcPr>
            <w:tcW w:type="dxa" w:w="2623"/>
            <w:shd w:fill="FFFFFF"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Fonction</w:t>
            </w:r>
          </w:p>
        </w:tc>
        <w:tc>
          <w:tcPr>
            <w:tcW w:type="dxa" w:w="3690"/>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Urgence, vigilance, action immédiate</w:t>
            </w:r>
          </w:p>
        </w:tc>
        <w:tc>
          <w:tcPr>
            <w:tcW w:type="dxa" w:w="3325"/>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Maintien de l'adaptation, mobilisation métabolique</w:t>
            </w:r>
          </w:p>
        </w:tc>
      </w:tr>
      <w:tr>
        <w:trPr>
          <w:cantSplit/>
        </w:trPr>
        <w:tc>
          <w:tcPr>
            <w:tcW w:type="dxa" w:w="2623"/>
            <w:shd w:fill="E8F0EA"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Retour à l'équilibre</w:t>
            </w:r>
          </w:p>
        </w:tc>
        <w:tc>
          <w:tcPr>
            <w:tcW w:type="dxa" w:w="3690"/>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Retrait de la mobilisation sympathique</w:t>
            </w:r>
          </w:p>
        </w:tc>
        <w:tc>
          <w:tcPr>
            <w:tcW w:type="dxa" w:w="3325"/>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Rétrocontrôle hormonal et restauration des rythmes</w:t>
            </w:r>
          </w:p>
        </w:tc>
      </w:tr>
    </w:tbl>
    <w:p>
      <w:pPr>
        <w:spacing w:after="200"/>
      </w:pPr>
      <w:r>
        <w:rPr>
          <w:sz w:val="6"/>
          <w:szCs w:val="6"/>
        </w:rPr>
        <w:t xml:space="preserve"/>
      </w:r>
    </w:p>
    <w:p>
      <w:pPr>
        <w:pStyle w:val="Heading2"/>
        <w:keepNext/>
        <w:spacing w:after="130" w:before="320"/>
      </w:pPr>
      <w:r>
        <w:rPr>
          <w:rFonts w:ascii="Cambria" w:cs="Cambria" w:eastAsia="Cambria" w:hAnsi="Cambria"/>
          <w:b/>
          <w:bCs/>
          <w:color w:val="1B5E3F"/>
          <w:sz w:val="24"/>
          <w:szCs w:val="24"/>
        </w:rPr>
        <w:t xml:space="preserve">5.3. Rétrocontrôle et clôture de la réponse</w:t>
      </w:r>
    </w:p>
    <w:p>
      <w:pPr>
        <w:spacing w:after="140" w:line="276"/>
        <w:jc w:val="both"/>
      </w:pPr>
      <w:r>
        <w:rPr>
          <w:rFonts w:ascii="Cambria" w:cs="Cambria" w:eastAsia="Cambria" w:hAnsi="Cambria"/>
          <w:color w:val="1A1A1A"/>
          <w:sz w:val="21"/>
          <w:szCs w:val="21"/>
        </w:rPr>
        <w:t xml:space="preserve">Lorsque le stresseur disparaît ou que l'action a permis de le résoudre, les mécanismes de rétrocontrôle doivent réduire l'activation. L'hippocampe, l'hypothalamus, l'hypophyse, les surrénales et les voies autonomes participent à cette régulation. Déclencher la réponse est vital ; savoir l'arrêter l'est tout autant.</w:t>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6. Le syndrome général d'adaptation : un modèle pédagogique</w:t>
      </w:r>
    </w:p>
    <w:p>
      <w:pPr>
        <w:spacing w:after="140" w:line="276"/>
        <w:jc w:val="both"/>
      </w:pPr>
      <w:r>
        <w:rPr>
          <w:rFonts w:ascii="Cambria" w:cs="Cambria" w:eastAsia="Cambria" w:hAnsi="Cambria"/>
          <w:color w:val="1A1A1A"/>
          <w:sz w:val="21"/>
          <w:szCs w:val="21"/>
        </w:rPr>
        <w:t xml:space="preserve">Hans Selye a proposé le syndrome général d'adaptation pour représenter la manière dont l'organisme répond à une contrainte durable [10]. Les travaux ultérieurs de Bruce McEwen sur l'allostasie et la charge allostatique ont prolongé ce modèle en décrivant le coût cumulatif de cette adaptation [1]. Ce modèle reste très utile pour enseigner et pour raisonner en clinique, à condition de ne pas en faire une chronologie rigide. Après l'alarme, deux voies sont possibles : si le stresseur cesse, l'organisme entre en récupération ; s'il persiste, il organise une adaptation-résistance. Dans la réalité, ces réponses se chevauchent et varient d'un patient à l'autre.</w:t>
      </w:r>
    </w:p>
    <w:p>
      <w:pPr>
        <w:pStyle w:val="Heading2"/>
        <w:keepNext/>
        <w:spacing w:after="130" w:before="320"/>
      </w:pPr>
      <w:r>
        <w:rPr>
          <w:rFonts w:ascii="Cambria" w:cs="Cambria" w:eastAsia="Cambria" w:hAnsi="Cambria"/>
          <w:b/>
          <w:bCs/>
          <w:color w:val="1B5E3F"/>
          <w:sz w:val="24"/>
          <w:szCs w:val="24"/>
        </w:rPr>
        <w:t xml:space="preserve">6.1. Phase d'alarme</w:t>
      </w:r>
    </w:p>
    <w:p>
      <w:pPr>
        <w:spacing w:after="140" w:line="276"/>
        <w:jc w:val="both"/>
      </w:pPr>
      <w:r>
        <w:rPr>
          <w:rFonts w:ascii="Cambria" w:cs="Cambria" w:eastAsia="Cambria" w:hAnsi="Cambria"/>
          <w:color w:val="1A1A1A"/>
          <w:sz w:val="21"/>
          <w:szCs w:val="21"/>
        </w:rPr>
        <w:t xml:space="preserve">La phase d'alarme correspond à la mobilisation immédiate. Les ressources sont orientées vers l'action. Les fonctions non prioritaires à très court terme, comme une partie de la digestion ou de la reproduction, peuvent être temporairement modifiées. Cette phase est protectrice si elle reste proportionnée et limitée dans le temps.</w:t>
      </w:r>
    </w:p>
    <w:p>
      <w:pPr>
        <w:pStyle w:val="Heading2"/>
        <w:keepNext/>
        <w:spacing w:after="130" w:before="320"/>
      </w:pPr>
      <w:r>
        <w:rPr>
          <w:rFonts w:ascii="Cambria" w:cs="Cambria" w:eastAsia="Cambria" w:hAnsi="Cambria"/>
          <w:b/>
          <w:bCs/>
          <w:color w:val="1B5E3F"/>
          <w:sz w:val="24"/>
          <w:szCs w:val="24"/>
        </w:rPr>
        <w:t xml:space="preserve">6.2. Phase de récupération</w:t>
      </w:r>
    </w:p>
    <w:p>
      <w:pPr>
        <w:spacing w:after="140" w:line="276"/>
        <w:jc w:val="both"/>
      </w:pPr>
      <w:r>
        <w:rPr>
          <w:rFonts w:ascii="Cambria" w:cs="Cambria" w:eastAsia="Cambria" w:hAnsi="Cambria"/>
          <w:color w:val="1A1A1A"/>
          <w:sz w:val="21"/>
          <w:szCs w:val="21"/>
        </w:rPr>
        <w:t xml:space="preserve">Si la contrainte cesse, l'organisme doit maintenant redescendre : restaurer ses gradients, reconstituer certaines réserves, normaliser les rythmes cardiorespiratoires et métaboliques, puis intégrer l'expérience. Une fatigue passagère, un besoin de sommeil ou une baisse temporaire de performance peuvent accompagner ce retour.</w:t>
      </w:r>
    </w:p>
    <w:p>
      <w:pPr>
        <w:spacing w:after="140" w:line="276"/>
        <w:jc w:val="both"/>
      </w:pPr>
      <w:r>
        <w:rPr>
          <w:rFonts w:ascii="Cambria" w:cs="Cambria" w:eastAsia="Cambria" w:hAnsi="Cambria"/>
          <w:color w:val="1A1A1A"/>
          <w:sz w:val="21"/>
          <w:szCs w:val="21"/>
        </w:rPr>
        <w:t xml:space="preserve">Il n'existe pas de durée universelle de 72 heures. La récupération dépend de l'intensité de la mobilisation, de l'âge, de l'état de santé, du sommeil et des autres contraintes présentes. Chez certains patients elle est rapide ; chez d'autres, elle demande davantage de temps.</w:t>
      </w:r>
    </w:p>
    <w:p>
      <w:pPr>
        <w:pStyle w:val="Heading2"/>
        <w:keepNext/>
        <w:spacing w:after="130" w:before="320"/>
      </w:pPr>
      <w:r>
        <w:rPr>
          <w:rFonts w:ascii="Cambria" w:cs="Cambria" w:eastAsia="Cambria" w:hAnsi="Cambria"/>
          <w:b/>
          <w:bCs/>
          <w:color w:val="1B5E3F"/>
          <w:sz w:val="24"/>
          <w:szCs w:val="24"/>
        </w:rPr>
        <w:t xml:space="preserve">6.3. Phase d'adaptation-résistance</w:t>
      </w:r>
    </w:p>
    <w:p>
      <w:pPr>
        <w:spacing w:after="140" w:line="276"/>
        <w:jc w:val="both"/>
      </w:pPr>
      <w:r>
        <w:rPr>
          <w:rFonts w:ascii="Cambria" w:cs="Cambria" w:eastAsia="Cambria" w:hAnsi="Cambria"/>
          <w:color w:val="1A1A1A"/>
          <w:sz w:val="21"/>
          <w:szCs w:val="21"/>
        </w:rPr>
        <w:t xml:space="preserve">Si le stresseur persiste, l'organisme ne peut pas simplement revenir à sa ligne de base. Il organise une défense durable : vigilance maintenue, rythmes hormonaux modifiés, métabolisme davantage sollicité et fonctions immunitaires ajustées. Le patient continue souvent à fonctionner, mais il paie ce fonctionnement par un coût de régulation croissant.</w:t>
      </w:r>
    </w:p>
    <w:p>
      <w:pPr>
        <w:spacing w:after="140" w:line="276"/>
        <w:jc w:val="both"/>
      </w:pPr>
      <w:r>
        <w:rPr>
          <w:rFonts w:ascii="Cambria" w:cs="Cambria" w:eastAsia="Cambria" w:hAnsi="Cambria"/>
          <w:color w:val="1A1A1A"/>
          <w:sz w:val="21"/>
          <w:szCs w:val="21"/>
        </w:rPr>
        <w:t xml:space="preserve">Cette phase peut s'accompagner de troubles fonctionnels : sommeil fragmenté, fatigue, troubles digestifs, douleurs, irritabilité, baisse de concentration, variations tensionnelles ou perturbations métaboliques. Ces manifestations ne traduisent pas nécessairement une lésion irréversible ; elles signalent souvent une réduction de la marge d'adaptation.</w:t>
      </w:r>
    </w:p>
    <w:p>
      <w:pPr>
        <w:pStyle w:val="Heading2"/>
        <w:keepNext/>
        <w:spacing w:after="130" w:before="320"/>
      </w:pPr>
      <w:r>
        <w:rPr>
          <w:rFonts w:ascii="Cambria" w:cs="Cambria" w:eastAsia="Cambria" w:hAnsi="Cambria"/>
          <w:b/>
          <w:bCs/>
          <w:color w:val="1B5E3F"/>
          <w:sz w:val="24"/>
          <w:szCs w:val="24"/>
        </w:rPr>
        <w:t xml:space="preserve">6.4. Phase de décompensation ou d'épuisement</w:t>
      </w:r>
    </w:p>
    <w:p>
      <w:pPr>
        <w:spacing w:after="140" w:line="276"/>
        <w:jc w:val="both"/>
      </w:pPr>
      <w:r>
        <w:rPr>
          <w:rFonts w:ascii="Cambria" w:cs="Cambria" w:eastAsia="Cambria" w:hAnsi="Cambria"/>
          <w:color w:val="1A1A1A"/>
          <w:sz w:val="21"/>
          <w:szCs w:val="21"/>
        </w:rPr>
        <w:t xml:space="preserve">La décompensation ne signifie pas que les surrénales se seraient simplement « vidées ». La notion populaire de fatigue surrénalienne n'est pas un diagnostic médical reconnu. En revanche, lorsque la contrainte devient chronique, nous pouvons observer une régulation autonome et hormonale moins souple, des troubles métaboliques, une inflammation persistante et une vulnérabilité accrue chez les sujets prédisposés.</w:t>
      </w:r>
    </w:p>
    <w:p>
      <w:pPr>
        <w:spacing w:after="140" w:line="276"/>
        <w:jc w:val="both"/>
      </w:pPr>
      <w:r>
        <w:rPr>
          <w:rFonts w:ascii="Cambria" w:cs="Cambria" w:eastAsia="Cambria" w:hAnsi="Cambria"/>
          <w:color w:val="1A1A1A"/>
          <w:sz w:val="21"/>
          <w:szCs w:val="21"/>
        </w:rPr>
        <w:t xml:space="preserve">La progression vers la chronicité n'est ni automatique ni causée par le seul stress. Elle résulte de l'interaction entre susceptibilité génétique, âge, comportements, conditions sociales, maladies préexistantes, sommeil, activité physique, alimentation, traitements et accès aux soins.</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POINT DE VIGILANCE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Le modèle de Selye est une carte pédagogique, non une loi déterministe. Il ne permet pas d'attribuer directement une hypothyroïdie, un diabète, une maladie auto-immune ou une maladie neurodégénérative à une seule séquence de stress.</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7. Le véritable coût du stress : l'absence de récupération</w:t>
      </w:r>
    </w:p>
    <w:p>
      <w:pPr>
        <w:spacing w:after="140" w:line="276"/>
        <w:jc w:val="both"/>
      </w:pPr>
      <w:r>
        <w:rPr>
          <w:rFonts w:ascii="Cambria" w:cs="Cambria" w:eastAsia="Cambria" w:hAnsi="Cambria"/>
          <w:color w:val="1A1A1A"/>
          <w:sz w:val="21"/>
          <w:szCs w:val="21"/>
        </w:rPr>
        <w:t xml:space="preserve">Un événement intense peut être bien toléré si l'organisme agit, se régule puis récupère. À l'inverse, une contrainte apparemment modérée devient coûteuse lorsqu'elle est réactivée chaque jour. Ce qui compte n'est donc pas seulement la force du stress, mais la possibilité de terminer la réponse.</w:t>
      </w:r>
    </w:p>
    <w:p>
      <w:pPr>
        <w:pStyle w:val="Heading2"/>
        <w:keepNext/>
        <w:spacing w:after="130" w:before="320"/>
      </w:pPr>
      <w:r>
        <w:rPr>
          <w:rFonts w:ascii="Cambria" w:cs="Cambria" w:eastAsia="Cambria" w:hAnsi="Cambria"/>
          <w:b/>
          <w:bCs/>
          <w:color w:val="1B5E3F"/>
          <w:sz w:val="24"/>
          <w:szCs w:val="24"/>
        </w:rPr>
        <w:t xml:space="preserve">7.1. La boucle de rumination</w:t>
      </w:r>
    </w:p>
    <w:p>
      <w:pPr>
        <w:spacing w:after="140" w:line="276"/>
        <w:jc w:val="both"/>
      </w:pPr>
      <w:r>
        <w:rPr>
          <w:rFonts w:ascii="Cambria" w:cs="Cambria" w:eastAsia="Cambria" w:hAnsi="Cambria"/>
          <w:color w:val="1A1A1A"/>
          <w:sz w:val="21"/>
          <w:szCs w:val="21"/>
        </w:rPr>
        <w:t xml:space="preserve">La rumination remet sans cesse le stresseur au présent. Le patient rejoue la scène, anticipe ses conséquences ou cherche une solution immédiate à un problème qui ne peut pas encore être résolu. À chaque reprise, le corps peut repartir : cœur plus rapide, mâchoire et épaules tendues, respiration modifiée, abdomen inconfortable, vigilance augmentée.</w:t>
      </w:r>
    </w:p>
    <w:p>
      <w:pPr>
        <w:pStyle w:val="Heading2"/>
        <w:keepNext/>
        <w:spacing w:after="130" w:before="320"/>
      </w:pPr>
      <w:r>
        <w:rPr>
          <w:rFonts w:ascii="Cambria" w:cs="Cambria" w:eastAsia="Cambria" w:hAnsi="Cambria"/>
          <w:b/>
          <w:bCs/>
          <w:color w:val="1B5E3F"/>
          <w:sz w:val="24"/>
          <w:szCs w:val="24"/>
        </w:rPr>
        <w:t xml:space="preserve">7.2. Le sommeil comme condition de clôture</w:t>
      </w:r>
    </w:p>
    <w:p>
      <w:pPr>
        <w:spacing w:after="140" w:line="276"/>
        <w:jc w:val="both"/>
      </w:pPr>
      <w:r>
        <w:rPr>
          <w:rFonts w:ascii="Cambria" w:cs="Cambria" w:eastAsia="Cambria" w:hAnsi="Cambria"/>
          <w:color w:val="1A1A1A"/>
          <w:sz w:val="21"/>
          <w:szCs w:val="21"/>
        </w:rPr>
        <w:t xml:space="preserve">Le sommeil participe à la récupération neuroendocrinienne, métabolique et cognitive. Une mauvaise nuit augmente la réactivité émotionnelle et réduit la tolérance à la douleur ; le stress de la journée suivante perturbe à son tour le sommeil. Cette boucle contribue fortement à la charge allostatique.</w:t>
      </w:r>
    </w:p>
    <w:p>
      <w:pPr>
        <w:pStyle w:val="Heading2"/>
        <w:keepNext/>
        <w:spacing w:after="130" w:before="320"/>
      </w:pPr>
      <w:r>
        <w:rPr>
          <w:rFonts w:ascii="Cambria" w:cs="Cambria" w:eastAsia="Cambria" w:hAnsi="Cambria"/>
          <w:b/>
          <w:bCs/>
          <w:color w:val="1B5E3F"/>
          <w:sz w:val="24"/>
          <w:szCs w:val="24"/>
        </w:rPr>
        <w:t xml:space="preserve">7.3. Les coûts périphériques</w:t>
      </w:r>
    </w:p>
    <w:p>
      <w:pPr>
        <w:pStyle w:val="ListParagraph"/>
        <w:numPr>
          <w:ilvl w:val="0"/>
          <w:numId w:val="2"/>
        </w:numPr>
        <w:spacing w:after="80" w:line="276"/>
        <w:jc w:val="both"/>
      </w:pPr>
      <w:r>
        <w:rPr>
          <w:rFonts w:ascii="Cambria" w:cs="Cambria" w:eastAsia="Cambria" w:hAnsi="Cambria"/>
          <w:b/>
          <w:bCs/>
          <w:color w:val="1A1A1A"/>
          <w:sz w:val="21"/>
          <w:szCs w:val="21"/>
        </w:rPr>
        <w:t xml:space="preserve">Myocarde</w:t>
      </w:r>
      <w:r>
        <w:rPr>
          <w:rFonts w:ascii="Cambria" w:cs="Cambria" w:eastAsia="Cambria" w:hAnsi="Cambria"/>
          <w:color w:val="1A1A1A"/>
          <w:sz w:val="21"/>
          <w:szCs w:val="21"/>
        </w:rPr>
        <w:t xml:space="preserve"> : maintien prolongé d'une activation cardiovasculaire et d'une vigilance circulatoire.</w:t>
      </w:r>
    </w:p>
    <w:p>
      <w:pPr>
        <w:pStyle w:val="ListParagraph"/>
        <w:numPr>
          <w:ilvl w:val="0"/>
          <w:numId w:val="2"/>
        </w:numPr>
        <w:spacing w:after="80" w:line="276"/>
        <w:jc w:val="both"/>
      </w:pPr>
      <w:r>
        <w:rPr>
          <w:rFonts w:ascii="Cambria" w:cs="Cambria" w:eastAsia="Cambria" w:hAnsi="Cambria"/>
          <w:b/>
          <w:bCs/>
          <w:color w:val="1A1A1A"/>
          <w:sz w:val="21"/>
          <w:szCs w:val="21"/>
        </w:rPr>
        <w:t xml:space="preserve">Musculature</w:t>
      </w:r>
      <w:r>
        <w:rPr>
          <w:rFonts w:ascii="Cambria" w:cs="Cambria" w:eastAsia="Cambria" w:hAnsi="Cambria"/>
          <w:color w:val="1A1A1A"/>
          <w:sz w:val="21"/>
          <w:szCs w:val="21"/>
        </w:rPr>
        <w:t xml:space="preserve"> : tonus défensif persistant, notamment au niveau de la mâchoire, des épaules, du diaphragme et du plancher pelvien.</w:t>
      </w:r>
    </w:p>
    <w:p>
      <w:pPr>
        <w:pStyle w:val="ListParagraph"/>
        <w:numPr>
          <w:ilvl w:val="0"/>
          <w:numId w:val="2"/>
        </w:numPr>
        <w:spacing w:after="80" w:line="276"/>
        <w:jc w:val="both"/>
      </w:pPr>
      <w:r>
        <w:rPr>
          <w:rFonts w:ascii="Cambria" w:cs="Cambria" w:eastAsia="Cambria" w:hAnsi="Cambria"/>
          <w:b/>
          <w:bCs/>
          <w:color w:val="1A1A1A"/>
          <w:sz w:val="21"/>
          <w:szCs w:val="21"/>
        </w:rPr>
        <w:t xml:space="preserve">Respiration</w:t>
      </w:r>
      <w:r>
        <w:rPr>
          <w:rFonts w:ascii="Cambria" w:cs="Cambria" w:eastAsia="Cambria" w:hAnsi="Cambria"/>
          <w:color w:val="1A1A1A"/>
          <w:sz w:val="21"/>
          <w:szCs w:val="21"/>
        </w:rPr>
        <w:t xml:space="preserve"> : rythme plus rapide ou plus haut, apnées de tension, recrutement accru des muscles accessoires.</w:t>
      </w:r>
    </w:p>
    <w:p>
      <w:pPr>
        <w:pStyle w:val="ListParagraph"/>
        <w:numPr>
          <w:ilvl w:val="0"/>
          <w:numId w:val="2"/>
        </w:numPr>
        <w:spacing w:after="80" w:line="276"/>
        <w:jc w:val="both"/>
      </w:pPr>
      <w:r>
        <w:rPr>
          <w:rFonts w:ascii="Cambria" w:cs="Cambria" w:eastAsia="Cambria" w:hAnsi="Cambria"/>
          <w:b/>
          <w:bCs/>
          <w:color w:val="1A1A1A"/>
          <w:sz w:val="21"/>
          <w:szCs w:val="21"/>
        </w:rPr>
        <w:t xml:space="preserve">Système digestif</w:t>
      </w:r>
      <w:r>
        <w:rPr>
          <w:rFonts w:ascii="Cambria" w:cs="Cambria" w:eastAsia="Cambria" w:hAnsi="Cambria"/>
          <w:color w:val="1A1A1A"/>
          <w:sz w:val="21"/>
          <w:szCs w:val="21"/>
        </w:rPr>
        <w:t xml:space="preserve"> : motricité, sécrétions et perception viscérale modifiées.</w:t>
      </w:r>
    </w:p>
    <w:p>
      <w:pPr>
        <w:pStyle w:val="ListParagraph"/>
        <w:numPr>
          <w:ilvl w:val="0"/>
          <w:numId w:val="2"/>
        </w:numPr>
        <w:spacing w:after="80" w:line="276"/>
        <w:jc w:val="both"/>
      </w:pPr>
      <w:r>
        <w:rPr>
          <w:rFonts w:ascii="Cambria" w:cs="Cambria" w:eastAsia="Cambria" w:hAnsi="Cambria"/>
          <w:b/>
          <w:bCs/>
          <w:color w:val="1A1A1A"/>
          <w:sz w:val="21"/>
          <w:szCs w:val="21"/>
        </w:rPr>
        <w:t xml:space="preserve">Système immunitaire</w:t>
      </w:r>
      <w:r>
        <w:rPr>
          <w:rFonts w:ascii="Cambria" w:cs="Cambria" w:eastAsia="Cambria" w:hAnsi="Cambria"/>
          <w:color w:val="1A1A1A"/>
          <w:sz w:val="21"/>
          <w:szCs w:val="21"/>
        </w:rPr>
        <w:t xml:space="preserve"> : modulation répétée des réponses inflammatoires et de surveillance.</w:t>
      </w:r>
    </w:p>
    <w:p>
      <w:pPr>
        <w:spacing w:after="80"/>
      </w:pPr>
      <w:r>
        <w:rPr>
          <w:sz w:val="4"/>
          <w:szCs w:val="4"/>
        </w:rPr>
        <w:t xml:space="preserve"/>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THÈSE CENTRALE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Ce qui devient coûteux n'est pas la mobilisation initiale, mais l'impossibilité de terminer le cycle : mobilisation, action ou adaptation, puis récupération et retour à une ligne de base souple.</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8. Le coût de régulation : une mobilisation active, pas une batterie qui se vide</w:t>
      </w:r>
    </w:p>
    <w:p>
      <w:pPr>
        <w:spacing w:after="140" w:line="276"/>
        <w:jc w:val="both"/>
      </w:pPr>
      <w:r>
        <w:rPr>
          <w:rFonts w:ascii="Cambria" w:cs="Cambria" w:eastAsia="Cambria" w:hAnsi="Cambria"/>
          <w:color w:val="1A1A1A"/>
          <w:sz w:val="21"/>
          <w:szCs w:val="21"/>
        </w:rPr>
        <w:t xml:space="preserve">L'image de la batterie qui se vide est parlante, mais elle est inexacte si on la prend au pied de la lettre. L'organisme ne reçoit pas le matin une quantité fixe d'ATP qu'il consommerait jusqu'au soir. L'ATP est produit et renouvelé en permanence, selon les besoins.</w:t>
      </w:r>
    </w:p>
    <w:p>
      <w:pPr>
        <w:spacing w:after="140" w:line="276"/>
        <w:jc w:val="both"/>
      </w:pPr>
      <w:r>
        <w:rPr>
          <w:rFonts w:ascii="Cambria" w:cs="Cambria" w:eastAsia="Cambria" w:hAnsi="Cambria"/>
          <w:color w:val="1A1A1A"/>
          <w:sz w:val="21"/>
          <w:szCs w:val="21"/>
        </w:rPr>
        <w:t xml:space="preserve">La métaphore du budget reste néanmoins utile pour expliquer les priorités. En situation de défense, l'organisme investit davantage dans la vigilance, la musculature, la circulation et la régulation hormonale. La digestion, la reproduction, le sommeil ou la réparation peuvent alors être temporairement modifiés ou différés.</w:t>
      </w:r>
    </w:p>
    <w:p>
      <w:pPr>
        <w:spacing w:after="140" w:line="276"/>
        <w:jc w:val="both"/>
      </w:pPr>
      <w:r>
        <w:rPr>
          <w:rFonts w:ascii="Cambria" w:cs="Cambria" w:eastAsia="Cambria" w:hAnsi="Cambria"/>
          <w:color w:val="1A1A1A"/>
          <w:sz w:val="21"/>
          <w:szCs w:val="21"/>
        </w:rPr>
        <w:t xml:space="preserve">La charge allostatique représente donc moins une fuite d'énergie qu'une mobilisation réglementaire coûteuse. Le prix est payé lorsque l'état défensif reste durablement élevé au détriment de la maintenance, de la récupération et de la flexibilité.</w:t>
      </w:r>
    </w:p>
    <w:p>
      <w:pPr>
        <w:spacing w:after="140" w:line="276"/>
        <w:jc w:val="both"/>
      </w:pPr>
      <w:r>
        <w:rPr>
          <w:rFonts w:ascii="Cambria" w:cs="Cambria" w:eastAsia="Cambria" w:hAnsi="Cambria"/>
          <w:color w:val="1A1A1A"/>
          <w:sz w:val="21"/>
          <w:szCs w:val="21"/>
        </w:rPr>
        <w:t xml:space="preserve">Ce coût de régulation ne se joue pas seulement à l'échelle des organes et des grandes fonctions. Il se retrouve aussi au niveau des cellules. Lorsqu'elles sont exposées durablement à un environnement hormonal et métabolique contraignant, elles doivent elles aussi ajuster leur fonctionnement pour maintenir l'équilibre. Cette compensation peut être efficace à court terme, mais elle devient coûteuse lorsqu'elle se prolonge.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Le stress chronique ne vide pas une batterie. Il oblige l'organisme à réorganiser sans cesse ses priorités. Cette régulation répétée devient coûteuse lorsqu'elle n'est pas suivie d'une récupération suffisante.</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9. À l'échelle cellulaire : le prix de la compensation</w:t>
      </w:r>
    </w:p>
    <w:p>
      <w:pPr>
        <w:pStyle w:val="Heading2"/>
        <w:keepNext/>
        <w:spacing w:after="130" w:before="320"/>
      </w:pPr>
      <w:r>
        <w:rPr>
          <w:rFonts w:ascii="Cambria" w:cs="Cambria" w:eastAsia="Cambria" w:hAnsi="Cambria"/>
          <w:b/>
          <w:bCs/>
          <w:color w:val="1B5E3F"/>
          <w:sz w:val="24"/>
          <w:szCs w:val="24"/>
        </w:rPr>
        <w:t xml:space="preserve">9.1. Les mitochondries au cœur de l'adaptation</w:t>
      </w:r>
    </w:p>
    <w:p>
      <w:pPr>
        <w:spacing w:after="140" w:line="276"/>
        <w:jc w:val="both"/>
      </w:pPr>
      <w:r>
        <w:rPr>
          <w:rFonts w:ascii="Cambria" w:cs="Cambria" w:eastAsia="Cambria" w:hAnsi="Cambria"/>
          <w:color w:val="1A1A1A"/>
          <w:sz w:val="21"/>
          <w:szCs w:val="21"/>
        </w:rPr>
        <w:t xml:space="preserve">Plongeons maintenant à l'échelle cellulaire pour essayer de comprendre ce prix de la compensation.</w:t>
      </w:r>
    </w:p>
    <w:p>
      <w:pPr>
        <w:spacing w:after="140" w:line="276"/>
        <w:jc w:val="both"/>
      </w:pPr>
      <w:r>
        <w:rPr>
          <w:rFonts w:ascii="Cambria" w:cs="Cambria" w:eastAsia="Cambria" w:hAnsi="Cambria"/>
          <w:color w:val="1A1A1A"/>
          <w:sz w:val="21"/>
          <w:szCs w:val="21"/>
        </w:rPr>
        <w:t xml:space="preserve">À l'échelle cellulaire, les mitochondries ne sont pas de simples batteries. Elles transforment l'énergie des nutriments en formes utilisables, mais participent aussi à la signalisation, aux défenses antioxydantes, à l'immunité et à la mort cellulaire programmée. Elles s'adaptent en permanence à l'environnement hormonal et métabolique.</w:t>
      </w:r>
    </w:p>
    <w:p>
      <w:pPr>
        <w:pStyle w:val="Heading2"/>
        <w:keepNext/>
        <w:spacing w:after="130" w:before="320"/>
      </w:pPr>
      <w:r>
        <w:rPr>
          <w:rFonts w:ascii="Cambria" w:cs="Cambria" w:eastAsia="Cambria" w:hAnsi="Cambria"/>
          <w:b/>
          <w:bCs/>
          <w:color w:val="1B5E3F"/>
          <w:sz w:val="24"/>
          <w:szCs w:val="24"/>
        </w:rPr>
        <w:t xml:space="preserve">9.2. Hypermétabolisme induit par les glucocorticoïdes</w:t>
      </w:r>
    </w:p>
    <w:p>
      <w:pPr>
        <w:spacing w:after="140" w:line="276"/>
        <w:jc w:val="both"/>
      </w:pPr>
      <w:r>
        <w:rPr>
          <w:rFonts w:ascii="Cambria" w:cs="Cambria" w:eastAsia="Cambria" w:hAnsi="Cambria"/>
          <w:color w:val="1A1A1A"/>
          <w:sz w:val="21"/>
          <w:szCs w:val="21"/>
        </w:rPr>
        <w:t xml:space="preserve">Une étude menée sur trois lignées de fibroblastes humains a montré qu'une exposition chronique aux glucocorticoïdes augmentait d'environ 60 % la dépense énergétique cellulaire, avec un recours accru à la phosphorylation oxydative mitochondriale. Cette compensation s'accompagnait d'une instabilité de l'ADN mitochondrial, d'un raccourcissement télomérique plus rapide et de certains marqueurs de vieillissement cellulaire [3].</w:t>
      </w:r>
    </w:p>
    <w:p>
      <w:pPr>
        <w:spacing w:after="140" w:line="276"/>
        <w:jc w:val="both"/>
      </w:pPr>
      <w:r>
        <w:rPr>
          <w:rFonts w:ascii="Cambria" w:cs="Cambria" w:eastAsia="Cambria" w:hAnsi="Cambria"/>
          <w:color w:val="1A1A1A"/>
          <w:sz w:val="21"/>
          <w:szCs w:val="21"/>
        </w:rPr>
        <w:t xml:space="preserve">Il faut bien comprendre la portée de ce résultat : il ne signifie pas qu'une personne stressée dépense 60 % d'énergie supplémentaire. Il s'agit de cellules cultivées et exposées expérimentalement. L'enseignement utile est plus simple : une cellule sous contrainte peut devoir travailler davantage pour maintenir le même fonctionnement, et cette compensation peut devenir coûteuse.</w:t>
      </w:r>
    </w:p>
    <w:p>
      <w:pPr>
        <w:pStyle w:val="Heading2"/>
        <w:keepNext/>
        <w:spacing w:after="130" w:before="320"/>
      </w:pPr>
      <w:r>
        <w:rPr>
          <w:rFonts w:ascii="Cambria" w:cs="Cambria" w:eastAsia="Cambria" w:hAnsi="Cambria"/>
          <w:b/>
          <w:bCs/>
          <w:color w:val="1B5E3F"/>
          <w:sz w:val="24"/>
          <w:szCs w:val="24"/>
        </w:rPr>
        <w:t xml:space="preserve">9.3. Quand la compensation devient coûteuse</w:t>
      </w:r>
    </w:p>
    <w:p>
      <w:pPr>
        <w:spacing w:after="140" w:line="276"/>
        <w:jc w:val="both"/>
      </w:pPr>
      <w:r>
        <w:rPr>
          <w:rFonts w:ascii="Cambria" w:cs="Cambria" w:eastAsia="Cambria" w:hAnsi="Cambria"/>
          <w:color w:val="1A1A1A"/>
          <w:sz w:val="21"/>
          <w:szCs w:val="21"/>
        </w:rPr>
        <w:t xml:space="preserve">Une cellule fragilisée peut augmenter plusieurs mécanismes de compensation : renouvellement protéique, défense antioxydante, activité mitochondriale ou réparation. Elle « fait plus » pour obtenir le même résultat. Cette mobilisation peut maintenir l'équilibre pendant un temps, mais elle réduit la marge disponible lorsqu'une nouvelle contrainte survient.</w:t>
      </w:r>
    </w:p>
    <w:p>
      <w:pPr>
        <w:pStyle w:val="Heading2"/>
        <w:keepNext/>
        <w:spacing w:after="130" w:before="320"/>
      </w:pPr>
      <w:r>
        <w:rPr>
          <w:rFonts w:ascii="Cambria" w:cs="Cambria" w:eastAsia="Cambria" w:hAnsi="Cambria"/>
          <w:b/>
          <w:bCs/>
          <w:color w:val="1B5E3F"/>
          <w:sz w:val="24"/>
          <w:szCs w:val="24"/>
        </w:rPr>
        <w:t xml:space="preserve">9.4. Le principe de résistance énergétique</w:t>
      </w:r>
    </w:p>
    <w:p>
      <w:pPr>
        <w:spacing w:after="140" w:line="276"/>
        <w:jc w:val="both"/>
      </w:pPr>
      <w:r>
        <w:rPr>
          <w:rFonts w:ascii="Cambria" w:cs="Cambria" w:eastAsia="Cambria" w:hAnsi="Cambria"/>
          <w:color w:val="1A1A1A"/>
          <w:sz w:val="21"/>
          <w:szCs w:val="21"/>
        </w:rPr>
        <w:t xml:space="preserve">Le principe de résistance énergétique proposé par Picard et Murugan cherche à décrire la relation entre la demande imposée à un système et sa capacité à transformer le flux énergétique en travail utile [4]. Une certaine résistance est nécessaire ; lorsqu'elle devient excessive, elle pourrait favoriser chaleur, stress oxydatif, inflammation et dommages moléculaires. Ce cadre est récent : il constitue une hypothèse théorique stimulante.</w:t>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10. Le modèle du seuil : trouble fonctionnel et altération structurelle</w:t>
      </w:r>
    </w:p>
    <w:p>
      <w:pPr>
        <w:spacing w:after="140" w:line="276"/>
        <w:jc w:val="both"/>
      </w:pPr>
      <w:r>
        <w:rPr>
          <w:rFonts w:ascii="Cambria" w:cs="Cambria" w:eastAsia="Cambria" w:hAnsi="Cambria"/>
          <w:color w:val="1A1A1A"/>
          <w:sz w:val="21"/>
          <w:szCs w:val="21"/>
        </w:rPr>
        <w:t xml:space="preserve">Revenons maintenant au patient. Le modèle du seuil permet de distinguer trois situations. Dans l'adaptation aiguë, la réponse est proportionnée et l'organisme revient spontanément à l'équilibre. Dans le trouble fonctionnel, le signal d'alarme persiste et la récupération reste incomplète, mais l'intégrité anatomique est globalement préservée. Dans l'altération structurelle, des lésions, une perte cellulaire ou une maladie installée limitent la réversibilité.</w:t>
      </w:r>
    </w:p>
    <w:p>
      <w:pPr>
        <w:spacing w:after="140" w:line="276"/>
        <w:jc w:val="both"/>
      </w:pPr>
      <w:r>
        <w:rPr>
          <w:rFonts w:ascii="Cambria" w:cs="Cambria" w:eastAsia="Cambria" w:hAnsi="Cambria"/>
          <w:color w:val="1A1A1A"/>
          <w:sz w:val="21"/>
          <w:szCs w:val="21"/>
        </w:rPr>
        <w:t xml:space="preserve">C'est dans la marge fonctionnelle que la ROP trouve sa place la plus cohérente : lorsque les capacités d'adaptation sont encore mobilisables. Lorsque la pathologie est structurelle, la ROP ne remplace ni le diagnostic médical ni les traitements nécessaires. Elle peut conserver une place d'accompagnement sur le confort, la douleur, le repos ou la perception corporelle.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FENÊTRE D'ACTION ROP</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La ROP trouve sa place la plus cohérente dans la marge fonctionnelle : lorsque l'organisme peut encore modifier sa réponse. Dans les pathologies structurées, elle reste une approche d'accompagnement et ne revendique pas d'action curative propre.</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11. La cible autonome : la flexibilité, non la domination vagale</w:t>
      </w:r>
    </w:p>
    <w:p>
      <w:pPr>
        <w:spacing w:after="140" w:line="276"/>
        <w:jc w:val="both"/>
      </w:pPr>
      <w:r>
        <w:rPr>
          <w:rFonts w:ascii="Cambria" w:cs="Cambria" w:eastAsia="Cambria" w:hAnsi="Cambria"/>
          <w:color w:val="1A1A1A"/>
          <w:sz w:val="21"/>
          <w:szCs w:val="21"/>
        </w:rPr>
        <w:t xml:space="preserve">Un organisme en bonne santé n'est pas un organisme toujours calme. Il doit pouvoir se mobiliser rapidement, soutenir un effort, défendre son intégrité, puis revenir vers la récupération. Le sympathique est indispensable à l'action ; le parasympathique est indispensable à la restauration. La santé réside dans le passage souple d'un état à l'autre.</w:t>
      </w:r>
    </w:p>
    <w:p>
      <w:pPr>
        <w:spacing w:after="140" w:line="276"/>
        <w:jc w:val="both"/>
      </w:pPr>
      <w:r>
        <w:rPr>
          <w:rFonts w:ascii="Cambria" w:cs="Cambria" w:eastAsia="Cambria" w:hAnsi="Cambria"/>
          <w:color w:val="1A1A1A"/>
          <w:sz w:val="21"/>
          <w:szCs w:val="21"/>
        </w:rPr>
        <w:t xml:space="preserve">En ROP, nous ne cherchons donc ni à éteindre le sympathique ni à « faire monter le vague » à tout prix. Une activation vagale excessive ou inappropriée peut s'accompagner de nausées, de bradycardie, d'hypotension ou de syncope. Notre cible clinique est la flexibilité autonome : pouvoir se mobiliser lorsque c'est nécessaire, puis ne pas rester bloqué lorsque le danger est passé.</w:t>
      </w:r>
    </w:p>
    <w:p>
      <w:pPr>
        <w:spacing w:after="140" w:line="276"/>
        <w:jc w:val="both"/>
      </w:pPr>
      <w:r>
        <w:rPr>
          <w:rFonts w:ascii="Cambria" w:cs="Cambria" w:eastAsia="Cambria" w:hAnsi="Cambria"/>
          <w:color w:val="1A1A1A"/>
          <w:sz w:val="21"/>
          <w:szCs w:val="21"/>
        </w:rPr>
        <w:t xml:space="preserve">La Théorie Polyvagale propose une lecture hiérarchisée entre engagement social, mobilisation sympathique et immobilisation défensive. Elle apporte au praticien un vocabulaire précieux pour nommer des états qu'il observe quotidiennement : le patient disponible et en lien, celui qui est mobilisé et sur le qui-vive, celui qui se retire et se fige. Elle place surtout la sécurité perçue et la qualité du lien au centre de la relation thérapeutique, ce qui rejoint directement notre pratique : le toucher prévisible, annoncé et mesuré n'est pas seulement une technique, il participe au contexte qui rend la récupération possible.</w:t>
      </w:r>
    </w:p>
    <w:p>
      <w:pPr>
        <w:spacing w:after="140" w:line="276"/>
        <w:jc w:val="both"/>
      </w:pPr>
      <w:r>
        <w:rPr>
          <w:rFonts w:ascii="Cambria" w:cs="Cambria" w:eastAsia="Cambria" w:hAnsi="Cambria"/>
          <w:color w:val="1A1A1A"/>
          <w:sz w:val="21"/>
          <w:szCs w:val="21"/>
        </w:rPr>
        <w:t xml:space="preserve">Cette lecture enrichit ainsi la pédagogie clinique de la ROP et éclaire notre cible : non pas imposer un état, mais restaurer la capacité de passer souplement de l'un à l'autre.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Pouvoir agir quand il le faut, puis revenir naturellement vers le lien, la digestion, le repos et la récupération.</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12. Le pont avec la ROP : agir sur la réponse, non sur l'existence du stresseur</w:t>
      </w:r>
    </w:p>
    <w:p>
      <w:pPr>
        <w:spacing w:after="140" w:line="276"/>
        <w:jc w:val="both"/>
      </w:pPr>
      <w:r>
        <w:rPr>
          <w:rFonts w:ascii="Cambria" w:cs="Cambria" w:eastAsia="Cambria" w:hAnsi="Cambria"/>
          <w:color w:val="1A1A1A"/>
          <w:sz w:val="21"/>
          <w:szCs w:val="21"/>
        </w:rPr>
        <w:t xml:space="preserve">La ROP ne supprime ni le conflit professionnel, ni le deuil, ni la douleur inflammatoire, ni le manque de sommeil. Elle n'agit pas sur l'événement extérieur. Son intervention potentielle se situe ailleurs : dans les boucles corporelles qui prolongent la réponse, comme la tension, la respiration, la vigilance, la douleur, l'activité viscérale et les signaux intéroceptifs.</w:t>
      </w:r>
    </w:p>
    <w:p>
      <w:pPr>
        <w:spacing w:after="140" w:line="276"/>
        <w:jc w:val="both"/>
      </w:pPr>
      <w:r>
        <w:rPr>
          <w:rFonts w:ascii="Cambria" w:cs="Cambria" w:eastAsia="Cambria" w:hAnsi="Cambria"/>
          <w:color w:val="1A1A1A"/>
          <w:sz w:val="21"/>
          <w:szCs w:val="21"/>
        </w:rPr>
        <w:t xml:space="preserve">Une stimulation tactile prévisible et mesurée peut fournir des informations somatosensorielles nouvelles. Ces informations sont intégrées par le système nerveux central et peuvent modifier l'attention portée au corps, la perception de la douleur et l'état de bien-être. Une étude randomisée en IRM fonctionnelle a montré que la réflexologie podale et un massage témoin modifiaient tous deux la connectivité de réseaux sensorimoteurs, du mode par défaut et associés à la douleur. Aucune différence spécifique entre les deux interventions n'a toutefois été démontrée chez les sujets sains [5].</w:t>
      </w:r>
    </w:p>
    <w:p>
      <w:pPr>
        <w:spacing w:after="140" w:line="276"/>
        <w:jc w:val="both"/>
      </w:pPr>
      <w:r>
        <w:rPr>
          <w:rFonts w:ascii="Cambria" w:cs="Cambria" w:eastAsia="Cambria" w:hAnsi="Cambria"/>
          <w:color w:val="1A1A1A"/>
          <w:sz w:val="21"/>
          <w:szCs w:val="21"/>
        </w:rPr>
        <w:t xml:space="preserve">Cette étude montre que le toucher et le contexte thérapeutique produisent des effets mesurables, mais elle ne démontre pas la spécificité des zones réflexes. L'hypothèse la plus prudente est donc ascendante, ou </w:t>
      </w:r>
      <w:r>
        <w:rPr>
          <w:rFonts w:ascii="Cambria" w:cs="Cambria" w:eastAsia="Cambria" w:hAnsi="Cambria"/>
          <w:i/>
          <w:iCs/>
          <w:color w:val="1A1A1A"/>
          <w:sz w:val="21"/>
          <w:szCs w:val="21"/>
        </w:rPr>
        <w:t xml:space="preserve">bottom-up</w:t>
      </w:r>
      <w:r>
        <w:rPr>
          <w:rFonts w:ascii="Cambria" w:cs="Cambria" w:eastAsia="Cambria" w:hAnsi="Cambria"/>
          <w:color w:val="1A1A1A"/>
          <w:sz w:val="21"/>
          <w:szCs w:val="21"/>
        </w:rPr>
        <w:t xml:space="preserve"> : le toucher apporte une information corporelle nouvelle ; cette information modifie l'interoception et les réseaux de régulation ; l'organisme peut alors diminuer une partie de son tonus défensif.</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HYPOTHÈSE ROP</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Toucher mesuré et contexte prévisible → information corporelle nouvelle → intégration intéroceptive → modulation possible de la réponse autonome → meilleures conditions de récupération.</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13. La séance ROP : stimuler, puis laisser intégrer</w:t>
      </w:r>
    </w:p>
    <w:p>
      <w:pPr>
        <w:spacing w:after="140" w:line="276"/>
        <w:jc w:val="both"/>
      </w:pPr>
      <w:r>
        <w:rPr>
          <w:rFonts w:ascii="Cambria" w:cs="Cambria" w:eastAsia="Cambria" w:hAnsi="Cambria"/>
          <w:color w:val="1A1A1A"/>
          <w:sz w:val="21"/>
          <w:szCs w:val="21"/>
        </w:rPr>
        <w:t xml:space="preserve">Une séance ne consiste pas à multiplier les stimulations. Elle apporte une information sensorielle dosée, puis laisse au système le temps de l'intégrer. Le praticien doit toujours mettre en rapport ce qu'il applique avec ce que le patient est capable de recevoir ce jour-là.</w:t>
      </w:r>
    </w:p>
    <w:p>
      <w:pPr>
        <w:pStyle w:val="Heading2"/>
        <w:keepNext/>
        <w:spacing w:after="130" w:before="320"/>
      </w:pPr>
      <w:r>
        <w:rPr>
          <w:rFonts w:ascii="Cambria" w:cs="Cambria" w:eastAsia="Cambria" w:hAnsi="Cambria"/>
          <w:b/>
          <w:bCs/>
          <w:color w:val="1B5E3F"/>
          <w:sz w:val="24"/>
          <w:szCs w:val="24"/>
        </w:rPr>
        <w:t xml:space="preserve">13.1. Premier temps : évaluation tissulaire et clinique</w:t>
      </w:r>
    </w:p>
    <w:p>
      <w:pPr>
        <w:spacing w:after="140" w:line="276"/>
        <w:jc w:val="both"/>
      </w:pPr>
      <w:r>
        <w:rPr>
          <w:rFonts w:ascii="Cambria" w:cs="Cambria" w:eastAsia="Cambria" w:hAnsi="Cambria"/>
          <w:color w:val="1A1A1A"/>
          <w:sz w:val="21"/>
          <w:szCs w:val="21"/>
        </w:rPr>
        <w:t xml:space="preserve">Le praticien commence par écouter, observer et examiner. Il recherche les zones de densité, de sensibilité, de restriction ou de réponse inhabituelle, mais les replace toujours dans l'anamnèse, le stade d'adaptation, les traitements en cours et les signes d'alerte. Cette évaluation sert à choisir et à doser ; elle ne justifie jamais de stimuler systématiquement toutes les zones.</w:t>
      </w:r>
    </w:p>
    <w:p>
      <w:pPr>
        <w:pStyle w:val="Heading2"/>
        <w:keepNext/>
        <w:spacing w:after="130" w:before="320"/>
      </w:pPr>
      <w:r>
        <w:rPr>
          <w:rFonts w:ascii="Cambria" w:cs="Cambria" w:eastAsia="Cambria" w:hAnsi="Cambria"/>
          <w:b/>
          <w:bCs/>
          <w:color w:val="1B5E3F"/>
          <w:sz w:val="24"/>
          <w:szCs w:val="24"/>
        </w:rPr>
        <w:t xml:space="preserve">13.2. Deuxième temps : sollicitation</w:t>
      </w:r>
    </w:p>
    <w:p>
      <w:pPr>
        <w:spacing w:after="140" w:line="276"/>
        <w:jc w:val="both"/>
      </w:pPr>
      <w:r>
        <w:rPr>
          <w:rFonts w:ascii="Cambria" w:cs="Cambria" w:eastAsia="Cambria" w:hAnsi="Cambria"/>
          <w:color w:val="1A1A1A"/>
          <w:sz w:val="21"/>
          <w:szCs w:val="21"/>
        </w:rPr>
        <w:t xml:space="preserve">La sollicitation doit être précise et lisible pour le système nerveux. Elle doit être assez claire pour être perçue, mais assez mesurée pour ne pas ajouter une défense à la défense. Une douleur intense n'est ni un objectif thérapeutique ni une preuve d'efficacité.</w:t>
      </w:r>
    </w:p>
    <w:p>
      <w:pPr>
        <w:pStyle w:val="Heading2"/>
        <w:keepNext/>
        <w:spacing w:after="130" w:before="320"/>
      </w:pPr>
      <w:r>
        <w:rPr>
          <w:rFonts w:ascii="Cambria" w:cs="Cambria" w:eastAsia="Cambria" w:hAnsi="Cambria"/>
          <w:b/>
          <w:bCs/>
          <w:color w:val="1B5E3F"/>
          <w:sz w:val="24"/>
          <w:szCs w:val="24"/>
        </w:rPr>
        <w:t xml:space="preserve">13.3. Troisième temps : ne rien faire et laisser faire</w:t>
      </w:r>
    </w:p>
    <w:p>
      <w:pPr>
        <w:spacing w:after="140" w:line="276"/>
        <w:jc w:val="both"/>
      </w:pPr>
      <w:r>
        <w:rPr>
          <w:rFonts w:ascii="Cambria" w:cs="Cambria" w:eastAsia="Cambria" w:hAnsi="Cambria"/>
          <w:color w:val="1A1A1A"/>
          <w:sz w:val="21"/>
          <w:szCs w:val="21"/>
        </w:rPr>
        <w:t xml:space="preserve">Vient ensuite le temps du « ne rien faire et laisser faire ». Le praticien observe la respiration, le tonus, la chaleur, la détente, l'agitation, la fatigue, l'inconfort ou l'absence de modification. Ce silence tactile fait partie du traitement : la séance ne s'arrête pas avec la dernière sollicitation, elle se prolonge dans la manière dont le patient intègre et récupère.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PRINCIPE DE DOSAGE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Le meilleur stimulus n'est pas le plus fort. C'est celui que le patient peut intégrer sans ajouter de charge à son système.</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14. Les quatre niveaux ROP appliqués au stress</w:t>
      </w:r>
    </w:p>
    <w:p>
      <w:pPr>
        <w:spacing w:after="140" w:line="276"/>
        <w:jc w:val="both"/>
      </w:pPr>
      <w:r>
        <w:rPr>
          <w:rFonts w:ascii="Cambria" w:cs="Cambria" w:eastAsia="Cambria" w:hAnsi="Cambria"/>
          <w:color w:val="1A1A1A"/>
          <w:sz w:val="21"/>
          <w:szCs w:val="21"/>
        </w:rPr>
        <w:t xml:space="preserve">La séance ROP s'organise selon quatre niveaux complémentaires — régulation des centres supérieurs, régulation neuro-végétative et adaptation, régulation loco-régionale et cible, puis intégration viscéro-somatique et viscéro-émotionnelle. Cette séquence, ses repères anatomiques et ses règles de sélection sont développés au </w:t>
      </w:r>
      <w:r>
        <w:rPr>
          <w:rFonts w:ascii="Cambria" w:cs="Cambria" w:eastAsia="Cambria" w:hAnsi="Cambria"/>
          <w:b/>
          <w:bCs/>
          <w:color w:val="1A1A1A"/>
          <w:sz w:val="21"/>
          <w:szCs w:val="21"/>
        </w:rPr>
        <w:t xml:space="preserve">chapitre 2</w:t>
      </w:r>
      <w:r>
        <w:rPr>
          <w:rFonts w:ascii="Cambria" w:cs="Cambria" w:eastAsia="Cambria" w:hAnsi="Cambria"/>
          <w:color w:val="1A1A1A"/>
          <w:sz w:val="21"/>
          <w:szCs w:val="21"/>
        </w:rPr>
        <w:t xml:space="preserve">. Nous n'en rappelons ici que la traduction propre au contexte du stress.</w:t>
      </w:r>
    </w:p>
    <w:tbl>
      <w:tblPr>
        <w:tblW w:type="dxa" w:w="9638"/>
        <w:tblBorders>
          <w:top w:val="single" w:color="C9C2B4" w:sz="4"/>
          <w:left w:val="single" w:color="C9C2B4" w:sz="4"/>
          <w:bottom w:val="single" w:color="C9C2B4" w:sz="4"/>
          <w:right w:val="single" w:color="C9C2B4" w:sz="4"/>
          <w:insideH w:val="single" w:color="C9C2B4" w:sz="2"/>
          <w:insideV w:val="single" w:color="C9C2B4" w:sz="2"/>
        </w:tblBorders>
      </w:tblPr>
      <w:tblGrid>
        <w:gridCol w:w="4871"/>
        <w:gridCol w:w="4767"/>
      </w:tblGrid>
      <w:tr>
        <w:trPr>
          <w:cantSplit/>
          <w:tblHeader/>
        </w:trPr>
        <w:tc>
          <w:tcPr>
            <w:tcW w:type="dxa" w:w="4871"/>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Niveau</w:t>
            </w:r>
          </w:p>
        </w:tc>
        <w:tc>
          <w:tcPr>
            <w:tcW w:type="dxa" w:w="4767"/>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Intention clinique dans le contexte du stress</w:t>
            </w:r>
          </w:p>
        </w:tc>
      </w:tr>
      <w:tr>
        <w:trPr>
          <w:cantSplit/>
        </w:trPr>
        <w:tc>
          <w:tcPr>
            <w:tcW w:type="dxa" w:w="4871"/>
            <w:shd w:fill="E8F0EA"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1 — Régulation des centres supérieurs</w:t>
            </w:r>
          </w:p>
        </w:tc>
        <w:tc>
          <w:tcPr>
            <w:tcW w:type="dxa" w:w="4767"/>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Diminuer la persistance du signal d'alarme et rendre le système plus disponible pour la suite du traitement</w:t>
            </w:r>
          </w:p>
        </w:tc>
      </w:tr>
      <w:tr>
        <w:trPr>
          <w:cantSplit/>
        </w:trPr>
        <w:tc>
          <w:tcPr>
            <w:tcW w:type="dxa" w:w="4871"/>
            <w:shd w:fill="FFFFFF"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2 — Régulation neuro-végétative et adaptation</w:t>
            </w:r>
          </w:p>
        </w:tc>
        <w:tc>
          <w:tcPr>
            <w:tcW w:type="dxa" w:w="4767"/>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Accompagner le retrait d'une mobilisation devenue inutile et favoriser une ligne de base autonome plus souple</w:t>
            </w:r>
          </w:p>
        </w:tc>
      </w:tr>
      <w:tr>
        <w:trPr>
          <w:cantSplit/>
        </w:trPr>
        <w:tc>
          <w:tcPr>
            <w:tcW w:type="dxa" w:w="4871"/>
            <w:shd w:fill="E8F0EA"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3 — Régulation loco-régionale et cible</w:t>
            </w:r>
          </w:p>
        </w:tc>
        <w:tc>
          <w:tcPr>
            <w:tcW w:type="dxa" w:w="4767"/>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Libérer les contraintes régionales qui entretiennent les signaux corporels, puis permettre le retour de la fonction concernée</w:t>
            </w:r>
          </w:p>
        </w:tc>
      </w:tr>
      <w:tr>
        <w:trPr>
          <w:cantSplit/>
        </w:trPr>
        <w:tc>
          <w:tcPr>
            <w:tcW w:type="dxa" w:w="4871"/>
            <w:shd w:fill="FFFFFF"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4 — Intégration viscéro-somatique et viscéro-émotionnelle</w:t>
            </w:r>
          </w:p>
        </w:tc>
        <w:tc>
          <w:tcPr>
            <w:tcW w:type="dxa" w:w="4767"/>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Relier la fonction à ses expressions corporelles et à son contexte émotionnel, sans la dissocier de l'ensemble</w:t>
            </w:r>
          </w:p>
        </w:tc>
      </w:tr>
    </w:tbl>
    <w:p>
      <w:pPr>
        <w:spacing w:after="200"/>
      </w:pPr>
      <w:r>
        <w:rPr>
          <w:sz w:val="6"/>
          <w:szCs w:val="6"/>
        </w:rPr>
        <w:t xml:space="preserve"/>
      </w:r>
    </w:p>
    <w:p>
      <w:pPr>
        <w:spacing w:after="140" w:line="276"/>
        <w:jc w:val="both"/>
      </w:pPr>
      <w:r>
        <w:rPr>
          <w:rFonts w:ascii="Cambria" w:cs="Cambria" w:eastAsia="Cambria" w:hAnsi="Cambria"/>
          <w:color w:val="1A1A1A"/>
          <w:sz w:val="21"/>
          <w:szCs w:val="21"/>
        </w:rPr>
        <w:t xml:space="preserve">Deux particularités méritent d'être signalées dans ce chapitre.</w:t>
      </w:r>
    </w:p>
    <w:p>
      <w:pPr>
        <w:spacing w:after="140" w:line="276"/>
        <w:jc w:val="both"/>
      </w:pPr>
      <w:r>
        <w:rPr>
          <w:rFonts w:ascii="Cambria" w:cs="Cambria" w:eastAsia="Cambria" w:hAnsi="Cambria"/>
          <w:b/>
          <w:bCs/>
          <w:color w:val="1A1A1A"/>
          <w:sz w:val="21"/>
          <w:szCs w:val="21"/>
        </w:rPr>
        <w:t xml:space="preserve">La cible peut être une fonction, et non un organe.</w:t>
      </w:r>
      <w:r>
        <w:rPr>
          <w:rFonts w:ascii="Cambria" w:cs="Cambria" w:eastAsia="Cambria" w:hAnsi="Cambria"/>
          <w:color w:val="1A1A1A"/>
          <w:sz w:val="21"/>
          <w:szCs w:val="21"/>
        </w:rPr>
        <w:t xml:space="preserve"> Sommeil, digestion, récupération, respiration, douleur, miction, sexualité ou confort viscéral constituent des cibles cliniques légitimes au Niveau 3, au même titre qu'une zone réflexe d'organe.</w:t>
      </w:r>
    </w:p>
    <w:p>
      <w:pPr>
        <w:spacing w:after="140" w:line="276"/>
        <w:jc w:val="both"/>
      </w:pPr>
      <w:r>
        <w:rPr>
          <w:rFonts w:ascii="Cambria" w:cs="Cambria" w:eastAsia="Cambria" w:hAnsi="Cambria"/>
          <w:b/>
          <w:bCs/>
          <w:color w:val="1A1A1A"/>
          <w:sz w:val="21"/>
          <w:szCs w:val="21"/>
        </w:rPr>
        <w:t xml:space="preserve">La respiration occupe une place particulière.</w:t>
      </w:r>
      <w:r>
        <w:rPr>
          <w:rFonts w:ascii="Cambria" w:cs="Cambria" w:eastAsia="Cambria" w:hAnsi="Cambria"/>
          <w:color w:val="1A1A1A"/>
          <w:sz w:val="21"/>
          <w:szCs w:val="21"/>
        </w:rPr>
        <w:t xml:space="preserve"> Lorsqu'elle est haute, rapide, irrégulière ou peu adaptable, le travail régional peut porter sur le diaphragme, ses piliers, les hiatus et les interfaces thoraco-abdominales. Cette orientation rejoint des approches respiratoires dont l'effet sur des marqueurs physiologiques et psychologiques du stress a fait l'objet d'une revue systématique [8].</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SÉQUENCE SYNTHÉTIQUE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Diminuer la persistance du signal d'alarme → Réduire la mobilisation devenue inutile → Libérer les contraintes régionales et permettre le retour de la fonction → Intégrer son expression somatique et émotionnelle.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PRINCIPE DE SÉLECTION —</w:t>
      </w:r>
      <w:r>
        <w:rPr>
          <w:rFonts w:ascii="Cambria" w:cs="Cambria" w:eastAsia="Cambria" w:hAnsi="Cambria"/>
          <w:color w:val="1A1A1A"/>
          <w:sz w:val="21"/>
          <w:szCs w:val="21"/>
        </w:rPr>
        <w:t xml:space="preserve"> La séance ne consiste pas à parcourir systématiquement les quatre niveaux. Le praticien sélectionne les niveaux pertinents, dose la sollicitation, puis laisse au patient le temps d'intégrer la réponse. Un patient peut nécessiter surtout les Niveaux 2 et 3, un autre les Niveaux 1 et 4.</w:t>
      </w:r>
    </w:p>
    <w:p>
      <w:pPr>
        <w:spacing w:after="160"/>
      </w:pPr>
      <w:r>
        <w:rPr>
          <w:sz w:val="6"/>
          <w:szCs w:val="6"/>
        </w:rPr>
        <w:t xml:space="preserve"/>
      </w:r>
    </w:p>
    <w:p>
      <w:pPr>
        <w:pStyle w:val="Heading2"/>
        <w:keepNext/>
        <w:spacing w:after="130" w:before="320"/>
      </w:pPr>
      <w:r>
        <w:rPr>
          <w:rFonts w:ascii="Cambria" w:cs="Cambria" w:eastAsia="Cambria" w:hAnsi="Cambria"/>
          <w:b/>
          <w:bCs/>
          <w:color w:val="1B5E3F"/>
          <w:sz w:val="24"/>
          <w:szCs w:val="24"/>
        </w:rPr>
        <w:t xml:space="preserve">14.1. Exemple d'entrée : les zones réflexes occipitales</w:t>
      </w:r>
    </w:p>
    <w:p>
      <w:pPr>
        <w:spacing w:after="140" w:line="276"/>
        <w:jc w:val="both"/>
      </w:pPr>
      <w:r>
        <w:rPr>
          <w:rFonts w:ascii="Cambria" w:cs="Cambria" w:eastAsia="Cambria" w:hAnsi="Cambria"/>
          <w:color w:val="1A1A1A"/>
          <w:sz w:val="21"/>
          <w:szCs w:val="21"/>
        </w:rPr>
        <w:t xml:space="preserve">Dans la pratique ROP, la sollicitation douce des zones occipitales vise à réduire, lorsque cela est possible, une vigilance corporelle devenue excessive et à préparer l'intégration des étapes suivantes. Par l'intermédiaire des afférences cutanées, myofasciales et proprioceptives de la région C2-C3, elle peut contribuer à modifier l'attention portée au corps, les tensions de protection et l'agitation respiratoire ou émotionnelle.</w:t>
      </w:r>
    </w:p>
    <w:p>
      <w:pPr>
        <w:spacing w:after="140" w:line="276"/>
        <w:jc w:val="both"/>
      </w:pPr>
      <w:r>
        <w:rPr>
          <w:rFonts w:ascii="Cambria" w:cs="Cambria" w:eastAsia="Cambria" w:hAnsi="Cambria"/>
          <w:color w:val="1A1A1A"/>
          <w:sz w:val="21"/>
          <w:szCs w:val="21"/>
        </w:rPr>
        <w:t xml:space="preserve">Les trois bandes — parasympathique, orthosympathique et structurelle — restent des repères cliniques propres à la ROP, dont les qualités de palpation peuvent varier selon le niveau de stress et l'état d'adaptation du patient.</w:t>
      </w:r>
    </w:p>
    <w:p>
      <w:pPr>
        <w:spacing w:after="140" w:line="276"/>
        <w:jc w:val="both"/>
      </w:pPr>
      <w:r>
        <w:rPr>
          <w:rFonts w:ascii="Cambria" w:cs="Cambria" w:eastAsia="Cambria" w:hAnsi="Cambria"/>
          <w:color w:val="1A1A1A"/>
          <w:sz w:val="21"/>
          <w:szCs w:val="21"/>
        </w:rPr>
        <w:t xml:space="preserve">L'objectif n'est pas de commander directement le système autonome, mais d'introduire une information sensorielle mesurée afin de rendre le patient plus disponible pour la suite du traitement. La ROP ne permet en effet ni de palper ni de traiter directement l'amygdale, l'hypothalamus, le cortex ou un noyau précis du tronc cérébral.</w:t>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15. Réactions après séance, récupération</w:t>
      </w:r>
    </w:p>
    <w:p>
      <w:pPr>
        <w:spacing w:after="140" w:line="276"/>
        <w:jc w:val="both"/>
      </w:pPr>
      <w:r>
        <w:rPr>
          <w:rFonts w:ascii="Cambria" w:cs="Cambria" w:eastAsia="Cambria" w:hAnsi="Cambria"/>
          <w:color w:val="1A1A1A"/>
          <w:sz w:val="21"/>
          <w:szCs w:val="21"/>
        </w:rPr>
        <w:t xml:space="preserve">Après une séance, certains patients rapportent fatigue, douleurs transitoirement plus présentes, modification du transit, rêves ou émotions. Ces manifestations ont plusieurs explications possibles : changement de tonus, relaxation, attention accrue portée au corps, contexte relationnel ou stimulation trop forte.</w:t>
      </w:r>
    </w:p>
    <w:p>
      <w:pPr>
        <w:spacing w:after="140" w:line="276"/>
        <w:jc w:val="both"/>
      </w:pPr>
      <w:r>
        <w:rPr>
          <w:rFonts w:ascii="Cambria" w:cs="Cambria" w:eastAsia="Cambria" w:hAnsi="Cambria"/>
          <w:color w:val="1A1A1A"/>
          <w:sz w:val="21"/>
          <w:szCs w:val="21"/>
        </w:rPr>
        <w:t xml:space="preserve">La règle clinique est simple : une réaction légère, brève et sans retentissement important peut être surveillée. Si elle est intense, prolongée, répétée ou associée à des signes neurologiques, cardiorespiratoires, infectieux ou digestifs inhabituels, le protocole doit être interrompu et le patient orienté de façon adaptée.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RÈGLE DE SÉCURITÉ</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Une réaction après séance n'est jamais, à elle seule, une preuve de guérison. Nous l'évaluons selon son intensité, sa durée, son retentissement et le contexte médical du patient.</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16. La place de la ROP selon le stade d'adaptation</w:t>
      </w:r>
    </w:p>
    <w:p>
      <w:pPr>
        <w:spacing w:after="140" w:line="276"/>
        <w:jc w:val="both"/>
      </w:pPr>
      <w:r>
        <w:rPr>
          <w:rFonts w:ascii="Cambria" w:cs="Cambria" w:eastAsia="Cambria" w:hAnsi="Cambria"/>
          <w:color w:val="1A1A1A"/>
          <w:sz w:val="21"/>
          <w:szCs w:val="21"/>
        </w:rPr>
        <w:t xml:space="preserve">Cette gradation aide le praticien à éviter deux erreurs : renoncer à tout accompagnement dès qu'une maladie chronique existe, ou, à l'inverse, promettre une action curative sur des lésions installées. La ROP peut garder une place sur le confort, la douleur, le repos, la perception corporelle ou la qualité de vie, sans se substituer aux traitements nécessaires.</w:t>
      </w:r>
    </w:p>
    <w:tbl>
      <w:tblPr>
        <w:tblW w:type="dxa" w:w="9638"/>
        <w:tblBorders>
          <w:top w:val="single" w:color="C9C2B4" w:sz="4"/>
          <w:left w:val="single" w:color="C9C2B4" w:sz="4"/>
          <w:bottom w:val="single" w:color="C9C2B4" w:sz="4"/>
          <w:right w:val="single" w:color="C9C2B4" w:sz="4"/>
          <w:insideH w:val="single" w:color="C9C2B4" w:sz="2"/>
          <w:insideV w:val="single" w:color="C9C2B4" w:sz="2"/>
        </w:tblBorders>
      </w:tblPr>
      <w:tblGrid>
        <w:gridCol w:w="2547"/>
        <w:gridCol w:w="3565"/>
        <w:gridCol w:w="3526"/>
      </w:tblGrid>
      <w:tr>
        <w:trPr>
          <w:cantSplit/>
          <w:tblHeader/>
        </w:trPr>
        <w:tc>
          <w:tcPr>
            <w:tcW w:type="dxa" w:w="2547"/>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Stade</w:t>
            </w:r>
          </w:p>
        </w:tc>
        <w:tc>
          <w:tcPr>
            <w:tcW w:type="dxa" w:w="3565"/>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Lecture clinique</w:t>
            </w:r>
          </w:p>
        </w:tc>
        <w:tc>
          <w:tcPr>
            <w:tcW w:type="dxa" w:w="3526"/>
            <w:shd w:fill="1B5E3F" w:val="clear"/>
            <w:tcMar>
              <w:top w:type="dxa" w:w="90"/>
              <w:left w:type="dxa" w:w="110"/>
              <w:bottom w:type="dxa" w:w="90"/>
              <w:right w:type="dxa" w:w="110"/>
            </w:tcMar>
            <w:vAlign w:val="top"/>
          </w:tcPr>
          <w:p>
            <w:pPr>
              <w:spacing w:after="0" w:line="250"/>
              <w:jc w:val="left"/>
            </w:pPr>
            <w:r>
              <w:rPr>
                <w:rFonts w:ascii="Cambria" w:cs="Cambria" w:eastAsia="Cambria" w:hAnsi="Cambria"/>
                <w:b/>
                <w:bCs/>
                <w:color w:val="FFFFFF"/>
                <w:sz w:val="18"/>
                <w:szCs w:val="18"/>
              </w:rPr>
              <w:t xml:space="preserve">Place de la ROP</w:t>
            </w:r>
          </w:p>
        </w:tc>
      </w:tr>
      <w:tr>
        <w:trPr>
          <w:cantSplit/>
        </w:trPr>
        <w:tc>
          <w:tcPr>
            <w:tcW w:type="dxa" w:w="2547"/>
            <w:shd w:fill="E8F0EA"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Adaptation aiguë</w:t>
            </w:r>
          </w:p>
        </w:tc>
        <w:tc>
          <w:tcPr>
            <w:tcW w:type="dxa" w:w="3565"/>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Réponse proportionnée, retour spontané à l'équilibre</w:t>
            </w:r>
          </w:p>
        </w:tc>
        <w:tc>
          <w:tcPr>
            <w:tcW w:type="dxa" w:w="3526"/>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Soutien du confort et de la récupération ; intervention parfois inutile si le système se régule seul</w:t>
            </w:r>
          </w:p>
        </w:tc>
      </w:tr>
      <w:tr>
        <w:trPr>
          <w:cantSplit/>
        </w:trPr>
        <w:tc>
          <w:tcPr>
            <w:tcW w:type="dxa" w:w="2547"/>
            <w:shd w:fill="FFFFFF"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Trouble fonctionnel</w:t>
            </w:r>
          </w:p>
        </w:tc>
        <w:tc>
          <w:tcPr>
            <w:tcW w:type="dxa" w:w="3565"/>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Alarme persistante, symptômes réversibles, intégrité anatomique globalement préservée</w:t>
            </w:r>
          </w:p>
        </w:tc>
        <w:tc>
          <w:tcPr>
            <w:tcW w:type="dxa" w:w="3526"/>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Champ d'intervention privilégié : dosage, flexibilité autonome, respiration, confort viscéral</w:t>
            </w:r>
          </w:p>
        </w:tc>
      </w:tr>
      <w:tr>
        <w:trPr>
          <w:cantSplit/>
        </w:trPr>
        <w:tc>
          <w:tcPr>
            <w:tcW w:type="dxa" w:w="2547"/>
            <w:shd w:fill="E8F0EA"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Pathologie chronique structurée</w:t>
            </w:r>
          </w:p>
        </w:tc>
        <w:tc>
          <w:tcPr>
            <w:tcW w:type="dxa" w:w="3565"/>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Lésions, maladie installée, réversibilité limitée</w:t>
            </w:r>
          </w:p>
        </w:tc>
        <w:tc>
          <w:tcPr>
            <w:tcW w:type="dxa" w:w="3526"/>
            <w:shd w:fill="E8F0EA"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Approche intégrative de support, en complément du suivi médical</w:t>
            </w:r>
          </w:p>
        </w:tc>
      </w:tr>
      <w:tr>
        <w:trPr>
          <w:cantSplit/>
        </w:trPr>
        <w:tc>
          <w:tcPr>
            <w:tcW w:type="dxa" w:w="2547"/>
            <w:shd w:fill="FFFFFF" w:val="clear"/>
            <w:tcMar>
              <w:top w:type="dxa" w:w="90"/>
              <w:left w:type="dxa" w:w="110"/>
              <w:bottom w:type="dxa" w:w="90"/>
              <w:right w:type="dxa" w:w="110"/>
            </w:tcMar>
            <w:vAlign w:val="top"/>
          </w:tcPr>
          <w:p>
            <w:pPr>
              <w:spacing w:after="0" w:line="250"/>
              <w:jc w:val="left"/>
            </w:pPr>
            <w:r>
              <w:rPr>
                <w:rFonts w:ascii="Cambria" w:cs="Cambria" w:eastAsia="Cambria" w:hAnsi="Cambria"/>
                <w:b/>
                <w:bCs/>
                <w:color w:val="444444"/>
                <w:sz w:val="18"/>
                <w:szCs w:val="18"/>
              </w:rPr>
              <w:t xml:space="preserve">État instable ou urgence</w:t>
            </w:r>
          </w:p>
        </w:tc>
        <w:tc>
          <w:tcPr>
            <w:tcW w:type="dxa" w:w="3565"/>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Signes graves, décompensation, douleur aiguë inhabituelle</w:t>
            </w:r>
          </w:p>
        </w:tc>
        <w:tc>
          <w:tcPr>
            <w:tcW w:type="dxa" w:w="3526"/>
            <w:shd w:fill="FFFFFF" w:val="clear"/>
            <w:tcMar>
              <w:top w:type="dxa" w:w="90"/>
              <w:left w:type="dxa" w:w="110"/>
              <w:bottom w:type="dxa" w:w="90"/>
              <w:right w:type="dxa" w:w="110"/>
            </w:tcMar>
            <w:vAlign w:val="top"/>
          </w:tcPr>
          <w:p>
            <w:pPr>
              <w:spacing w:after="0" w:line="250"/>
              <w:jc w:val="left"/>
            </w:pPr>
            <w:r>
              <w:rPr>
                <w:rFonts w:ascii="Cambria" w:cs="Cambria" w:eastAsia="Cambria" w:hAnsi="Cambria"/>
                <w:color w:val="444444"/>
                <w:sz w:val="18"/>
                <w:szCs w:val="18"/>
              </w:rPr>
              <w:t xml:space="preserve">ROP non prioritaire ; évaluation médicale ou urgence</w:t>
            </w:r>
          </w:p>
        </w:tc>
      </w:tr>
    </w:tbl>
    <w:p>
      <w:pPr>
        <w:spacing w:after="20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17. Illustration clinique : fibromyalgie et charge allostatique</w:t>
      </w:r>
    </w:p>
    <w:p>
      <w:pPr>
        <w:spacing w:after="140" w:line="276"/>
        <w:jc w:val="both"/>
      </w:pPr>
      <w:r>
        <w:rPr>
          <w:rFonts w:ascii="Cambria" w:cs="Cambria" w:eastAsia="Cambria" w:hAnsi="Cambria"/>
          <w:color w:val="1A1A1A"/>
          <w:sz w:val="21"/>
          <w:szCs w:val="21"/>
        </w:rPr>
        <w:t xml:space="preserve">La fibromyalgie illustre bien la complexité de la charge allostatique. Elle associe douleur diffuse, fatigue, sommeil perturbé, difficultés cognitives et hypersensibilité. Elle ne s'explique ni par le seul stress ni par un supposé épuisement hormonal. Plusieurs mécanismes se croisent : modulation de la douleur, sommeil, activité autonome, attention corporelle et facteurs individuels.</w:t>
      </w:r>
    </w:p>
    <w:p>
      <w:pPr>
        <w:spacing w:after="140" w:line="276"/>
        <w:jc w:val="both"/>
      </w:pPr>
      <w:r>
        <w:rPr>
          <w:rFonts w:ascii="Cambria" w:cs="Cambria" w:eastAsia="Cambria" w:hAnsi="Cambria"/>
          <w:color w:val="1A1A1A"/>
          <w:sz w:val="21"/>
          <w:szCs w:val="21"/>
        </w:rPr>
        <w:t xml:space="preserve">Dans une lecture allostatique, le stress chronique, la douleur et l'insomnie peuvent former une boucle : la douleur perturbe le sommeil ; le manque de sommeil augmente la sensibilité douloureuse ; l'inquiétude et l'évitement renforcent la vigilance ; les tensions musculaires et respiratoires entretiennent les signaux corporels d'alarme.</w:t>
      </w:r>
    </w:p>
    <w:p>
      <w:pPr>
        <w:spacing w:after="140" w:line="276"/>
        <w:jc w:val="both"/>
      </w:pPr>
      <w:r>
        <w:rPr>
          <w:rFonts w:ascii="Cambria" w:cs="Cambria" w:eastAsia="Cambria" w:hAnsi="Cambria"/>
          <w:color w:val="1A1A1A"/>
          <w:sz w:val="21"/>
          <w:szCs w:val="21"/>
        </w:rPr>
        <w:t xml:space="preserve">Chez ces patients, la première règle est de ne pas ajouter de charge. La ROP doit rester douce, progressive et réévaluée : chercher moins d'hypervigilance corporelle, une respiration plus disponible, un meilleur repos et une récupération plus régulière. Les objectifs doivent rester concrets : sommeil, fatigue, tolérance à l'activité, douleur, récupération après effort et qualité de vie.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PRUDENCE CLINIQUE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Chez un patient hypersensible, stimuler davantage ne signifie pas traiter davantage. La progression doit être lente, et la réponse réévaluée dans les heures et les jours qui suivent.</w:t>
      </w:r>
    </w:p>
    <w:p>
      <w:pPr>
        <w:spacing w:after="160"/>
      </w:pPr>
      <w:r>
        <w:rPr>
          <w:sz w:val="6"/>
          <w:szCs w:val="6"/>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18. Vers une recherche sur la cinétique de récupération</w:t>
      </w:r>
    </w:p>
    <w:p>
      <w:pPr>
        <w:spacing w:after="140" w:line="276"/>
        <w:jc w:val="both"/>
      </w:pPr>
      <w:r>
        <w:rPr>
          <w:rFonts w:ascii="Cambria" w:cs="Cambria" w:eastAsia="Cambria" w:hAnsi="Cambria"/>
          <w:color w:val="1A1A1A"/>
          <w:sz w:val="21"/>
          <w:szCs w:val="21"/>
        </w:rPr>
        <w:t xml:space="preserve">Si nous voulons tester scientifiquement ce que nous observons en clinique, la question utile est : une séance standardisée permet-elle au patient de récupérer plus vite après un stresseur, sur les plans physiologique et subjectif ?</w:t>
      </w:r>
    </w:p>
    <w:p>
      <w:pPr>
        <w:pStyle w:val="Heading2"/>
        <w:keepNext/>
        <w:spacing w:after="130" w:before="320"/>
      </w:pPr>
      <w:r>
        <w:rPr>
          <w:rFonts w:ascii="Cambria" w:cs="Cambria" w:eastAsia="Cambria" w:hAnsi="Cambria"/>
          <w:b/>
          <w:bCs/>
          <w:color w:val="1B5E3F"/>
          <w:sz w:val="24"/>
          <w:szCs w:val="24"/>
        </w:rPr>
        <w:t xml:space="preserve">18.1. Hypothèse principale</w:t>
      </w:r>
    </w:p>
    <w:p>
      <w:pPr>
        <w:pBdr>
          <w:left w:val="single" w:color="1B5E3F" w:sz="12" w:space="8"/>
        </w:pBdr>
        <w:shd w:fill="FBF8F1" w:val="clear"/>
        <w:spacing w:after="140" w:line="276"/>
        <w:ind w:left="340" w:right="170"/>
        <w:jc w:val="both"/>
      </w:pPr>
      <w:r>
        <w:rPr>
          <w:rFonts w:ascii="Cambria" w:cs="Cambria" w:eastAsia="Cambria" w:hAnsi="Cambria"/>
          <w:b/>
          <w:bCs/>
          <w:color w:val="1A1A1A"/>
          <w:sz w:val="21"/>
          <w:szCs w:val="21"/>
        </w:rPr>
        <w:t xml:space="preserve">HYPOTHÈSE TESTABLE</w:t>
      </w:r>
    </w:p>
    <w:p>
      <w:pPr>
        <w:pBdr>
          <w:left w:val="single" w:color="1B5E3F" w:sz="12" w:space="8"/>
        </w:pBdr>
        <w:shd w:fill="FBF8F1" w:val="clear"/>
        <w:spacing w:after="140" w:line="276"/>
        <w:ind w:left="340" w:right="170"/>
        <w:jc w:val="both"/>
      </w:pPr>
      <w:r>
        <w:rPr>
          <w:rFonts w:ascii="Cambria" w:cs="Cambria" w:eastAsia="Cambria" w:hAnsi="Cambria"/>
          <w:color w:val="1A1A1A"/>
          <w:sz w:val="21"/>
          <w:szCs w:val="21"/>
        </w:rPr>
        <w:t xml:space="preserve">Après un stress contrôlé, une séquence ROP standardisée accélère-t-elle le retour vers l'état autonome de base, comparativement au repos seul et à un toucher non spécifique de même durée ?</w:t>
      </w:r>
    </w:p>
    <w:p>
      <w:pPr>
        <w:spacing w:after="160"/>
      </w:pPr>
      <w:r>
        <w:rPr>
          <w:sz w:val="6"/>
          <w:szCs w:val="6"/>
        </w:rPr>
        <w:t xml:space="preserve"/>
      </w:r>
    </w:p>
    <w:p>
      <w:pPr>
        <w:pStyle w:val="Heading2"/>
        <w:keepNext/>
        <w:spacing w:after="130" w:before="320"/>
      </w:pPr>
      <w:r>
        <w:rPr>
          <w:rFonts w:ascii="Cambria" w:cs="Cambria" w:eastAsia="Cambria" w:hAnsi="Cambria"/>
          <w:b/>
          <w:bCs/>
          <w:color w:val="1B5E3F"/>
          <w:sz w:val="24"/>
          <w:szCs w:val="24"/>
        </w:rPr>
        <w:t xml:space="preserve">18.2. Dessin d'étude proposé</w:t>
      </w:r>
    </w:p>
    <w:p>
      <w:pPr>
        <w:pStyle w:val="ListParagraph"/>
        <w:numPr>
          <w:ilvl w:val="0"/>
          <w:numId w:val="3"/>
        </w:numPr>
        <w:spacing w:after="80" w:line="276"/>
        <w:jc w:val="both"/>
      </w:pPr>
      <w:r>
        <w:rPr>
          <w:rFonts w:ascii="Cambria" w:cs="Cambria" w:eastAsia="Cambria" w:hAnsi="Cambria"/>
          <w:b/>
          <w:bCs/>
          <w:color w:val="1A1A1A"/>
          <w:sz w:val="21"/>
          <w:szCs w:val="21"/>
        </w:rPr>
        <w:t xml:space="preserve">Groupe ROP</w:t>
      </w:r>
      <w:r>
        <w:rPr>
          <w:rFonts w:ascii="Cambria" w:cs="Cambria" w:eastAsia="Cambria" w:hAnsi="Cambria"/>
          <w:color w:val="1A1A1A"/>
          <w:sz w:val="21"/>
          <w:szCs w:val="21"/>
        </w:rPr>
        <w:t xml:space="preserve"> : séquence standardisée respectant la logique des quatre niveaux cliniques et un dosage défini, avec adaptation des zones à la cible retenue.</w:t>
      </w:r>
    </w:p>
    <w:p>
      <w:pPr>
        <w:pStyle w:val="ListParagraph"/>
        <w:numPr>
          <w:ilvl w:val="0"/>
          <w:numId w:val="3"/>
        </w:numPr>
        <w:spacing w:after="80" w:line="276"/>
        <w:jc w:val="both"/>
      </w:pPr>
      <w:r>
        <w:rPr>
          <w:rFonts w:ascii="Cambria" w:cs="Cambria" w:eastAsia="Cambria" w:hAnsi="Cambria"/>
          <w:b/>
          <w:bCs/>
          <w:color w:val="1A1A1A"/>
          <w:sz w:val="21"/>
          <w:szCs w:val="21"/>
        </w:rPr>
        <w:t xml:space="preserve">Groupe contrôle tactile</w:t>
      </w:r>
      <w:r>
        <w:rPr>
          <w:rFonts w:ascii="Cambria" w:cs="Cambria" w:eastAsia="Cambria" w:hAnsi="Cambria"/>
          <w:color w:val="1A1A1A"/>
          <w:sz w:val="21"/>
          <w:szCs w:val="21"/>
        </w:rPr>
        <w:t xml:space="preserve"> : toucher occipital et podal de même durée, sans cartographie ni ordre ROP.</w:t>
      </w:r>
    </w:p>
    <w:p>
      <w:pPr>
        <w:pStyle w:val="ListParagraph"/>
        <w:numPr>
          <w:ilvl w:val="0"/>
          <w:numId w:val="3"/>
        </w:numPr>
        <w:spacing w:after="80" w:line="276"/>
        <w:jc w:val="both"/>
      </w:pPr>
      <w:r>
        <w:rPr>
          <w:rFonts w:ascii="Cambria" w:cs="Cambria" w:eastAsia="Cambria" w:hAnsi="Cambria"/>
          <w:b/>
          <w:bCs/>
          <w:color w:val="1A1A1A"/>
          <w:sz w:val="21"/>
          <w:szCs w:val="21"/>
        </w:rPr>
        <w:t xml:space="preserve">Groupe repos</w:t>
      </w:r>
      <w:r>
        <w:rPr>
          <w:rFonts w:ascii="Cambria" w:cs="Cambria" w:eastAsia="Cambria" w:hAnsi="Cambria"/>
          <w:color w:val="1A1A1A"/>
          <w:sz w:val="21"/>
          <w:szCs w:val="21"/>
        </w:rPr>
        <w:t xml:space="preserve"> : position et durée identiques, sans toucher.</w:t>
      </w:r>
    </w:p>
    <w:p>
      <w:pPr>
        <w:spacing w:after="80"/>
      </w:pPr>
      <w:r>
        <w:rPr>
          <w:sz w:val="4"/>
          <w:szCs w:val="4"/>
        </w:rPr>
        <w:t xml:space="preserve"/>
      </w:r>
    </w:p>
    <w:p>
      <w:pPr>
        <w:pStyle w:val="Heading2"/>
        <w:keepNext/>
        <w:spacing w:after="130" w:before="320"/>
      </w:pPr>
      <w:r>
        <w:rPr>
          <w:rFonts w:ascii="Cambria" w:cs="Cambria" w:eastAsia="Cambria" w:hAnsi="Cambria"/>
          <w:b/>
          <w:bCs/>
          <w:color w:val="1B5E3F"/>
          <w:sz w:val="24"/>
          <w:szCs w:val="24"/>
        </w:rPr>
        <w:t xml:space="preserve">18.3. Mesures pertinentes</w:t>
      </w:r>
    </w:p>
    <w:p>
      <w:pPr>
        <w:pStyle w:val="ListParagraph"/>
        <w:numPr>
          <w:ilvl w:val="0"/>
          <w:numId w:val="2"/>
        </w:numPr>
        <w:spacing w:after="80" w:line="276"/>
        <w:jc w:val="both"/>
      </w:pPr>
      <w:r>
        <w:rPr>
          <w:rFonts w:ascii="Cambria" w:cs="Cambria" w:eastAsia="Cambria" w:hAnsi="Cambria"/>
          <w:color w:val="1A1A1A"/>
          <w:sz w:val="21"/>
          <w:szCs w:val="21"/>
        </w:rPr>
        <w:t xml:space="preserve">Variabilité de la fréquence cardiaque et vitesse de récupération de la fréquence cardiaque.</w:t>
      </w:r>
    </w:p>
    <w:p>
      <w:pPr>
        <w:pStyle w:val="ListParagraph"/>
        <w:numPr>
          <w:ilvl w:val="0"/>
          <w:numId w:val="2"/>
        </w:numPr>
        <w:spacing w:after="80" w:line="276"/>
        <w:jc w:val="both"/>
      </w:pPr>
      <w:r>
        <w:rPr>
          <w:rFonts w:ascii="Cambria" w:cs="Cambria" w:eastAsia="Cambria" w:hAnsi="Cambria"/>
          <w:color w:val="1A1A1A"/>
          <w:sz w:val="21"/>
          <w:szCs w:val="21"/>
        </w:rPr>
        <w:t xml:space="preserve">Fréquence et amplitude respiratoires.</w:t>
      </w:r>
    </w:p>
    <w:p>
      <w:pPr>
        <w:pStyle w:val="ListParagraph"/>
        <w:numPr>
          <w:ilvl w:val="0"/>
          <w:numId w:val="2"/>
        </w:numPr>
        <w:spacing w:after="80" w:line="276"/>
        <w:jc w:val="both"/>
      </w:pPr>
      <w:r>
        <w:rPr>
          <w:rFonts w:ascii="Cambria" w:cs="Cambria" w:eastAsia="Cambria" w:hAnsi="Cambria"/>
          <w:color w:val="1A1A1A"/>
          <w:sz w:val="21"/>
          <w:szCs w:val="21"/>
        </w:rPr>
        <w:t xml:space="preserve">Conductance cutanée et température périphérique.</w:t>
      </w:r>
    </w:p>
    <w:p>
      <w:pPr>
        <w:pStyle w:val="ListParagraph"/>
        <w:numPr>
          <w:ilvl w:val="0"/>
          <w:numId w:val="2"/>
        </w:numPr>
        <w:spacing w:after="80" w:line="276"/>
        <w:jc w:val="both"/>
      </w:pPr>
      <w:r>
        <w:rPr>
          <w:rFonts w:ascii="Cambria" w:cs="Cambria" w:eastAsia="Cambria" w:hAnsi="Cambria"/>
          <w:color w:val="1A1A1A"/>
          <w:sz w:val="21"/>
          <w:szCs w:val="21"/>
        </w:rPr>
        <w:t xml:space="preserve">Cinétique du cortisol et de l'alpha-amylase salivaires, en tenant compte des rythmes circadiens.</w:t>
      </w:r>
    </w:p>
    <w:p>
      <w:pPr>
        <w:pStyle w:val="ListParagraph"/>
        <w:numPr>
          <w:ilvl w:val="0"/>
          <w:numId w:val="2"/>
        </w:numPr>
        <w:spacing w:after="80" w:line="276"/>
        <w:jc w:val="both"/>
      </w:pPr>
      <w:r>
        <w:rPr>
          <w:rFonts w:ascii="Cambria" w:cs="Cambria" w:eastAsia="Cambria" w:hAnsi="Cambria"/>
          <w:color w:val="1A1A1A"/>
          <w:sz w:val="21"/>
          <w:szCs w:val="21"/>
        </w:rPr>
        <w:t xml:space="preserve">Tension corporelle, stress perçu, rumination et sentiment de sécurité.</w:t>
      </w:r>
    </w:p>
    <w:p>
      <w:pPr>
        <w:pStyle w:val="ListParagraph"/>
        <w:numPr>
          <w:ilvl w:val="0"/>
          <w:numId w:val="2"/>
        </w:numPr>
        <w:spacing w:after="80" w:line="276"/>
        <w:jc w:val="both"/>
      </w:pPr>
      <w:r>
        <w:rPr>
          <w:rFonts w:ascii="Cambria" w:cs="Cambria" w:eastAsia="Cambria" w:hAnsi="Cambria"/>
          <w:color w:val="1A1A1A"/>
          <w:sz w:val="21"/>
          <w:szCs w:val="21"/>
        </w:rPr>
        <w:t xml:space="preserve">Qualité du sommeil et fatigue dans les jours suivants.</w:t>
      </w:r>
    </w:p>
    <w:p>
      <w:pPr>
        <w:pStyle w:val="ListParagraph"/>
        <w:numPr>
          <w:ilvl w:val="0"/>
          <w:numId w:val="2"/>
        </w:numPr>
        <w:spacing w:after="80" w:line="276"/>
        <w:jc w:val="both"/>
      </w:pPr>
      <w:r>
        <w:rPr>
          <w:rFonts w:ascii="Cambria" w:cs="Cambria" w:eastAsia="Cambria" w:hAnsi="Cambria"/>
          <w:color w:val="1A1A1A"/>
          <w:sz w:val="21"/>
          <w:szCs w:val="21"/>
        </w:rPr>
        <w:t xml:space="preserve">Résultats spécifiques au patient : douleur, transit, activité et qualité de vie.</w:t>
      </w:r>
    </w:p>
    <w:p>
      <w:pPr>
        <w:spacing w:after="80"/>
      </w:pPr>
      <w:r>
        <w:rPr>
          <w:sz w:val="4"/>
          <w:szCs w:val="4"/>
        </w:rPr>
        <w:t xml:space="preserve"/>
      </w:r>
    </w:p>
    <w:p>
      <w:pPr>
        <w:spacing w:after="140" w:line="276"/>
        <w:jc w:val="both"/>
      </w:pPr>
      <w:r>
        <w:rPr>
          <w:rFonts w:ascii="Cambria" w:cs="Cambria" w:eastAsia="Cambria" w:hAnsi="Cambria"/>
          <w:color w:val="1A1A1A"/>
          <w:sz w:val="21"/>
          <w:szCs w:val="21"/>
        </w:rPr>
        <w:t xml:space="preserve">L'indicateur principal devrait être la vitesse de récupération, et non la seule différence entre avant et après. Deux patients peuvent atteindre la même valeur finale, mais l'un retrouve son équilibre en dix minutes et l'autre en deux heures. C'est cette cinétique qui traduit le mieux la flexibilité autonome que nous cherchons à soutenir.</w:t>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19. Conclusion</w:t>
      </w:r>
    </w:p>
    <w:p>
      <w:pPr>
        <w:spacing w:after="140" w:line="276"/>
        <w:jc w:val="both"/>
      </w:pPr>
      <w:r>
        <w:rPr>
          <w:rFonts w:ascii="Cambria" w:cs="Cambria" w:eastAsia="Cambria" w:hAnsi="Cambria"/>
          <w:color w:val="1A1A1A"/>
          <w:sz w:val="21"/>
          <w:szCs w:val="21"/>
        </w:rPr>
        <w:t xml:space="preserve">Le stress est une mobilisation adaptative. Il nous protège lorsqu'il est proportionné, limité dans le temps et suivi d'une récupération. Il devient coûteux lorsque l'organisme reste bloqué dans la défense, lorsque les stresseurs physiques, émotionnels et biochimiques s'accumulent, ou lorsque la rumination et le manque de sommeil réactivent sans cesse la menace.</w:t>
      </w:r>
    </w:p>
    <w:p>
      <w:pPr>
        <w:spacing w:after="140" w:line="276"/>
        <w:jc w:val="both"/>
      </w:pPr>
      <w:r>
        <w:rPr>
          <w:rFonts w:ascii="Cambria" w:cs="Cambria" w:eastAsia="Cambria" w:hAnsi="Cambria"/>
          <w:color w:val="1A1A1A"/>
          <w:sz w:val="21"/>
          <w:szCs w:val="21"/>
        </w:rPr>
        <w:t xml:space="preserve">À l'échelle cellulaire, une contrainte chronique peut s'accompagner d'un hypermétabolisme compensatoire et de modifications mitochondriales. Ces données éclairent le coût possible de l'adaptation, mais elles ne permettent pas d'attribuer à la ROP une action directe sur les mitochondries, l'ATP ou le vieillissement.</w:t>
      </w:r>
    </w:p>
    <w:p>
      <w:pPr>
        <w:spacing w:after="140" w:line="276"/>
        <w:jc w:val="both"/>
      </w:pPr>
      <w:r>
        <w:rPr>
          <w:rFonts w:ascii="Cambria" w:cs="Cambria" w:eastAsia="Cambria" w:hAnsi="Cambria"/>
          <w:color w:val="1A1A1A"/>
          <w:sz w:val="21"/>
          <w:szCs w:val="21"/>
        </w:rPr>
        <w:t xml:space="preserve">Le pont le plus crédible avec la ROP reste la régulation de la réponse et de la récupération. Par une évaluation tissulaire, un toucher mesuré et une progression adaptée entre régulation centrale, régulation neuro-végétative, environnement loco-régional et cible clinique, puis intégration de ses expressions somatiques et émotionnelles, nous cherchons à apporter au système nerveux une information corporelle nouvelle, à diminuer une mobilisation devenue inutile et à favoriser le retour des fonctions respiratoires, digestives et restauratrices.</w:t>
      </w:r>
    </w:p>
    <w:p>
      <w:pPr>
        <w:spacing w:after="140" w:line="276"/>
        <w:jc w:val="both"/>
      </w:pPr>
      <w:r>
        <w:rPr>
          <w:rFonts w:ascii="Cambria" w:cs="Cambria" w:eastAsia="Cambria" w:hAnsi="Cambria"/>
          <w:i/>
          <w:iCs/>
          <w:color w:val="1A1A1A"/>
          <w:sz w:val="21"/>
          <w:szCs w:val="21"/>
        </w:rPr>
        <w:t xml:space="preserve">En ROP, nous ne cherchons pas à empêcher l'organisme de réagir. Nous cherchons à l'aider à ne pas rester bloqué dans sa réaction.</w:t>
      </w:r>
    </w:p>
    <w:p>
      <w:pPr>
        <w:pStyle w:val="Heading2"/>
        <w:keepNext/>
        <w:spacing w:after="130" w:before="320"/>
      </w:pPr>
      <w:r>
        <w:rPr>
          <w:rFonts w:ascii="Cambria" w:cs="Cambria" w:eastAsia="Cambria" w:hAnsi="Cambria"/>
          <w:b/>
          <w:bCs/>
          <w:color w:val="1B5E3F"/>
          <w:sz w:val="24"/>
          <w:szCs w:val="24"/>
        </w:rPr>
        <w:t xml:space="preserve">À retenir</w:t>
      </w:r>
    </w:p>
    <w:p>
      <w:pPr>
        <w:pStyle w:val="ListParagraph"/>
        <w:numPr>
          <w:ilvl w:val="0"/>
          <w:numId w:val="2"/>
        </w:numPr>
        <w:spacing w:after="80" w:line="276"/>
        <w:jc w:val="both"/>
      </w:pPr>
      <w:r>
        <w:rPr>
          <w:rFonts w:ascii="Cambria" w:cs="Cambria" w:eastAsia="Cambria" w:hAnsi="Cambria"/>
          <w:color w:val="1A1A1A"/>
          <w:sz w:val="21"/>
          <w:szCs w:val="21"/>
        </w:rPr>
        <w:t xml:space="preserve">Le stress est d'abord une réponse protectrice, et non une pathologie.</w:t>
      </w:r>
    </w:p>
    <w:p>
      <w:pPr>
        <w:pStyle w:val="ListParagraph"/>
        <w:numPr>
          <w:ilvl w:val="0"/>
          <w:numId w:val="2"/>
        </w:numPr>
        <w:spacing w:after="80" w:line="276"/>
        <w:jc w:val="both"/>
      </w:pPr>
      <w:r>
        <w:rPr>
          <w:rFonts w:ascii="Cambria" w:cs="Cambria" w:eastAsia="Cambria" w:hAnsi="Cambria"/>
          <w:color w:val="1A1A1A"/>
          <w:sz w:val="21"/>
          <w:szCs w:val="21"/>
        </w:rPr>
        <w:t xml:space="preserve">La charge allostatique est le coût cumulé de l'adaptation répétée ou prolongée.</w:t>
      </w:r>
    </w:p>
    <w:p>
      <w:pPr>
        <w:pStyle w:val="ListParagraph"/>
        <w:numPr>
          <w:ilvl w:val="0"/>
          <w:numId w:val="2"/>
        </w:numPr>
        <w:spacing w:after="80" w:line="276"/>
        <w:jc w:val="both"/>
      </w:pPr>
      <w:r>
        <w:rPr>
          <w:rFonts w:ascii="Cambria" w:cs="Cambria" w:eastAsia="Cambria" w:hAnsi="Cambria"/>
          <w:color w:val="1A1A1A"/>
          <w:sz w:val="21"/>
          <w:szCs w:val="21"/>
        </w:rPr>
        <w:t xml:space="preserve">La santé dépend de la capacité à déclencher une réponse appropriée puis à revenir à l'état de base.</w:t>
      </w:r>
    </w:p>
    <w:p>
      <w:pPr>
        <w:pStyle w:val="ListParagraph"/>
        <w:numPr>
          <w:ilvl w:val="0"/>
          <w:numId w:val="2"/>
        </w:numPr>
        <w:spacing w:after="80" w:line="276"/>
        <w:jc w:val="both"/>
      </w:pPr>
      <w:r>
        <w:rPr>
          <w:rFonts w:ascii="Cambria" w:cs="Cambria" w:eastAsia="Cambria" w:hAnsi="Cambria"/>
          <w:color w:val="1A1A1A"/>
          <w:sz w:val="21"/>
          <w:szCs w:val="21"/>
        </w:rPr>
        <w:t xml:space="preserve">Le corps ne fonctionne pas comme une batterie fixe ; il réorganise continuellement ses flux et ses priorités.</w:t>
      </w:r>
    </w:p>
    <w:p>
      <w:pPr>
        <w:pStyle w:val="ListParagraph"/>
        <w:numPr>
          <w:ilvl w:val="0"/>
          <w:numId w:val="2"/>
        </w:numPr>
        <w:spacing w:after="80" w:line="276"/>
        <w:jc w:val="both"/>
      </w:pPr>
      <w:r>
        <w:rPr>
          <w:rFonts w:ascii="Cambria" w:cs="Cambria" w:eastAsia="Cambria" w:hAnsi="Cambria"/>
          <w:color w:val="1A1A1A"/>
          <w:sz w:val="21"/>
          <w:szCs w:val="21"/>
        </w:rPr>
        <w:t xml:space="preserve">L'hypermétabolisme cellulaire observé </w:t>
      </w:r>
      <w:r>
        <w:rPr>
          <w:rFonts w:ascii="Cambria" w:cs="Cambria" w:eastAsia="Cambria" w:hAnsi="Cambria"/>
          <w:i/>
          <w:iCs/>
          <w:color w:val="1A1A1A"/>
          <w:sz w:val="21"/>
          <w:szCs w:val="21"/>
        </w:rPr>
        <w:t xml:space="preserve">in vitro</w:t>
      </w:r>
      <w:r>
        <w:rPr>
          <w:rFonts w:ascii="Cambria" w:cs="Cambria" w:eastAsia="Cambria" w:hAnsi="Cambria"/>
          <w:color w:val="1A1A1A"/>
          <w:sz w:val="21"/>
          <w:szCs w:val="21"/>
        </w:rPr>
        <w:t xml:space="preserve"> ne peut pas être transposé directement à la dépense énergétique d'une personne.</w:t>
      </w:r>
    </w:p>
    <w:p>
      <w:pPr>
        <w:pStyle w:val="ListParagraph"/>
        <w:numPr>
          <w:ilvl w:val="0"/>
          <w:numId w:val="2"/>
        </w:numPr>
        <w:spacing w:after="80" w:line="276"/>
        <w:jc w:val="both"/>
      </w:pPr>
      <w:r>
        <w:rPr>
          <w:rFonts w:ascii="Cambria" w:cs="Cambria" w:eastAsia="Cambria" w:hAnsi="Cambria"/>
          <w:color w:val="1A1A1A"/>
          <w:sz w:val="21"/>
          <w:szCs w:val="21"/>
        </w:rPr>
        <w:t xml:space="preserve">Certaines dysfonctions restent réversibles tant que l'intégrité structurelle et les réserves adaptatives sont préservées.</w:t>
      </w:r>
    </w:p>
    <w:p>
      <w:pPr>
        <w:pStyle w:val="ListParagraph"/>
        <w:numPr>
          <w:ilvl w:val="0"/>
          <w:numId w:val="2"/>
        </w:numPr>
        <w:spacing w:after="80" w:line="276"/>
        <w:jc w:val="both"/>
      </w:pPr>
      <w:r>
        <w:rPr>
          <w:rFonts w:ascii="Cambria" w:cs="Cambria" w:eastAsia="Cambria" w:hAnsi="Cambria"/>
          <w:color w:val="1A1A1A"/>
          <w:sz w:val="21"/>
          <w:szCs w:val="21"/>
        </w:rPr>
        <w:t xml:space="preserve">La cible autonome n'est pas la domination vagale, mais la flexibilité entre mobilisation et récupération.</w:t>
      </w:r>
    </w:p>
    <w:p>
      <w:pPr>
        <w:pStyle w:val="ListParagraph"/>
        <w:numPr>
          <w:ilvl w:val="0"/>
          <w:numId w:val="2"/>
        </w:numPr>
        <w:spacing w:after="80" w:line="276"/>
        <w:jc w:val="both"/>
      </w:pPr>
      <w:r>
        <w:rPr>
          <w:rFonts w:ascii="Cambria" w:cs="Cambria" w:eastAsia="Cambria" w:hAnsi="Cambria"/>
          <w:color w:val="1A1A1A"/>
          <w:sz w:val="21"/>
          <w:szCs w:val="21"/>
        </w:rPr>
        <w:t xml:space="preserve">La ROP est surtout pertinente comme approche fonctionnelle et intégrative, dont les effets spécifiques restent à tester par des protocoles comparatifs.</w:t>
      </w:r>
    </w:p>
    <w:p>
      <w:pPr>
        <w:spacing w:after="80"/>
      </w:pPr>
      <w:r>
        <w:rPr>
          <w:sz w:val="4"/>
          <w:szCs w:val="4"/>
        </w:rPr>
        <w:t xml:space="preserve"/>
      </w:r>
    </w:p>
    <w:p>
      <w:pPr>
        <w:pStyle w:val="Heading1"/>
        <w:keepNext/>
        <w:pBdr>
          <w:bottom w:val="single" w:color="1B5E3F" w:sz="8" w:space="4"/>
        </w:pBdr>
        <w:spacing w:after="170" w:before="420"/>
      </w:pPr>
      <w:r>
        <w:rPr>
          <w:rFonts w:ascii="Cambria" w:cs="Cambria" w:eastAsia="Cambria" w:hAnsi="Cambria"/>
          <w:b/>
          <w:bCs/>
          <w:color w:val="1B5E3F"/>
          <w:sz w:val="30"/>
          <w:szCs w:val="30"/>
        </w:rPr>
        <w:t xml:space="preserve">Repères bibliographiques</w:t>
      </w:r>
    </w:p>
    <w:p>
      <w:pPr>
        <w:pStyle w:val="ListParagraph"/>
        <w:numPr>
          <w:ilvl w:val="0"/>
          <w:numId w:val="3"/>
        </w:numPr>
        <w:spacing w:after="80" w:line="276"/>
        <w:jc w:val="both"/>
      </w:pPr>
      <w:r>
        <w:rPr>
          <w:rFonts w:ascii="Cambria" w:cs="Cambria" w:eastAsia="Cambria" w:hAnsi="Cambria"/>
          <w:color w:val="1A1A1A"/>
          <w:sz w:val="21"/>
          <w:szCs w:val="21"/>
        </w:rPr>
        <w:t xml:space="preserve">McEwen BS. Physiology and neurobiology of stress and adaptation: central role of the brain. </w:t>
      </w:r>
      <w:r>
        <w:rPr>
          <w:rFonts w:ascii="Cambria" w:cs="Cambria" w:eastAsia="Cambria" w:hAnsi="Cambria"/>
          <w:i/>
          <w:iCs/>
          <w:color w:val="1A1A1A"/>
          <w:sz w:val="21"/>
          <w:szCs w:val="21"/>
        </w:rPr>
        <w:t xml:space="preserve">Physiological Reviews</w:t>
      </w:r>
      <w:r>
        <w:rPr>
          <w:rFonts w:ascii="Cambria" w:cs="Cambria" w:eastAsia="Cambria" w:hAnsi="Cambria"/>
          <w:color w:val="1A1A1A"/>
          <w:sz w:val="21"/>
          <w:szCs w:val="21"/>
        </w:rPr>
        <w:t xml:space="preserve">. 2007;87(3):873-904. doi:10.1152/physrev.00041.2006.</w:t>
      </w:r>
    </w:p>
    <w:p>
      <w:pPr>
        <w:pStyle w:val="ListParagraph"/>
        <w:numPr>
          <w:ilvl w:val="0"/>
          <w:numId w:val="3"/>
        </w:numPr>
        <w:spacing w:after="80" w:line="276"/>
        <w:jc w:val="both"/>
      </w:pPr>
      <w:r>
        <w:rPr>
          <w:rFonts w:ascii="Cambria" w:cs="Cambria" w:eastAsia="Cambria" w:hAnsi="Cambria"/>
          <w:color w:val="1A1A1A"/>
          <w:sz w:val="21"/>
          <w:szCs w:val="21"/>
        </w:rPr>
        <w:t xml:space="preserve">Bobba-Alves N, Juster RP, Picard M. The energetic cost of allostasis and allostatic load. </w:t>
      </w:r>
      <w:r>
        <w:rPr>
          <w:rFonts w:ascii="Cambria" w:cs="Cambria" w:eastAsia="Cambria" w:hAnsi="Cambria"/>
          <w:i/>
          <w:iCs/>
          <w:color w:val="1A1A1A"/>
          <w:sz w:val="21"/>
          <w:szCs w:val="21"/>
        </w:rPr>
        <w:t xml:space="preserve">Psychoneuroendocrinology</w:t>
      </w:r>
      <w:r>
        <w:rPr>
          <w:rFonts w:ascii="Cambria" w:cs="Cambria" w:eastAsia="Cambria" w:hAnsi="Cambria"/>
          <w:color w:val="1A1A1A"/>
          <w:sz w:val="21"/>
          <w:szCs w:val="21"/>
        </w:rPr>
        <w:t xml:space="preserve">. 2022;146:105951. doi:10.1016/j.psyneuen.2022.105951.</w:t>
      </w:r>
    </w:p>
    <w:p>
      <w:pPr>
        <w:pStyle w:val="ListParagraph"/>
        <w:numPr>
          <w:ilvl w:val="0"/>
          <w:numId w:val="3"/>
        </w:numPr>
        <w:spacing w:after="80" w:line="276"/>
        <w:jc w:val="both"/>
      </w:pPr>
      <w:r>
        <w:rPr>
          <w:rFonts w:ascii="Cambria" w:cs="Cambria" w:eastAsia="Cambria" w:hAnsi="Cambria"/>
          <w:color w:val="1A1A1A"/>
          <w:sz w:val="21"/>
          <w:szCs w:val="21"/>
        </w:rPr>
        <w:t xml:space="preserve">Bobba-Alves N, et al. Cellular allostatic load is linked to increased energy expenditure and accelerated biological aging. </w:t>
      </w:r>
      <w:r>
        <w:rPr>
          <w:rFonts w:ascii="Cambria" w:cs="Cambria" w:eastAsia="Cambria" w:hAnsi="Cambria"/>
          <w:i/>
          <w:iCs/>
          <w:color w:val="1A1A1A"/>
          <w:sz w:val="21"/>
          <w:szCs w:val="21"/>
        </w:rPr>
        <w:t xml:space="preserve">Psychoneuroendocrinology</w:t>
      </w:r>
      <w:r>
        <w:rPr>
          <w:rFonts w:ascii="Cambria" w:cs="Cambria" w:eastAsia="Cambria" w:hAnsi="Cambria"/>
          <w:color w:val="1A1A1A"/>
          <w:sz w:val="21"/>
          <w:szCs w:val="21"/>
        </w:rPr>
        <w:t xml:space="preserve">. 2023;155:106322. doi:10.1016/j.psyneuen.2023.106322.</w:t>
      </w:r>
    </w:p>
    <w:p>
      <w:pPr>
        <w:pStyle w:val="ListParagraph"/>
        <w:numPr>
          <w:ilvl w:val="0"/>
          <w:numId w:val="3"/>
        </w:numPr>
        <w:spacing w:after="80" w:line="276"/>
        <w:jc w:val="both"/>
      </w:pPr>
      <w:r>
        <w:rPr>
          <w:rFonts w:ascii="Cambria" w:cs="Cambria" w:eastAsia="Cambria" w:hAnsi="Cambria"/>
          <w:color w:val="1A1A1A"/>
          <w:sz w:val="21"/>
          <w:szCs w:val="21"/>
        </w:rPr>
        <w:t xml:space="preserve">Picard M, Murugan NJ. The energy resistance principle. </w:t>
      </w:r>
      <w:r>
        <w:rPr>
          <w:rFonts w:ascii="Cambria" w:cs="Cambria" w:eastAsia="Cambria" w:hAnsi="Cambria"/>
          <w:i/>
          <w:iCs/>
          <w:color w:val="1A1A1A"/>
          <w:sz w:val="21"/>
          <w:szCs w:val="21"/>
        </w:rPr>
        <w:t xml:space="preserve">Cell Metabolism</w:t>
      </w:r>
      <w:r>
        <w:rPr>
          <w:rFonts w:ascii="Cambria" w:cs="Cambria" w:eastAsia="Cambria" w:hAnsi="Cambria"/>
          <w:color w:val="1A1A1A"/>
          <w:sz w:val="21"/>
          <w:szCs w:val="21"/>
        </w:rPr>
        <w:t xml:space="preserve">. 2025;37. doi:10.1016/j.cmet.2025.09.002.</w:t>
      </w:r>
    </w:p>
    <w:p>
      <w:pPr>
        <w:pStyle w:val="ListParagraph"/>
        <w:numPr>
          <w:ilvl w:val="0"/>
          <w:numId w:val="3"/>
        </w:numPr>
        <w:spacing w:after="80" w:line="276"/>
        <w:jc w:val="both"/>
      </w:pPr>
      <w:r>
        <w:rPr>
          <w:rFonts w:ascii="Cambria" w:cs="Cambria" w:eastAsia="Cambria" w:hAnsi="Cambria"/>
          <w:color w:val="1A1A1A"/>
          <w:sz w:val="21"/>
          <w:szCs w:val="21"/>
        </w:rPr>
        <w:t xml:space="preserve">Descamps E, Boussac M, Joineau K, et al. Changes of cerebral functional connectivity induced by foot reflexology in a randomized controlled trial. </w:t>
      </w:r>
      <w:r>
        <w:rPr>
          <w:rFonts w:ascii="Cambria" w:cs="Cambria" w:eastAsia="Cambria" w:hAnsi="Cambria"/>
          <w:i/>
          <w:iCs/>
          <w:color w:val="1A1A1A"/>
          <w:sz w:val="21"/>
          <w:szCs w:val="21"/>
        </w:rPr>
        <w:t xml:space="preserve">Scientific Reports</w:t>
      </w:r>
      <w:r>
        <w:rPr>
          <w:rFonts w:ascii="Cambria" w:cs="Cambria" w:eastAsia="Cambria" w:hAnsi="Cambria"/>
          <w:color w:val="1A1A1A"/>
          <w:sz w:val="21"/>
          <w:szCs w:val="21"/>
        </w:rPr>
        <w:t xml:space="preserve">. 2023;13:17139. doi:10.1038/s41598-023-44325-x.</w:t>
      </w:r>
    </w:p>
    <w:p>
      <w:pPr>
        <w:pStyle w:val="ListParagraph"/>
        <w:numPr>
          <w:ilvl w:val="0"/>
          <w:numId w:val="3"/>
        </w:numPr>
        <w:spacing w:after="80" w:line="276"/>
        <w:jc w:val="both"/>
      </w:pPr>
      <w:r>
        <w:rPr>
          <w:rFonts w:ascii="Cambria" w:cs="Cambria" w:eastAsia="Cambria" w:hAnsi="Cambria"/>
          <w:color w:val="1A1A1A"/>
          <w:sz w:val="21"/>
          <w:szCs w:val="21"/>
        </w:rPr>
        <w:t xml:space="preserve">Khalsa SS, et al. Interoception and mental health: a roadmap. </w:t>
      </w:r>
      <w:r>
        <w:rPr>
          <w:rFonts w:ascii="Cambria" w:cs="Cambria" w:eastAsia="Cambria" w:hAnsi="Cambria"/>
          <w:i/>
          <w:iCs/>
          <w:color w:val="1A1A1A"/>
          <w:sz w:val="21"/>
          <w:szCs w:val="21"/>
        </w:rPr>
        <w:t xml:space="preserve">Biological Psychiatry: Cognitive Neuroscience and Neuroimaging</w:t>
      </w:r>
      <w:r>
        <w:rPr>
          <w:rFonts w:ascii="Cambria" w:cs="Cambria" w:eastAsia="Cambria" w:hAnsi="Cambria"/>
          <w:color w:val="1A1A1A"/>
          <w:sz w:val="21"/>
          <w:szCs w:val="21"/>
        </w:rPr>
        <w:t xml:space="preserve">. 2018;3(6):501-513. doi:10.1016/j.bpsc.2017.12.004.</w:t>
      </w:r>
    </w:p>
    <w:p>
      <w:pPr>
        <w:pStyle w:val="ListParagraph"/>
        <w:numPr>
          <w:ilvl w:val="0"/>
          <w:numId w:val="3"/>
        </w:numPr>
        <w:spacing w:after="80" w:line="276"/>
        <w:jc w:val="both"/>
      </w:pPr>
      <w:r>
        <w:rPr>
          <w:rFonts w:ascii="Cambria" w:cs="Cambria" w:eastAsia="Cambria" w:hAnsi="Cambria"/>
          <w:color w:val="1A1A1A"/>
          <w:sz w:val="21"/>
          <w:szCs w:val="21"/>
        </w:rPr>
        <w:t xml:space="preserve">Chen WG, et al. The emerging science of interoception: sensing, integrating, interpreting, and regulating signals within the self. </w:t>
      </w:r>
      <w:r>
        <w:rPr>
          <w:rFonts w:ascii="Cambria" w:cs="Cambria" w:eastAsia="Cambria" w:hAnsi="Cambria"/>
          <w:i/>
          <w:iCs/>
          <w:color w:val="1A1A1A"/>
          <w:sz w:val="21"/>
          <w:szCs w:val="21"/>
        </w:rPr>
        <w:t xml:space="preserve">Trends in Neurosciences</w:t>
      </w:r>
      <w:r>
        <w:rPr>
          <w:rFonts w:ascii="Cambria" w:cs="Cambria" w:eastAsia="Cambria" w:hAnsi="Cambria"/>
          <w:color w:val="1A1A1A"/>
          <w:sz w:val="21"/>
          <w:szCs w:val="21"/>
        </w:rPr>
        <w:t xml:space="preserve">. 2021;44(1):3-16. doi:10.1016/j.tins.2020.10.007.</w:t>
      </w:r>
    </w:p>
    <w:p>
      <w:pPr>
        <w:pStyle w:val="ListParagraph"/>
        <w:numPr>
          <w:ilvl w:val="0"/>
          <w:numId w:val="3"/>
        </w:numPr>
        <w:spacing w:after="80" w:line="276"/>
        <w:jc w:val="both"/>
      </w:pPr>
      <w:r>
        <w:rPr>
          <w:rFonts w:ascii="Cambria" w:cs="Cambria" w:eastAsia="Cambria" w:hAnsi="Cambria"/>
          <w:color w:val="1A1A1A"/>
          <w:sz w:val="21"/>
          <w:szCs w:val="21"/>
        </w:rPr>
        <w:t xml:space="preserve">Hopper SI, et al. Effectiveness of diaphragmatic breathing for reducing physiological and psychological stress in adults: a quantitative systematic review. </w:t>
      </w:r>
      <w:r>
        <w:rPr>
          <w:rFonts w:ascii="Cambria" w:cs="Cambria" w:eastAsia="Cambria" w:hAnsi="Cambria"/>
          <w:i/>
          <w:iCs/>
          <w:color w:val="1A1A1A"/>
          <w:sz w:val="21"/>
          <w:szCs w:val="21"/>
        </w:rPr>
        <w:t xml:space="preserve">JBI Database of Systematic Reviews and Implementation Reports</w:t>
      </w:r>
      <w:r>
        <w:rPr>
          <w:rFonts w:ascii="Cambria" w:cs="Cambria" w:eastAsia="Cambria" w:hAnsi="Cambria"/>
          <w:color w:val="1A1A1A"/>
          <w:sz w:val="21"/>
          <w:szCs w:val="21"/>
        </w:rPr>
        <w:t xml:space="preserve">. 2019;17(9):1855-1876. doi:10.11124/JBISRIR-2017-003848.</w:t>
      </w:r>
    </w:p>
    <w:p>
      <w:pPr>
        <w:pStyle w:val="ListParagraph"/>
        <w:numPr>
          <w:ilvl w:val="0"/>
          <w:numId w:val="3"/>
        </w:numPr>
        <w:spacing w:after="80" w:line="276"/>
        <w:jc w:val="both"/>
      </w:pPr>
      <w:r>
        <w:rPr>
          <w:rFonts w:ascii="Cambria" w:cs="Cambria" w:eastAsia="Cambria" w:hAnsi="Cambria"/>
          <w:color w:val="1A1A1A"/>
          <w:sz w:val="21"/>
          <w:szCs w:val="21"/>
        </w:rPr>
        <w:t xml:space="preserve">Cannon WB. </w:t>
      </w:r>
      <w:r>
        <w:rPr>
          <w:rFonts w:ascii="Cambria" w:cs="Cambria" w:eastAsia="Cambria" w:hAnsi="Cambria"/>
          <w:i/>
          <w:iCs/>
          <w:color w:val="1A1A1A"/>
          <w:sz w:val="21"/>
          <w:szCs w:val="21"/>
        </w:rPr>
        <w:t xml:space="preserve">The Wisdom of the Body</w:t>
      </w:r>
      <w:r>
        <w:rPr>
          <w:rFonts w:ascii="Cambria" w:cs="Cambria" w:eastAsia="Cambria" w:hAnsi="Cambria"/>
          <w:color w:val="1A1A1A"/>
          <w:sz w:val="21"/>
          <w:szCs w:val="21"/>
        </w:rPr>
        <w:t xml:space="preserve">. New York: W.W. Norton; 1932.</w:t>
      </w:r>
    </w:p>
    <w:p>
      <w:pPr>
        <w:pStyle w:val="ListParagraph"/>
        <w:numPr>
          <w:ilvl w:val="0"/>
          <w:numId w:val="3"/>
        </w:numPr>
        <w:spacing w:after="80" w:line="276"/>
        <w:jc w:val="both"/>
      </w:pPr>
      <w:r>
        <w:rPr>
          <w:rFonts w:ascii="Cambria" w:cs="Cambria" w:eastAsia="Cambria" w:hAnsi="Cambria"/>
          <w:color w:val="1A1A1A"/>
          <w:sz w:val="21"/>
          <w:szCs w:val="21"/>
        </w:rPr>
        <w:t xml:space="preserve">Selye H. </w:t>
      </w:r>
      <w:r>
        <w:rPr>
          <w:rFonts w:ascii="Cambria" w:cs="Cambria" w:eastAsia="Cambria" w:hAnsi="Cambria"/>
          <w:i/>
          <w:iCs/>
          <w:color w:val="1A1A1A"/>
          <w:sz w:val="21"/>
          <w:szCs w:val="21"/>
        </w:rPr>
        <w:t xml:space="preserve">The Stress of Life</w:t>
      </w:r>
      <w:r>
        <w:rPr>
          <w:rFonts w:ascii="Cambria" w:cs="Cambria" w:eastAsia="Cambria" w:hAnsi="Cambria"/>
          <w:color w:val="1A1A1A"/>
          <w:sz w:val="21"/>
          <w:szCs w:val="21"/>
        </w:rPr>
        <w:t xml:space="preserve">. New York: McGraw-Hill; 1956.</w:t>
      </w:r>
    </w:p>
    <w:p>
      <w:pPr>
        <w:spacing w:after="80"/>
      </w:pPr>
      <w:r>
        <w:rPr>
          <w:sz w:val="4"/>
          <w:szCs w:val="4"/>
        </w:rPr>
        <w:t xml:space="preserve"/>
      </w:r>
    </w:p>
    <w:p>
      <w:pPr>
        <w:pBdr>
          <w:bottom w:val="single" w:color="C9C2B4" w:sz="6" w:space="2"/>
        </w:pBdr>
        <w:spacing w:after="220" w:before="160"/>
      </w:pPr>
      <w:r>
        <w:rPr>
          <w:sz w:val="6"/>
          <w:szCs w:val="6"/>
        </w:rPr>
        <w:t xml:space="preserve"/>
      </w:r>
    </w:p>
    <w:p>
      <w:pPr>
        <w:spacing w:after="140" w:line="276"/>
        <w:jc w:val="both"/>
      </w:pPr>
      <w:r>
        <w:rPr>
          <w:rFonts w:ascii="Cambria" w:cs="Cambria" w:eastAsia="Cambria" w:hAnsi="Cambria"/>
          <w:i/>
          <w:iCs/>
          <w:color w:val="1A1A1A"/>
          <w:sz w:val="21"/>
          <w:szCs w:val="21"/>
        </w:rPr>
        <w:t xml:space="preserve">Chapitre 5 — Mécanisme de stress | Réflexothérapie occipito-podale</w:t>
      </w:r>
    </w:p>
    <w:sectPr>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2B4" w:sz="4" w:space="6"/>
      </w:pBdr>
      <w:jc w:val="center"/>
    </w:pPr>
    <w:r>
      <w:rPr>
        <w:rFonts w:ascii="Cambria" w:cs="Cambria" w:eastAsia="Cambria" w:hAnsi="Cambria"/>
        <w:color w:val="8A8A8A"/>
        <w:sz w:val="16"/>
        <w:szCs w:val="16"/>
      </w:rPr>
      <w:t xml:space="preserve">Institut R.O.P. · Chapitre 5 — Mécanisme de stress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b/>
        <w:bCs/>
        <w:color w:val="1B5E3F"/>
      </w:rPr>
    </w:lvl>
  </w:abstractNum>
  <w:abstractNum w:abstractNumId="3" w15:restartNumberingAfterBreak="0">
    <w:multiLevelType w:val="hybridMultilevel"/>
    <w:lvl w:ilvl="0" w15:tentative="1">
      <w:start w:val="1"/>
      <w:numFmt w:val="decimal"/>
      <w:lvlText w:val="%1."/>
      <w:lvlJc w:val="left"/>
      <w:pPr>
        <w:ind w:left="720" w:hanging="340"/>
      </w:pPr>
      <w:rPr>
        <w:b/>
        <w:bCs/>
        <w:color w:val="1B5E3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 | Réflexothérapie occipito-podale</dc:title>
  <dc:creator>Guy Boitout — Institut R.O.P.</dc:creator>
  <dc:description>Quatre portes somatiques, cinq ponts neuro-anatomiques et un gradient de ciblage à trois paramètres.</dc:description>
  <cp:lastModifiedBy>Un-named</cp:lastModifiedBy>
  <cp:revision>1</cp:revision>
  <dcterms:created xsi:type="dcterms:W3CDTF">2026-08-21T04:37:32.333Z</dcterms:created>
  <dcterms:modified xsi:type="dcterms:W3CDTF">2026-08-21T04:37:32.333Z</dcterms:modified>
</cp:coreProperties>
</file>

<file path=docProps/custom.xml><?xml version="1.0" encoding="utf-8"?>
<Properties xmlns="http://schemas.openxmlformats.org/officeDocument/2006/custom-properties" xmlns:vt="http://schemas.openxmlformats.org/officeDocument/2006/docPropsVTypes"/>
</file>