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BCD1" w14:textId="77777777" w:rsidR="00966354" w:rsidRDefault="00000000">
      <w:pPr>
        <w:pStyle w:val="Title"/>
        <w:keepNext/>
        <w:jc w:val="center"/>
        <w:rPr>
          <w:lang w:val="fr-FR"/>
        </w:rPr>
      </w:pPr>
      <w:r>
        <w:rPr>
          <w:b/>
          <w:lang w:val="fr-FR"/>
        </w:rPr>
        <w:t>Chapter 10 — Duodenum</w:t>
      </w:r>
    </w:p>
    <w:p w14:paraId="385D6901" w14:textId="77777777" w:rsidR="00966354" w:rsidRDefault="00000000">
      <w:pPr>
        <w:pStyle w:val="Heading1"/>
        <w:spacing w:before="160" w:after="60"/>
        <w:rPr>
          <w:lang w:val="fr-FR"/>
        </w:rPr>
      </w:pPr>
      <w:r>
        <w:rPr>
          <w:lang w:val="fr-FR"/>
        </w:rPr>
        <w:t>1. Overview</w:t>
      </w:r>
    </w:p>
    <w:p w14:paraId="72922559" w14:textId="77777777" w:rsidR="00966354" w:rsidRDefault="00000000">
      <w:pPr>
        <w:rPr>
          <w:lang w:val="fr-FR"/>
        </w:rPr>
      </w:pPr>
      <w:r>
        <w:rPr>
          <w:lang w:val="fr-FR"/>
        </w:rPr>
        <w:t>The duodenum is the proximal portion of the small intestine.</w:t>
      </w:r>
    </w:p>
    <w:p w14:paraId="6BAFCD4D" w14:textId="77777777" w:rsidR="00966354" w:rsidRDefault="00000000">
      <w:pPr>
        <w:rPr>
          <w:lang w:val="fr-FR"/>
        </w:rPr>
      </w:pPr>
      <w:r>
        <w:rPr>
          <w:lang w:val="fr-FR"/>
        </w:rPr>
        <w:t>Its thicker wall, relative immobility, and specific role in digestion distinguish it from the more mobile jejunum and ileum.</w:t>
      </w:r>
    </w:p>
    <w:p w14:paraId="5263FA7C" w14:textId="77777777" w:rsidR="00966354" w:rsidRDefault="00000000">
      <w:pPr>
        <w:pStyle w:val="Heading1"/>
        <w:spacing w:before="160" w:after="60"/>
        <w:rPr>
          <w:lang w:val="fr-FR"/>
        </w:rPr>
      </w:pPr>
      <w:r>
        <w:rPr>
          <w:lang w:val="fr-FR"/>
        </w:rPr>
        <w:t>2. Location</w:t>
      </w:r>
    </w:p>
    <w:p w14:paraId="608D3618" w14:textId="77777777" w:rsidR="00966354" w:rsidRDefault="00000000">
      <w:pPr>
        <w:rPr>
          <w:lang w:val="fr-FR"/>
        </w:rPr>
      </w:pPr>
      <w:r>
        <w:rPr>
          <w:lang w:val="fr-FR"/>
        </w:rPr>
        <w:t>The duodenum is broadly U- or C-shaped.</w:t>
      </w:r>
    </w:p>
    <w:p w14:paraId="246128C3" w14:textId="77777777" w:rsidR="00966354" w:rsidRDefault="00000000">
      <w:pPr>
        <w:rPr>
          <w:lang w:val="fr-FR"/>
        </w:rPr>
      </w:pPr>
      <w:r>
        <w:rPr>
          <w:lang w:val="fr-FR"/>
        </w:rPr>
        <w:t>It is approximately 25 cm long, a measurement that historically gave rise to its name.</w:t>
      </w:r>
    </w:p>
    <w:p w14:paraId="3E6585D9" w14:textId="77777777" w:rsidR="00966354" w:rsidRDefault="00000000">
      <w:pPr>
        <w:rPr>
          <w:lang w:val="fr-FR"/>
        </w:rPr>
      </w:pPr>
      <w:r>
        <w:rPr>
          <w:lang w:val="fr-FR"/>
        </w:rPr>
        <w:t>It extends from the pylorus to the duodenojejunal flexure.</w:t>
      </w:r>
      <w:proofErr w:type="spellStart"/>
      <w:r>
        <w:rPr>
          <w:lang w:val="fr-FR"/>
        </w:rPr>
      </w:r>
      <w:proofErr w:type="spellEnd"/>
      <w:r>
        <w:rPr>
          <w:lang w:val="fr-FR"/>
        </w:rPr>
      </w:r>
    </w:p>
    <w:p w14:paraId="57CCBAD6" w14:textId="77777777" w:rsidR="00966354" w:rsidRDefault="00000000">
      <w:pPr>
        <w:rPr>
          <w:lang w:val="fr-FR"/>
        </w:rPr>
      </w:pPr>
      <w:r>
        <w:rPr>
          <w:lang w:val="fr-FR"/>
        </w:rPr>
        <w:t>It plays a major role in the continuation of digestion by receiving bile and pancreatic secretions; it also helps neutralize gastric acidity as the contents leave the stomach.</w:t>
      </w:r>
    </w:p>
    <w:p w14:paraId="642877E3" w14:textId="77777777" w:rsidR="00966354" w:rsidRDefault="00000000">
      <w:pPr>
        <w:pStyle w:val="Heading1"/>
        <w:spacing w:before="160" w:after="60"/>
        <w:rPr>
          <w:lang w:val="fr-FR"/>
        </w:rPr>
      </w:pPr>
      <w:r>
        <w:rPr>
          <w:lang w:val="fr-FR"/>
        </w:rPr>
        <w:t>3. Anatomy</w:t>
      </w:r>
    </w:p>
    <w:p w14:paraId="7F8C18A0" w14:textId="77777777" w:rsidR="00966354" w:rsidRDefault="00000000">
      <w:pPr>
        <w:rPr>
          <w:lang w:val="fr-FR"/>
        </w:rPr>
      </w:pPr>
      <w:r>
        <w:rPr>
          <w:lang w:val="fr-FR"/>
        </w:rPr>
        <w:t>The duodenum is largely retroperitoneal and lies against the posterior abdominal wall.</w:t>
      </w:r>
      <w:proofErr w:type="spellStart"/>
      <w:r>
        <w:rPr>
          <w:lang w:val="fr-FR"/>
        </w:rPr>
      </w:r>
      <w:proofErr w:type="spellEnd"/>
      <w:r>
        <w:rPr>
          <w:lang w:val="fr-FR"/>
        </w:rPr>
      </w:r>
    </w:p>
    <w:p w14:paraId="3C99B82C" w14:textId="77777777" w:rsidR="00966354" w:rsidRDefault="00000000">
      <w:pPr>
        <w:rPr>
          <w:lang w:val="fr-FR"/>
        </w:rPr>
      </w:pPr>
      <w:r>
        <w:rPr>
          <w:lang w:val="fr-FR"/>
        </w:rPr>
        <w:t>It comprises four segments.</w:t>
      </w:r>
    </w:p>
    <w:p w14:paraId="703B482C" w14:textId="77777777" w:rsidR="00966354" w:rsidRDefault="00000000">
      <w:pPr>
        <w:pStyle w:val="Heading2"/>
        <w:spacing w:before="100" w:after="60"/>
        <w:rPr>
          <w:lang w:val="fr-FR"/>
        </w:rPr>
      </w:pPr>
      <w:r>
        <w:rPr>
          <w:lang w:val="fr-FR"/>
        </w:rPr>
        <w:t>3.1. D1, or the bulbopyloric duodenum</w:t>
      </w:r>
    </w:p>
    <w:p w14:paraId="2D4CB82C" w14:textId="77777777" w:rsidR="00966354" w:rsidRDefault="00000000">
      <w:pPr>
        <w:rPr>
          <w:lang w:val="fr-FR"/>
        </w:rPr>
      </w:pPr>
      <w:r>
        <w:rPr>
          <w:lang w:val="fr-FR"/>
        </w:rPr>
        <w:t>Approximately 5–6 cm long and located to the right of L1, it runs obliquely to the right, slightly upward and posteriorly, beneath the gallbladder.</w:t>
      </w:r>
    </w:p>
    <w:p w14:paraId="734230F2" w14:textId="77777777" w:rsidR="00966354" w:rsidRDefault="00000000">
      <w:pPr>
        <w:rPr>
          <w:lang w:val="fr-FR"/>
        </w:rPr>
      </w:pPr>
      <w:r>
        <w:rPr>
          <w:lang w:val="fr-FR"/>
        </w:rPr>
        <w:t>It is the only portion of the duodenum whose initial segment is classically described as intraperitoneal.</w:t>
      </w:r>
    </w:p>
    <w:p w14:paraId="4D5CA043" w14:textId="77777777" w:rsidR="00966354" w:rsidRDefault="00000000">
      <w:pPr>
        <w:rPr>
          <w:lang w:val="fr-FR"/>
        </w:rPr>
      </w:pPr>
      <w:r>
        <w:rPr>
          <w:lang w:val="fr-FR"/>
        </w:rPr>
        <w:t>It comprises a mobile proximal segment, the duodenal bulb, and a more fixed segment continuous with the hepatoduodenal ligament of the lesser omentum.</w:t>
      </w:r>
    </w:p>
    <w:p w14:paraId="757CF6FD" w14:textId="77777777" w:rsidR="00966354" w:rsidRDefault="00000000">
      <w:pPr>
        <w:rPr>
          <w:lang w:val="fr-FR"/>
        </w:rPr>
      </w:pPr>
      <w:r>
        <w:rPr>
          <w:lang w:val="fr-FR"/>
        </w:rPr>
        <w:t>It is related to the liver and gallbladder, except for the most freely mobile portion of the bulb.</w:t>
      </w:r>
    </w:p>
    <w:p w14:paraId="561C4125" w14:textId="77777777" w:rsidR="00966354" w:rsidRDefault="00000000">
      <w:pPr>
        <w:rPr>
          <w:lang w:val="fr-FR"/>
        </w:rPr>
      </w:pPr>
      <w:r>
        <w:rPr>
          <w:lang w:val="fr-FR"/>
        </w:rPr>
        <w:t>The angle between D1 and D2 is known as the superior duodenal flexure (genu superius).</w:t>
      </w:r>
    </w:p>
    <w:p w14:paraId="14FBFE63" w14:textId="77777777" w:rsidR="00966354" w:rsidRDefault="00000000">
      <w:pPr>
        <w:pStyle w:val="Heading2"/>
        <w:spacing w:before="100" w:after="60"/>
        <w:rPr>
          <w:lang w:val="fr-FR"/>
        </w:rPr>
      </w:pPr>
      <w:r>
        <w:rPr>
          <w:lang w:val="fr-FR"/>
        </w:rPr>
        <w:t>3.2. D2, or the pancreaticobiliary duodenum</w:t>
      </w:r>
    </w:p>
    <w:p w14:paraId="225ADC8E" w14:textId="77777777" w:rsidR="00966354" w:rsidRDefault="00000000">
      <w:pPr>
        <w:rPr>
          <w:lang w:val="fr-FR"/>
        </w:rPr>
      </w:pPr>
      <w:r>
        <w:rPr>
          <w:lang w:val="fr-FR"/>
        </w:rPr>
        <w:t>Approximately 8–10 cm long, it descends vertically along the right side of the lumbar vertebrae and remains applied to the posterior abdominal wall.</w:t>
      </w:r>
    </w:p>
    <w:p w14:paraId="12CBFD18" w14:textId="77777777" w:rsidR="00966354" w:rsidRDefault="00000000">
      <w:pPr>
        <w:rPr>
          <w:lang w:val="fr-FR"/>
        </w:rPr>
      </w:pPr>
      <w:r>
        <w:rPr>
          <w:lang w:val="fr-FR"/>
        </w:rPr>
        <w:t>It is a functionally central segment because the biliary and pancreatic ducts open onto its posteromedial wall.</w:t>
      </w:r>
    </w:p>
    <w:p w14:paraId="36B93C77" w14:textId="77777777" w:rsidR="00966354" w:rsidRDefault="00000000">
      <w:pPr>
        <w:rPr>
          <w:lang w:val="fr-FR"/>
        </w:rPr>
      </w:pPr>
      <w:r>
        <w:rPr>
          <w:lang w:val="fr-FR"/>
        </w:rPr>
        <w:t>Two mucosal elevations are classically described: the major and minor duodenal papillae.</w:t>
      </w:r>
    </w:p>
    <w:p w14:paraId="7B51644A" w14:textId="77777777" w:rsidR="00966354" w:rsidRDefault="00000000">
      <w:pPr>
        <w:rPr>
          <w:lang w:val="fr-FR"/>
        </w:rPr>
      </w:pPr>
      <w:r>
        <w:rPr>
          <w:lang w:val="fr-FR"/>
        </w:rPr>
        <w:t>Major duodenal papilla: located near the junction of the middle and lower thirds of D2, it is the site at which the common bile duct and main pancreatic duct open into the hepatopancreatic ampulla; its opening is regulated by the sphincter of Oddi.</w:t>
      </w:r>
    </w:p>
    <w:p w14:paraId="7C815A86" w14:textId="77777777" w:rsidR="00966354" w:rsidRDefault="00000000">
      <w:pPr>
        <w:rPr>
          <w:lang w:val="fr-FR"/>
        </w:rPr>
      </w:pPr>
      <w:r>
        <w:rPr>
          <w:lang w:val="fr-FR"/>
        </w:rPr>
        <w:t>Its surface projection is provided here as a clinical landmark: on the right umbilicomidclavicular line, approximately three fingerbreadths above the umbilicus, near L2.</w:t>
      </w:r>
    </w:p>
    <w:p w14:paraId="097AB966" w14:textId="77777777" w:rsidR="00966354" w:rsidRDefault="00000000">
      <w:pPr>
        <w:rPr>
          <w:lang w:val="fr-FR"/>
        </w:rPr>
      </w:pPr>
      <w:r>
        <w:rPr>
          <w:lang w:val="fr-FR"/>
        </w:rPr>
        <w:t>Minor duodenal papilla: located more superiorly, it is the opening of the accessory pancreatic duct of Santorini when that duct is present and patent.</w:t>
      </w:r>
    </w:p>
    <w:p w14:paraId="44273521" w14:textId="77777777" w:rsidR="00966354" w:rsidRDefault="00000000">
      <w:pPr>
        <w:rPr>
          <w:lang w:val="fr-FR"/>
        </w:rPr>
      </w:pPr>
      <w:r>
        <w:rPr>
          <w:lang w:val="fr-FR"/>
        </w:rPr>
        <w:t>The angle between D2 and D3 is known as the inferior duodenal flexure (genu inferius).</w:t>
      </w:r>
    </w:p>
    <w:p w14:paraId="2F2DF9DF" w14:textId="77777777" w:rsidR="00966354" w:rsidRDefault="00000000">
      <w:pPr>
        <w:pStyle w:val="Heading2"/>
        <w:spacing w:before="100" w:after="60"/>
        <w:rPr>
          <w:lang w:val="fr-FR"/>
        </w:rPr>
      </w:pPr>
      <w:r>
        <w:rPr>
          <w:lang w:val="fr-FR"/>
        </w:rPr>
        <w:t>3.3. D3, or the vascular duodenum</w:t>
      </w:r>
    </w:p>
    <w:p w14:paraId="11D7B369" w14:textId="77777777" w:rsidR="00966354" w:rsidRDefault="00000000">
      <w:pPr>
        <w:rPr>
          <w:lang w:val="fr-FR"/>
        </w:rPr>
      </w:pPr>
      <w:r>
        <w:rPr>
          <w:lang w:val="fr-FR"/>
        </w:rPr>
        <w:t>Approximately 6–9 cm long, it runs generally horizontally, with a slight upward inclination.</w:t>
      </w:r>
    </w:p>
    <w:p w14:paraId="1B0A7CFE" w14:textId="77777777" w:rsidR="00966354" w:rsidRDefault="00000000">
      <w:pPr>
        <w:rPr>
          <w:lang w:val="fr-FR"/>
        </w:rPr>
      </w:pPr>
      <w:r>
        <w:rPr>
          <w:lang w:val="fr-FR"/>
        </w:rPr>
        <w:t>Concave in shape, it crosses anterior to L3, from which it is separated by the deep muscular and vascular planes.</w:t>
      </w:r>
    </w:p>
    <w:p w14:paraId="7C69D870" w14:textId="77777777" w:rsidR="00966354" w:rsidRDefault="00000000">
      <w:pPr>
        <w:pStyle w:val="Heading2"/>
        <w:spacing w:before="100" w:after="60"/>
        <w:rPr>
          <w:lang w:val="fr-FR"/>
        </w:rPr>
      </w:pPr>
      <w:r>
        <w:rPr>
          <w:lang w:val="fr-FR"/>
        </w:rPr>
        <w:t>3.4. D4, or the jejunal duodenum</w:t>
      </w:r>
    </w:p>
    <w:p w14:paraId="03A13B6D" w14:textId="77777777" w:rsidR="00966354" w:rsidRDefault="00000000">
      <w:pPr>
        <w:rPr>
          <w:lang w:val="fr-FR"/>
        </w:rPr>
      </w:pPr>
      <w:r>
        <w:rPr>
          <w:lang w:val="fr-FR"/>
        </w:rPr>
        <w:t>Approximately 6 cm long, it ascends obliquely along the left side of the aorta toward L2.</w:t>
      </w:r>
    </w:p>
    <w:p w14:paraId="5B716617" w14:textId="77777777" w:rsidR="00966354" w:rsidRDefault="00000000">
      <w:pPr>
        <w:rPr>
          <w:lang w:val="fr-FR"/>
        </w:rPr>
      </w:pPr>
      <w:r>
        <w:rPr>
          <w:lang w:val="fr-FR"/>
        </w:rPr>
        <w:t>It ends at the duodenojejunal junction, or flexure of Treitz.</w:t>
      </w:r>
    </w:p>
    <w:p w14:paraId="2866619D" w14:textId="77777777" w:rsidR="00966354" w:rsidRDefault="00000000">
      <w:pPr>
        <w:pStyle w:val="Heading2"/>
        <w:spacing w:before="100" w:after="60"/>
        <w:rPr>
          <w:lang w:val="fr-FR"/>
        </w:rPr>
      </w:pPr>
      <w:r>
        <w:rPr>
          <w:lang w:val="fr-FR"/>
        </w:rPr>
        <w:t>3.5. Duodenojejunal junction</w:t>
      </w:r>
    </w:p>
    <w:p w14:paraId="7ABB9508" w14:textId="77777777" w:rsidR="00966354" w:rsidRDefault="00000000">
      <w:pPr>
        <w:rPr>
          <w:lang w:val="fr-FR"/>
        </w:rPr>
      </w:pPr>
      <w:r>
        <w:rPr>
          <w:lang w:val="fr-FR"/>
        </w:rPr>
        <w:t>Its surface projection is presented here as symmetrical to that of the sphincter of Oddi, on the left umbilicomidclavicular line.</w:t>
      </w:r>
    </w:p>
    <w:p w14:paraId="09513B50" w14:textId="77777777" w:rsidR="00966354" w:rsidRDefault="00000000">
      <w:pPr>
        <w:rPr>
          <w:lang w:val="fr-FR"/>
        </w:rPr>
      </w:pPr>
      <w:r>
        <w:rPr>
          <w:lang w:val="fr-FR"/>
        </w:rPr>
        <w:t>It provides the caudal attachment of the suspensory ligament of the duodenum (ligament of Treitz).</w:t>
      </w:r>
    </w:p>
    <w:p w14:paraId="0C5D12A7" w14:textId="77777777" w:rsidR="00966354" w:rsidRDefault="00000000">
      <w:pPr>
        <w:pStyle w:val="Heading2"/>
        <w:spacing w:before="100" w:after="60"/>
        <w:rPr>
          <w:lang w:val="fr-FR"/>
        </w:rPr>
      </w:pPr>
      <w:r>
        <w:rPr>
          <w:lang w:val="fr-FR"/>
        </w:rPr>
        <w:t>3.6. Suspensory ligament of the duodenum (ligament of Treitz)</w:t>
      </w:r>
    </w:p>
    <w:p w14:paraId="69A1590C" w14:textId="77777777" w:rsidR="00966354" w:rsidRDefault="00000000">
      <w:pPr>
        <w:rPr>
          <w:lang w:val="fr-FR"/>
        </w:rPr>
      </w:pPr>
      <w:r>
        <w:rPr>
          <w:lang w:val="fr-FR"/>
        </w:rPr>
        <w:t>The suspensory ligament of the duodenum, or ligament of Treitz, is described as connecting the duodenojejunal region to the deep connective and muscular structures of the subdiaphragmatic and mesenteric regions.</w:t>
      </w:r>
    </w:p>
    <w:p w14:paraId="6DE20D07" w14:textId="77777777" w:rsidR="00966354" w:rsidRDefault="00000000">
      <w:pPr>
        <w:rPr>
          <w:lang w:val="fr-FR"/>
        </w:rPr>
      </w:pPr>
      <w:r>
        <w:rPr>
          <w:lang w:val="fr-FR"/>
        </w:rPr>
        <w:t>Tension in its muscular component is classically described as helping open the duodenojejunal flexure and supporting gastroduodenal emptying dynamics.</w:t>
      </w:r>
    </w:p>
    <w:p w14:paraId="141AC66C" w14:textId="77777777" w:rsidR="00966354" w:rsidRDefault="00000000">
      <w:pPr>
        <w:rPr>
          <w:lang w:val="fr-FR"/>
        </w:rPr>
      </w:pPr>
      <w:r>
        <w:rPr>
          <w:lang w:val="fr-FR"/>
        </w:rPr>
        <w:t>From this functional perspective, it also helps maintain longitudinal tension in the root of the mesentery.</w:t>
      </w:r>
    </w:p>
    <w:p w14:paraId="623AE0E5" w14:textId="77777777" w:rsidR="00966354" w:rsidRDefault="00000000">
      <w:pPr>
        <w:pStyle w:val="Heading1"/>
        <w:spacing w:before="160" w:after="60"/>
        <w:rPr>
          <w:lang w:val="fr-FR"/>
        </w:rPr>
      </w:pPr>
      <w:r>
        <w:rPr>
          <w:lang w:val="fr-FR"/>
        </w:rPr>
        <w:t>4. Anatomical relationships</w:t>
      </w:r>
    </w:p>
    <w:p w14:paraId="07D28BDC" w14:textId="77777777" w:rsidR="00966354" w:rsidRDefault="00000000">
      <w:pPr>
        <w:rPr>
          <w:lang w:val="fr-FR"/>
        </w:rPr>
      </w:pPr>
      <w:r>
        <w:rPr>
          <w:lang w:val="fr-FR"/>
        </w:rPr>
        <w:t>D1 is related to the lesser curvature of the stomach, liver, and gallbladder.</w:t>
      </w:r>
    </w:p>
    <w:p w14:paraId="334C2228" w14:textId="77777777" w:rsidR="00966354" w:rsidRDefault="00000000">
      <w:pPr>
        <w:rPr>
          <w:lang w:val="fr-FR"/>
        </w:rPr>
      </w:pPr>
      <w:r>
        <w:rPr>
          <w:lang w:val="fr-FR"/>
        </w:rPr>
        <w:t>The pylorus, located approximately five fingerbreadths above the umbilicus, serves here as a clinical landmark for locating D1.</w:t>
      </w:r>
    </w:p>
    <w:p w14:paraId="0AC72AF5" w14:textId="77777777" w:rsidR="00966354" w:rsidRDefault="00000000">
      <w:pPr>
        <w:rPr>
          <w:lang w:val="fr-FR"/>
        </w:rPr>
      </w:pPr>
      <w:r>
        <w:rPr>
          <w:lang w:val="fr-FR"/>
        </w:rPr>
        <w:t>D2 is related medially to the head of the pancreas, laterally to the right kidney and ascending colon, and posteriorly to the ureter.</w:t>
      </w:r>
    </w:p>
    <w:p w14:paraId="15C7A4FD" w14:textId="77777777" w:rsidR="00966354" w:rsidRDefault="00000000">
      <w:pPr>
        <w:rPr>
          <w:lang w:val="fr-FR"/>
        </w:rPr>
      </w:pPr>
      <w:r>
        <w:rPr>
          <w:lang w:val="fr-FR"/>
        </w:rPr>
        <w:t>The close anatomical relationship between D2 and the head of the pancreas explains why they are frequently assessed together during clinical examination.</w:t>
      </w:r>
    </w:p>
    <w:p w14:paraId="2711494A" w14:textId="77777777" w:rsidR="00966354" w:rsidRDefault="00000000">
      <w:pPr>
        <w:rPr>
          <w:lang w:val="fr-FR"/>
        </w:rPr>
      </w:pPr>
      <w:r>
        <w:rPr>
          <w:lang w:val="fr-FR"/>
        </w:rPr>
        <w:t>D3 is crossed anteriorly by the root of the mesentery and the superior mesenteric vessels and lies anterior to the aorta and inferior vena cava.</w:t>
      </w:r>
    </w:p>
    <w:p w14:paraId="5D356B61" w14:textId="77777777" w:rsidR="00966354" w:rsidRDefault="00000000">
      <w:pPr>
        <w:rPr>
          <w:lang w:val="fr-FR"/>
        </w:rPr>
      </w:pPr>
      <w:r>
        <w:rPr>
          <w:lang w:val="fr-FR"/>
        </w:rPr>
        <w:t>D4 is related anteriorly to the stomach and posteriorly to the retroperitoneal renal and vascular structures.</w:t>
      </w:r>
    </w:p>
    <w:p w14:paraId="65655DB9" w14:textId="77777777" w:rsidR="00966354" w:rsidRDefault="00000000">
      <w:pPr>
        <w:rPr>
          <w:lang w:val="fr-FR"/>
        </w:rPr>
      </w:pPr>
      <w:r>
        <w:rPr>
          <w:lang w:val="fr-FR"/>
        </w:rPr>
        <w:t>Aortomesenteric compression may affect D4 and, in some cases, the left renal vein, with consequences for duodenal emptying and left-sided venous drainage.</w:t>
      </w:r>
    </w:p>
    <w:p w14:paraId="7CC97B36" w14:textId="77777777" w:rsidR="00966354" w:rsidRDefault="00000000">
      <w:pPr>
        <w:pStyle w:val="Heading2"/>
        <w:spacing w:before="100" w:after="60"/>
        <w:rPr>
          <w:lang w:val="fr-FR"/>
        </w:rPr>
      </w:pPr>
      <w:r>
        <w:rPr>
          <w:lang w:val="fr-FR"/>
        </w:rPr>
        <w:t>4.1. Rogié's quadrilateral</w:t>
      </w:r>
    </w:p>
    <w:p w14:paraId="5888D43B" w14:textId="77777777" w:rsidR="00966354" w:rsidRDefault="00000000">
      <w:pPr>
        <w:rPr>
          <w:lang w:val="fr-FR"/>
        </w:rPr>
      </w:pPr>
      <w:r>
        <w:rPr>
          <w:lang w:val="fr-FR"/>
        </w:rPr>
        <w:t>Rogié's quadrilateral is a clinical topographic construct covering the right side of the first three lumbar vertebrae.</w:t>
      </w:r>
    </w:p>
    <w:p w14:paraId="1442C0F7" w14:textId="77777777" w:rsidR="00966354" w:rsidRDefault="00000000">
      <w:pPr>
        <w:rPr>
          <w:lang w:val="fr-FR"/>
        </w:rPr>
      </w:pPr>
      <w:r>
        <w:rPr>
          <w:lang w:val="fr-FR"/>
        </w:rPr>
        <w:t>It is bounded by two horizontal and two vertical lines, described here as surface landmarks.</w:t>
      </w:r>
    </w:p>
    <w:p w14:paraId="5FF17BED" w14:textId="77777777" w:rsidR="00966354" w:rsidRDefault="00000000">
      <w:pPr>
        <w:rPr>
          <w:lang w:val="fr-FR"/>
        </w:rPr>
      </w:pPr>
      <w:r>
        <w:rPr>
          <w:lang w:val="fr-FR"/>
        </w:rPr>
        <w:t>Within this area, several visceral, vascular, neural, lymphatic, and ligamentous structures are closely related to D2.</w:t>
      </w:r>
    </w:p>
    <w:p w14:paraId="4E2C15C7" w14:textId="77777777" w:rsidR="00966354" w:rsidRDefault="00000000">
      <w:pPr>
        <w:rPr>
          <w:lang w:val="fr-FR"/>
        </w:rPr>
      </w:pPr>
      <w:r>
        <w:rPr>
          <w:lang w:val="fr-FR"/>
        </w:rPr>
        <w:t>Within the ROP framework, this quadrilateral is of practical value because it encompasses several anatomical structures that are closely interconnected with the second portion of the duodenum.</w:t>
      </w:r>
    </w:p>
    <w:p w14:paraId="0C4C559A" w14:textId="77777777" w:rsidR="00966354" w:rsidRDefault="00000000">
      <w:pPr>
        <w:pStyle w:val="Heading1"/>
        <w:spacing w:before="160" w:after="60"/>
        <w:rPr>
          <w:lang w:val="fr-FR"/>
        </w:rPr>
      </w:pPr>
      <w:r>
        <w:rPr>
          <w:lang w:val="fr-FR"/>
        </w:rPr>
        <w:t>5. Vascular supply</w:t>
      </w:r>
    </w:p>
    <w:p w14:paraId="677CB468" w14:textId="77777777" w:rsidR="00966354" w:rsidRPr="00E97507" w:rsidRDefault="00000000">
      <w:pPr>
        <w:pStyle w:val="Heading2"/>
        <w:spacing w:before="100" w:after="60"/>
        <w:rPr>
          <w:lang w:val="fr-FR"/>
        </w:rPr>
      </w:pPr>
      <w:r w:rsidRPr="00E97507">
        <w:rPr>
          <w:lang w:val="fr-FR"/>
        </w:rPr>
        <w:t>5.1. Arterial supply</w:t>
      </w:r>
    </w:p>
    <w:p w14:paraId="3621F437" w14:textId="77777777" w:rsidR="00966354" w:rsidRDefault="00000000">
      <w:pPr>
        <w:rPr>
          <w:lang w:val="fr-FR"/>
        </w:rPr>
      </w:pPr>
      <w:proofErr w:type="gramStart"/>
      <w:r>
        <w:rPr>
          <w:lang w:val="fr-FR"/>
        </w:rPr>
        <w:t>The duodenal arterial supply is provided chiefly by the pancreaticoduodenal arcades, which arise from the celiac and superior mesenteric territories and anastomose with one another.</w:t>
      </w:r>
      <w:proofErr w:type="gramEnd"/>
      <w:r>
        <w:rPr>
          <w:lang w:val="fr-FR"/>
        </w:rPr>
      </w:r>
    </w:p>
    <w:p w14:paraId="4FA2B42D" w14:textId="77777777" w:rsidR="00966354" w:rsidRPr="00E97507" w:rsidRDefault="00000000">
      <w:pPr>
        <w:pStyle w:val="Heading2"/>
        <w:spacing w:before="100" w:after="60"/>
        <w:rPr>
          <w:lang w:val="fr-FR"/>
        </w:rPr>
      </w:pPr>
      <w:r w:rsidRPr="00E97507">
        <w:rPr>
          <w:lang w:val="fr-FR"/>
        </w:rPr>
        <w:t>5.2. Venous drainage</w:t>
      </w:r>
    </w:p>
    <w:p w14:paraId="2FE70627" w14:textId="77777777" w:rsidR="00966354" w:rsidRDefault="00000000">
      <w:pPr>
        <w:rPr>
          <w:lang w:val="fr-FR"/>
        </w:rPr>
      </w:pPr>
      <w:proofErr w:type="gramStart"/>
      <w:r>
        <w:rPr>
          <w:lang w:val="fr-FR"/>
        </w:rPr>
        <w:t>The pancreaticoduodenal veins drain into the superior mesenteric vein, which is continuous with the portal venous system.</w:t>
      </w:r>
      <w:proofErr w:type="gramEnd"/>
      <w:r>
        <w:rPr>
          <w:lang w:val="fr-FR"/>
        </w:rPr>
      </w:r>
    </w:p>
    <w:p w14:paraId="4CE3DDE9" w14:textId="77777777" w:rsidR="00966354" w:rsidRDefault="00000000">
      <w:pPr>
        <w:pStyle w:val="Heading1"/>
        <w:spacing w:before="160" w:after="60"/>
        <w:rPr>
          <w:lang w:val="fr-FR"/>
        </w:rPr>
      </w:pPr>
      <w:r>
        <w:rPr>
          <w:lang w:val="fr-FR"/>
        </w:rPr>
        <w:t>6. Innervation</w:t>
      </w:r>
    </w:p>
    <w:p w14:paraId="5CC50205" w14:textId="77777777" w:rsidR="00966354" w:rsidRDefault="00000000">
      <w:pPr>
        <w:rPr>
          <w:lang w:val="fr-FR"/>
        </w:rPr>
      </w:pPr>
      <w:r>
        <w:rPr>
          <w:lang w:val="fr-FR"/>
        </w:rPr>
        <w:t>The duodenum receives parasympathetic innervation from the vagus nerves (cranial nerve X).</w:t>
      </w:r>
    </w:p>
    <w:p w14:paraId="0CEB5382" w14:textId="77777777" w:rsidR="00966354" w:rsidRDefault="00000000">
      <w:pPr>
        <w:rPr>
          <w:lang w:val="fr-FR"/>
        </w:rPr>
      </w:pPr>
      <w:r>
        <w:rPr>
          <w:lang w:val="fr-FR"/>
        </w:rPr>
        <w:t>Its sympathetic innervation involves the thoracic splanchnic fibers and the prevertebral plexuses, particularly the celiac and superior mesenteric plexuses.</w:t>
      </w:r>
    </w:p>
    <w:p w14:paraId="3AEF65F6" w14:textId="77777777" w:rsidR="00966354" w:rsidRDefault="00000000">
      <w:pPr>
        <w:pStyle w:val="Heading1"/>
        <w:spacing w:before="160" w:after="60"/>
        <w:rPr>
          <w:lang w:val="fr-FR"/>
        </w:rPr>
      </w:pPr>
      <w:r>
        <w:rPr>
          <w:lang w:val="fr-FR"/>
        </w:rPr>
        <w:t>7. Physiology</w:t>
      </w:r>
    </w:p>
    <w:p w14:paraId="0D277001" w14:textId="77777777" w:rsidR="00966354" w:rsidRPr="00E97507" w:rsidRDefault="00000000">
      <w:pPr>
        <w:pStyle w:val="Heading2"/>
        <w:spacing w:before="100" w:after="60"/>
        <w:rPr>
          <w:lang w:val="fr-FR"/>
        </w:rPr>
      </w:pPr>
      <w:r w:rsidRPr="00E97507">
        <w:rPr>
          <w:lang w:val="fr-FR"/>
        </w:rPr>
        <w:t>7.1. Digestive function and neutralization</w:t>
      </w:r>
    </w:p>
    <w:p w14:paraId="3D007D7A" w14:textId="77777777" w:rsidR="00966354" w:rsidRDefault="00000000">
      <w:pPr>
        <w:rPr>
          <w:lang w:val="fr-FR"/>
        </w:rPr>
      </w:pPr>
      <w:proofErr w:type="gramStart"/>
      <w:r>
        <w:rPr>
          <w:lang w:val="fr-FR"/>
        </w:rPr>
        <w:t>The duodenum participates in digestion and the initial absorption of several nutrients.</w:t>
      </w:r>
      <w:proofErr w:type="gramEnd"/>
      <w:r>
        <w:rPr>
          <w:lang w:val="fr-FR"/>
        </w:rPr>
      </w:r>
    </w:p>
    <w:p w14:paraId="56DA841D" w14:textId="77777777" w:rsidR="00966354" w:rsidRDefault="00000000">
      <w:pPr>
        <w:rPr>
          <w:lang w:val="fr-FR"/>
        </w:rPr>
      </w:pPr>
      <w:r>
        <w:rPr>
          <w:lang w:val="fr-FR"/>
        </w:rPr>
        <w:t>It helps neutralize acidic gastric contents as they pass through the pylorus.</w:t>
      </w:r>
    </w:p>
    <w:p w14:paraId="180B41BA" w14:textId="77777777" w:rsidR="00966354" w:rsidRDefault="00000000">
      <w:pPr>
        <w:rPr>
          <w:lang w:val="fr-FR"/>
        </w:rPr>
      </w:pPr>
      <w:r>
        <w:rPr>
          <w:lang w:val="fr-FR"/>
        </w:rPr>
        <w:t>Its pH is generally close to neutral, with variations according to secretory activity and the phase of digestion.</w:t>
      </w:r>
    </w:p>
    <w:p w14:paraId="02E53359" w14:textId="77777777" w:rsidR="00966354" w:rsidRPr="00E97507" w:rsidRDefault="00000000">
      <w:pPr>
        <w:pStyle w:val="Heading2"/>
        <w:spacing w:before="100" w:after="60"/>
        <w:rPr>
          <w:lang w:val="fr-FR"/>
        </w:rPr>
      </w:pPr>
      <w:r w:rsidRPr="00E97507">
        <w:rPr>
          <w:lang w:val="fr-FR"/>
        </w:rPr>
        <w:t>7.2. Motility</w:t>
      </w:r>
    </w:p>
    <w:p w14:paraId="2DEF8858" w14:textId="77777777" w:rsidR="00966354" w:rsidRDefault="00000000">
      <w:pPr>
        <w:rPr>
          <w:lang w:val="fr-FR"/>
        </w:rPr>
      </w:pPr>
      <w:proofErr w:type="gramStart"/>
      <w:r>
        <w:rPr>
          <w:lang w:val="fr-FR"/>
        </w:rPr>
        <w:t>The duodenum exhibits regular motility coordinated with the phases of digestion, allowing chyme to progress toward the jejunum while being mixed.</w:t>
      </w:r>
      <w:proofErr w:type="gramEnd"/>
      <w:r>
        <w:rPr>
          <w:lang w:val="fr-FR"/>
        </w:rPr>
      </w:r>
    </w:p>
    <w:p w14:paraId="594E557C" w14:textId="77777777" w:rsidR="00966354" w:rsidRPr="00E97507" w:rsidRDefault="00000000">
      <w:pPr>
        <w:pStyle w:val="Heading2"/>
        <w:spacing w:before="100" w:after="60"/>
        <w:rPr>
          <w:lang w:val="fr-FR"/>
        </w:rPr>
      </w:pPr>
      <w:r w:rsidRPr="00E97507">
        <w:rPr>
          <w:lang w:val="fr-FR"/>
        </w:rPr>
        <w:t>7.3. Digestive secretions and mucosal protection</w:t>
      </w:r>
    </w:p>
    <w:p w14:paraId="2D326BC3" w14:textId="77777777" w:rsidR="00966354" w:rsidRDefault="00000000">
      <w:pPr>
        <w:rPr>
          <w:lang w:val="fr-FR"/>
        </w:rPr>
      </w:pPr>
      <w:proofErr w:type="gramStart"/>
      <w:r>
        <w:rPr>
          <w:lang w:val="fr-FR"/>
        </w:rPr>
        <w:t>Over a 24-hour period, it receives a substantial volume of digestive contents and gastric, biliary, and pancreatic secretions; reported estimates vary among sources.</w:t>
      </w:r>
      <w:proofErr w:type="gramEnd"/>
      <w:r>
        <w:rPr>
          <w:lang w:val="fr-FR"/>
        </w:rPr>
      </w:r>
    </w:p>
    <w:p w14:paraId="025CD908" w14:textId="77777777" w:rsidR="00966354" w:rsidRDefault="00000000">
      <w:pPr>
        <w:rPr>
          <w:lang w:val="fr-FR"/>
        </w:rPr>
      </w:pPr>
      <w:r>
        <w:rPr>
          <w:lang w:val="fr-FR"/>
        </w:rPr>
        <w:t>This secretory activity allows the chyme to mix with pancreatic enzymes, bile, and protective mucosal secretions.</w:t>
      </w:r>
    </w:p>
    <w:p w14:paraId="3EFEBC6E" w14:textId="77777777" w:rsidR="00966354" w:rsidRDefault="00000000">
      <w:pPr>
        <w:rPr>
          <w:lang w:val="fr-FR"/>
        </w:rPr>
      </w:pPr>
      <w:r>
        <w:rPr>
          <w:lang w:val="fr-FR"/>
        </w:rPr>
        <w:t>Pancreatic amylase contributes to the hydrolysis of starch and glycogen.</w:t>
      </w:r>
    </w:p>
    <w:p w14:paraId="4D8FAE77" w14:textId="77777777" w:rsidR="00966354" w:rsidRDefault="00000000">
      <w:pPr>
        <w:rPr>
          <w:lang w:val="fr-FR"/>
        </w:rPr>
      </w:pPr>
      <w:r>
        <w:rPr>
          <w:lang w:val="fr-FR"/>
        </w:rPr>
        <w:t>Pancreatic proteolytic precursors contribute to protein digestion after activation within the lumen.</w:t>
      </w:r>
    </w:p>
    <w:p w14:paraId="1C24E84B" w14:textId="77777777" w:rsidR="00966354" w:rsidRDefault="00000000">
      <w:pPr>
        <w:rPr>
          <w:lang w:val="fr-FR"/>
        </w:rPr>
      </w:pPr>
      <w:r>
        <w:rPr>
          <w:lang w:val="fr-FR"/>
        </w:rPr>
        <w:t>Pancreatic lipase contributes to fat digestion in synergy with biliary emulsification.</w:t>
      </w:r>
    </w:p>
    <w:p w14:paraId="4EF04FA6" w14:textId="77777777" w:rsidR="00966354" w:rsidRDefault="00000000">
      <w:pPr>
        <w:rPr>
          <w:lang w:val="fr-FR"/>
        </w:rPr>
      </w:pPr>
      <w:r>
        <w:rPr>
          <w:lang w:val="fr-FR"/>
        </w:rPr>
        <w:t>Mucus and the glands of Brunner contribute to protection of the duodenal mucosa.</w:t>
      </w:r>
    </w:p>
    <w:p w14:paraId="742C7B4D" w14:textId="77777777" w:rsidR="00966354" w:rsidRPr="00E97507" w:rsidRDefault="00000000">
      <w:pPr>
        <w:pStyle w:val="Heading2"/>
        <w:spacing w:before="100" w:after="60"/>
        <w:rPr>
          <w:lang w:val="fr-FR"/>
        </w:rPr>
      </w:pPr>
      <w:r w:rsidRPr="00E97507">
        <w:rPr>
          <w:lang w:val="fr-FR"/>
        </w:rPr>
        <w:t>7.4. Hormonal regulation</w:t>
      </w:r>
    </w:p>
    <w:p w14:paraId="69833DAB" w14:textId="77777777" w:rsidR="00966354" w:rsidRDefault="00000000">
      <w:pPr>
        <w:rPr>
          <w:lang w:val="fr-FR"/>
        </w:rPr>
      </w:pPr>
      <w:proofErr w:type="gramStart"/>
      <w:r>
        <w:rPr>
          <w:lang w:val="fr-FR"/>
        </w:rPr>
        <w:t>Secretin contributes to acid-neutralizing regulation and stimulates pancreatic bicarbonate secretion.</w:t>
      </w:r>
      <w:proofErr w:type="gramEnd"/>
      <w:r>
        <w:rPr>
          <w:lang w:val="fr-FR"/>
        </w:rPr>
      </w:r>
    </w:p>
    <w:p w14:paraId="6AE1BD55" w14:textId="77777777" w:rsidR="00966354" w:rsidRDefault="00000000">
      <w:pPr>
        <w:rPr>
          <w:lang w:val="fr-FR"/>
        </w:rPr>
      </w:pPr>
      <w:r>
        <w:rPr>
          <w:lang w:val="fr-FR"/>
        </w:rPr>
        <w:t>Cholecystokinin contributes to gallbladder contraction and regulates digestive secretions in response to chyme.</w:t>
      </w:r>
    </w:p>
    <w:p w14:paraId="71295B83" w14:textId="77777777" w:rsidR="00966354" w:rsidRPr="00E97507" w:rsidRDefault="00000000">
      <w:pPr>
        <w:pStyle w:val="Heading2"/>
        <w:spacing w:before="100" w:after="60"/>
        <w:rPr>
          <w:lang w:val="fr-FR"/>
        </w:rPr>
      </w:pPr>
      <w:r w:rsidRPr="00E97507">
        <w:rPr>
          <w:lang w:val="fr-FR"/>
        </w:rPr>
        <w:t>7.5. Absorption</w:t>
      </w:r>
    </w:p>
    <w:p w14:paraId="5AA8B7AF" w14:textId="77777777" w:rsidR="00966354" w:rsidRDefault="00000000">
      <w:pPr>
        <w:rPr>
          <w:lang w:val="fr-FR"/>
        </w:rPr>
      </w:pPr>
      <w:proofErr w:type="gramStart"/>
      <w:r>
        <w:rPr>
          <w:lang w:val="fr-FR"/>
        </w:rPr>
        <w:t>The duodenum contributes particularly to the absorption of iron, calcium, and certain micronutrients; absorption then continues throughout the remainder of the small intestine.</w:t>
      </w:r>
      <w:proofErr w:type="gramEnd"/>
      <w:r>
        <w:rPr>
          <w:lang w:val="fr-FR"/>
        </w:rPr>
      </w:r>
    </w:p>
    <w:p w14:paraId="159BA199" w14:textId="77777777" w:rsidR="00966354" w:rsidRDefault="00000000">
      <w:pPr>
        <w:pStyle w:val="Heading1"/>
        <w:spacing w:before="160" w:after="60"/>
        <w:rPr>
          <w:lang w:val="fr-FR"/>
        </w:rPr>
      </w:pPr>
      <w:r>
        <w:rPr>
          <w:lang w:val="fr-FR"/>
        </w:rPr>
        <w:t>8. Common disorders</w:t>
      </w:r>
    </w:p>
    <w:p w14:paraId="0E932913" w14:textId="77777777" w:rsidR="00966354" w:rsidRDefault="00000000">
      <w:pPr>
        <w:rPr>
          <w:lang w:val="fr-FR"/>
        </w:rPr>
      </w:pPr>
      <w:r>
        <w:rPr>
          <w:lang w:val="fr-FR"/>
        </w:rPr>
        <w:t>Pain referred from the duodenum is classically felt in the epigastric region and may radiate toward the umbilicus.</w:t>
      </w:r>
    </w:p>
    <w:p w14:paraId="3E9B841C" w14:textId="77777777" w:rsidR="00966354" w:rsidRDefault="00000000">
      <w:pPr>
        <w:rPr>
          <w:lang w:val="fr-FR"/>
        </w:rPr>
      </w:pPr>
      <w:r>
        <w:rPr>
          <w:lang w:val="fr-FR"/>
        </w:rPr>
        <w:t>Some duodenal disorders may be accompanied by back pain and should therefore be considered in the differential diagnosis.</w:t>
      </w:r>
    </w:p>
    <w:p w14:paraId="6F280793" w14:textId="77777777" w:rsidR="00966354" w:rsidRDefault="00000000">
      <w:pPr>
        <w:pStyle w:val="Heading2"/>
        <w:spacing w:before="100" w:after="60"/>
        <w:rPr>
          <w:lang w:val="fr-FR"/>
        </w:rPr>
      </w:pPr>
      <w:r>
        <w:rPr>
          <w:lang w:val="fr-FR"/>
        </w:rPr>
        <w:t>8.1. Diagnosis of exclusion</w:t>
      </w:r>
    </w:p>
    <w:p w14:paraId="6DB797B3" w14:textId="77777777" w:rsidR="00966354" w:rsidRDefault="00000000">
      <w:pPr>
        <w:rPr>
          <w:lang w:val="fr-FR"/>
        </w:rPr>
      </w:pPr>
      <w:r>
        <w:rPr>
          <w:lang w:val="fr-FR"/>
        </w:rPr>
        <w:t>Duodenal ulcers are more common than gastric ulcers.</w:t>
      </w:r>
    </w:p>
    <w:p w14:paraId="37438D43" w14:textId="77777777" w:rsidR="00966354" w:rsidRDefault="00000000">
      <w:pPr>
        <w:rPr>
          <w:lang w:val="fr-FR"/>
        </w:rPr>
      </w:pPr>
      <w:r>
        <w:rPr>
          <w:lang w:val="fr-FR"/>
        </w:rPr>
        <w:t>They result from an imbalance between aggressive acid-peptic factors and mucosal defense mechanisms.</w:t>
      </w:r>
    </w:p>
    <w:p w14:paraId="358F1816" w14:textId="77777777" w:rsidR="00966354" w:rsidRDefault="00000000">
      <w:pPr>
        <w:rPr>
          <w:lang w:val="fr-FR"/>
        </w:rPr>
      </w:pPr>
      <w:r>
        <w:rPr>
          <w:lang w:val="fr-FR"/>
        </w:rPr>
        <w:t>Helicobacter pylori is a major factor associated with this disorder.</w:t>
      </w:r>
    </w:p>
    <w:p w14:paraId="4D9BC82D" w14:textId="77777777" w:rsidR="00966354" w:rsidRDefault="00000000">
      <w:pPr>
        <w:rPr>
          <w:lang w:val="fr-FR"/>
        </w:rPr>
      </w:pPr>
      <w:r>
        <w:rPr>
          <w:lang w:val="fr-FR"/>
        </w:rPr>
        <w:t>Stress may be accompanied by changes in acid secretion and mucosal defense mechanisms.</w:t>
      </w:r>
    </w:p>
    <w:p w14:paraId="6C5B4B6C" w14:textId="77777777" w:rsidR="00966354" w:rsidRDefault="00000000">
      <w:pPr>
        <w:rPr>
          <w:lang w:val="fr-FR"/>
        </w:rPr>
      </w:pPr>
      <w:r>
        <w:rPr>
          <w:lang w:val="fr-FR"/>
        </w:rPr>
        <w:t>Alcohol, tobacco, and certain medications—particularly nonsteroidal anti-inflammatory drugs and aspirin—may increase the risk of mucosal injury.</w:t>
      </w:r>
    </w:p>
    <w:p w14:paraId="05696FB7" w14:textId="77777777" w:rsidR="00966354" w:rsidRDefault="00000000">
      <w:pPr>
        <w:rPr>
          <w:lang w:val="fr-FR"/>
        </w:rPr>
      </w:pPr>
      <w:r>
        <w:rPr>
          <w:lang w:val="fr-FR"/>
        </w:rPr>
        <w:t>Exposure to certain dietary or environmental toxins may be considered, but should be interpreted with caution.</w:t>
      </w:r>
    </w:p>
    <w:p w14:paraId="38EF6E29" w14:textId="77777777" w:rsidR="00966354" w:rsidRDefault="00000000">
      <w:pPr>
        <w:rPr>
          <w:lang w:val="fr-FR"/>
        </w:rPr>
      </w:pPr>
      <w:r>
        <w:rPr>
          <w:lang w:val="fr-FR"/>
        </w:rPr>
        <w:t>Symptoms include epigastric pain or burning, which may be delayed after meals in duodenal ulcer disease, with possible nausea or vomiting.</w:t>
      </w:r>
    </w:p>
    <w:p w14:paraId="5461FAF4" w14:textId="77777777" w:rsidR="00966354" w:rsidRDefault="00000000">
      <w:pPr>
        <w:rPr>
          <w:lang w:val="fr-FR"/>
        </w:rPr>
      </w:pPr>
      <w:r>
        <w:rPr>
          <w:lang w:val="fr-FR"/>
        </w:rPr>
        <w:t>A substantial proportion of ulcers may remain minimally symptomatic or asymptomatic.</w:t>
      </w:r>
    </w:p>
    <w:p w14:paraId="4DE5373C" w14:textId="77777777" w:rsidR="00966354" w:rsidRDefault="00000000">
      <w:pPr>
        <w:pStyle w:val="Heading2"/>
        <w:spacing w:before="100" w:after="60"/>
        <w:rPr>
          <w:lang w:val="fr-FR"/>
        </w:rPr>
      </w:pPr>
      <w:r>
        <w:rPr>
          <w:lang w:val="fr-FR"/>
        </w:rPr>
        <w:t>8.2. Complications</w:t>
      </w:r>
    </w:p>
    <w:p w14:paraId="6D84D568" w14:textId="77777777" w:rsidR="00966354" w:rsidRDefault="00000000">
      <w:pPr>
        <w:rPr>
          <w:lang w:val="fr-FR"/>
        </w:rPr>
      </w:pPr>
      <w:r>
        <w:rPr>
          <w:lang w:val="fr-FR"/>
        </w:rPr>
        <w:t>Complications include gastrointestinal bleeding and perforation.</w:t>
      </w:r>
    </w:p>
    <w:p w14:paraId="1BFBE41B" w14:textId="77777777" w:rsidR="00966354" w:rsidRDefault="00000000">
      <w:pPr>
        <w:rPr>
          <w:lang w:val="fr-FR"/>
        </w:rPr>
      </w:pPr>
      <w:r>
        <w:rPr>
          <w:lang w:val="fr-FR"/>
        </w:rPr>
        <w:t>Acute back pain may prompt consideration of associated pancreatic involvement or an alternative diagnosis.</w:t>
      </w:r>
    </w:p>
    <w:p w14:paraId="296A93E3" w14:textId="77777777" w:rsidR="00966354" w:rsidRDefault="00000000">
      <w:pPr>
        <w:rPr>
          <w:lang w:val="fr-FR"/>
        </w:rPr>
      </w:pPr>
      <w:r>
        <w:rPr>
          <w:lang w:val="fr-FR"/>
        </w:rPr>
        <w:t>Vomiting on an empty stomach in the morning may occur in certain obstructive or irritative conditions, but is nonspecific.</w:t>
      </w:r>
    </w:p>
    <w:p w14:paraId="78B82827" w14:textId="77777777" w:rsidR="00966354" w:rsidRDefault="00000000">
      <w:pPr>
        <w:rPr>
          <w:lang w:val="fr-FR"/>
        </w:rPr>
      </w:pPr>
      <w:r>
        <w:rPr>
          <w:lang w:val="fr-FR"/>
        </w:rPr>
        <w:t>Helicobacter pylori infection is associated with an increased risk of long-term complications and warrants appropriate medical assessment.</w:t>
      </w:r>
    </w:p>
    <w:p w14:paraId="4BE96551" w14:textId="77777777" w:rsidR="00966354" w:rsidRDefault="00000000">
      <w:pPr>
        <w:pStyle w:val="Heading1"/>
        <w:spacing w:before="160" w:after="60"/>
        <w:rPr>
          <w:lang w:val="fr-FR"/>
        </w:rPr>
      </w:pPr>
      <w:r>
        <w:rPr>
          <w:lang w:val="fr-FR"/>
        </w:rPr>
        <w:t>9. Indications: functional disorders</w:t>
      </w:r>
    </w:p>
    <w:p w14:paraId="53E0A5B9" w14:textId="77777777" w:rsidR="00966354" w:rsidRDefault="00000000">
      <w:pPr>
        <w:rPr>
          <w:lang w:val="fr-FR"/>
        </w:rPr>
      </w:pPr>
      <w:r>
        <w:rPr>
          <w:lang w:val="fr-FR"/>
        </w:rPr>
        <w:t>In clinical practice, duodenal paresis or stasis may be considered in the presence of duodenal hypomotility, sometimes associated with gastroparesis.</w:t>
      </w:r>
    </w:p>
    <w:p w14:paraId="6C42871E" w14:textId="77777777" w:rsidR="00966354" w:rsidRDefault="00000000">
      <w:pPr>
        <w:rPr>
          <w:lang w:val="fr-FR"/>
        </w:rPr>
      </w:pPr>
      <w:r>
        <w:rPr>
          <w:lang w:val="fr-FR"/>
        </w:rPr>
        <w:t>From this perspective, functional biliary or pancreatic disorders may also be present.</w:t>
      </w:r>
    </w:p>
    <w:p w14:paraId="4F466CBA" w14:textId="77777777" w:rsidR="00966354" w:rsidRDefault="00000000">
      <w:pPr>
        <w:rPr>
          <w:lang w:val="fr-FR"/>
        </w:rPr>
      </w:pPr>
      <w:r>
        <w:rPr>
          <w:lang w:val="fr-FR"/>
        </w:rPr>
        <w:t>Loss of longitudinal tension in the root of the mesentery is described here as potentially being accompanied by reduced mechanical efficiency of the muscular component of the ligament of Treitz.</w:t>
      </w:r>
    </w:p>
    <w:p w14:paraId="5BC60BE3" w14:textId="77777777" w:rsidR="00966354" w:rsidRDefault="00000000">
      <w:pPr>
        <w:rPr>
          <w:lang w:val="fr-FR"/>
        </w:rPr>
      </w:pPr>
      <w:r>
        <w:rPr>
          <w:lang w:val="fr-FR"/>
        </w:rPr>
        <w:t>Superior mesenteric artery syndrome corresponds to compression of D4 between the aorta and the superior mesenteric artery, with possible involvement of the left renal vein.</w:t>
      </w:r>
    </w:p>
    <w:p w14:paraId="57C2E804" w14:textId="77777777" w:rsidR="00966354" w:rsidRDefault="00000000">
      <w:pPr>
        <w:rPr>
          <w:lang w:val="fr-FR"/>
        </w:rPr>
      </w:pPr>
      <w:r>
        <w:rPr>
          <w:lang w:val="fr-FR"/>
        </w:rPr>
        <w:t>This compression may slow the passage of duodenal contents into the jejunum.</w:t>
      </w:r>
    </w:p>
    <w:p w14:paraId="6B4BD883" w14:textId="77777777" w:rsidR="00966354" w:rsidRDefault="00000000">
      <w:pPr>
        <w:pStyle w:val="Heading1"/>
        <w:spacing w:before="160" w:after="60"/>
        <w:rPr>
          <w:lang w:val="fr-FR"/>
        </w:rPr>
      </w:pPr>
      <w:r>
        <w:rPr>
          <w:lang w:val="fr-FR"/>
        </w:rPr>
        <w:t>10. Viscerosomatic relationships</w:t>
      </w:r>
    </w:p>
    <w:p w14:paraId="57BE0B7B" w14:textId="77777777" w:rsidR="00966354" w:rsidRDefault="00000000">
      <w:pPr>
        <w:rPr>
          <w:lang w:val="fr-FR"/>
        </w:rPr>
      </w:pPr>
      <w:r>
        <w:rPr>
          <w:lang w:val="fr-FR"/>
        </w:rPr>
        <w:t>T7–T9 and L1–L2, the lowest ribs, the crura of the diaphragm, and the psoas are retained as elements of clinical assessment.</w:t>
      </w:r>
    </w:p>
    <w:p w14:paraId="30CB4B1F" w14:textId="77777777" w:rsidR="00966354" w:rsidRDefault="00000000">
      <w:pPr>
        <w:pStyle w:val="Heading1"/>
        <w:spacing w:before="160" w:after="60"/>
        <w:rPr>
          <w:lang w:val="fr-FR"/>
        </w:rPr>
      </w:pPr>
      <w:r>
        <w:rPr>
          <w:lang w:val="fr-FR"/>
        </w:rPr>
        <w:t>11. Visceral–emotional relationships</w:t>
      </w:r>
    </w:p>
    <w:p w14:paraId="020DAB26" w14:textId="77777777" w:rsidR="00966354" w:rsidRDefault="00000000">
      <w:pPr>
        <w:rPr>
          <w:lang w:val="fr-FR"/>
        </w:rPr>
      </w:pPr>
      <w:r>
        <w:rPr>
          <w:lang w:val="fr-FR"/>
        </w:rPr>
        <w:t>Within the ROP framework, the duodenum is described as being particularly responsive to emotions involving interpersonal relationships.</w:t>
      </w:r>
    </w:p>
    <w:p w14:paraId="616B7DD6" w14:textId="77777777" w:rsidR="00966354" w:rsidRDefault="00000000">
      <w:pPr>
        <w:rPr>
          <w:lang w:val="fr-FR"/>
        </w:rPr>
      </w:pPr>
      <w:r>
        <w:rPr>
          <w:lang w:val="fr-FR"/>
        </w:rPr>
        <w:t>Limbic brain–duodenum balance: this relationship belongs to the ROP clinical framework and its listening–induction techniques.</w:t>
      </w:r>
    </w:p>
    <w:p w14:paraId="73C75AF3" w14:textId="77777777" w:rsidR="00966354" w:rsidRDefault="00000000">
      <w:pPr>
        <w:pStyle w:val="Heading1"/>
        <w:spacing w:before="160" w:after="60"/>
        <w:rPr>
          <w:lang w:val="fr-FR"/>
        </w:rPr>
      </w:pPr>
      <w:r>
        <w:rPr>
          <w:lang w:val="fr-FR"/>
        </w:rPr>
        <w:t>12. Advice</w:t>
      </w:r>
    </w:p>
    <w:p w14:paraId="41F915D0" w14:textId="77777777" w:rsidR="00966354" w:rsidRDefault="00000000">
      <w:pPr>
        <w:rPr>
          <w:lang w:val="fr-FR"/>
        </w:rPr>
      </w:pPr>
      <w:r>
        <w:rPr>
          <w:lang w:val="fr-FR"/>
        </w:rPr>
        <w:t>The advice is the same as that provided for the stomach.</w:t>
      </w:r>
    </w:p>
    <w:p w14:paraId="0BC69805" w14:textId="77777777" w:rsidR="00966354" w:rsidRDefault="00000000">
      <w:pPr>
        <w:rPr>
          <w:lang w:val="fr-FR"/>
        </w:rPr>
      </w:pPr>
      <w:r>
        <w:rPr>
          <w:lang w:val="fr-FR"/>
        </w:rPr>
        <w:t>Within the ROP framework, treatment aims to support duodenal motility, promote biliary and pancreatic dynamics at the papillae, and reduce certain clinically perceived tensions around the sphincter of Oddi.</w:t>
      </w:r>
    </w:p>
    <w:p w14:paraId="5CC2A7EB" w14:textId="77777777" w:rsidR="00966354" w:rsidRDefault="00000000">
      <w:pPr>
        <w:rPr>
          <w:lang w:val="fr-FR"/>
        </w:rPr>
      </w:pPr>
      <w:r>
        <w:rPr>
          <w:lang w:val="fr-FR"/>
        </w:rPr>
        <w:t>Treatment of the duodenum is then combined with treatment of the viscera related to each segment: D1 with the stomach; D2 with the pancreas, liver, and gallbladder; and D3 and D4 with the small intestine and root of the mesentery.</w:t>
      </w:r>
    </w:p>
    <w:p w14:paraId="32B0D3BD" w14:textId="77777777" w:rsidR="00966354" w:rsidRPr="00E97507" w:rsidRDefault="00000000">
      <w:pPr>
        <w:pStyle w:val="Heading1"/>
        <w:rPr>
          <w:lang w:val="fr-FR"/>
        </w:rPr>
      </w:pPr>
      <w:r w:rsidRPr="00E97507">
        <w:rPr>
          <w:lang w:val="fr-FR"/>
        </w:rPr>
        <w:t>13. ROP reflex zones</w:t>
      </w:r>
      <w:r w:rsidR="00E97507" w:rsidRPr="00E97507">
        <w:rPr>
          <w:lang w:val="fr-FR"/>
        </w:rPr>
      </w:r>
    </w:p>
    <w:p w14:paraId="44B7CCAE" w14:textId="77777777" w:rsidR="00966354" w:rsidRPr="00E97507" w:rsidRDefault="00000000">
      <w:pPr>
        <w:pStyle w:val="Heading2"/>
        <w:rPr>
          <w:lang w:val="fr-FR"/>
        </w:rPr>
      </w:pPr>
      <w:r w:rsidRPr="00E97507">
        <w:rPr>
          <w:lang w:val="fr-FR"/>
        </w:rPr>
        <w:t>13.1. Duodenum-specific landmarks</w:t>
      </w:r>
    </w:p>
    <w:p w14:paraId="1AC77853" w14:textId="77777777" w:rsidR="00966354" w:rsidRPr="00E97507" w:rsidRDefault="00000000">
      <w:pPr>
        <w:spacing w:after="60"/>
        <w:rPr>
          <w:lang w:val="fr-FR"/>
        </w:rPr>
      </w:pPr>
      <w:r w:rsidRPr="00E97507">
        <w:rPr>
          <w:b/>
          <w:lang w:val="fr-FR"/>
        </w:rPr>
        <w:t>Right foot. D1 is projected horizontally around the L1 landmark; D2 vertically from L1 to L4; the sphincter of Oddi is located at the junction of the middle and lower thirds of D2, around L2; and D3 is projected horizontally near the navicular tuberosity.</w:t>
      </w:r>
      <w:r w:rsidRPr="00E97507">
        <w:rPr>
          <w:lang w:val="fr-FR"/>
        </w:rPr>
      </w:r>
    </w:p>
    <w:p w14:paraId="715FDAA5" w14:textId="77777777" w:rsidR="00966354" w:rsidRPr="00E97507" w:rsidRDefault="00000000">
      <w:pPr>
        <w:spacing w:after="60"/>
        <w:rPr>
          <w:lang w:val="fr-FR"/>
        </w:rPr>
      </w:pPr>
      <w:r w:rsidRPr="00E97507">
        <w:rPr>
          <w:b/>
          <w:lang w:val="fr-FR"/>
        </w:rPr>
        <w:t>Left foot. D4 is projected along an oblique craniolateral line; the duodenojejunal junction is described as symmetrical to the sphincter of Oddi, around L2.</w:t>
      </w:r>
      <w:r w:rsidRPr="00E97507">
        <w:rPr>
          <w:lang w:val="fr-FR"/>
        </w:rPr>
      </w:r>
      <w:proofErr w:type="spellStart"/>
      <w:r w:rsidRPr="00E97507">
        <w:rPr>
          <w:lang w:val="fr-FR"/>
        </w:rPr>
      </w:r>
      <w:proofErr w:type="spellEnd"/>
      <w:r w:rsidRPr="00E97507">
        <w:rPr>
          <w:lang w:val="fr-FR"/>
        </w:rPr>
      </w:r>
    </w:p>
    <w:p w14:paraId="0553EBA0" w14:textId="77777777" w:rsidR="00DA1955" w:rsidRDefault="00000000">
      <w:pPr>
        <w:spacing w:after="60"/>
        <w:rPr>
          <w:lang w:val="fr-FR"/>
        </w:rPr>
      </w:pPr>
      <w:r w:rsidRPr="00B34A05">
        <w:rPr>
          <w:b/>
          <w:lang w:val="fr-FR"/>
        </w:rPr>
        <w:t>Root of the mesentery: an oblique line extending from the ileocecal valve to the duodenojejunal junction.</w:t>
      </w:r>
      <w:r w:rsidRPr="00B34A05">
        <w:rPr>
          <w:lang w:val="fr-FR"/>
        </w:rPr>
      </w:r>
      <w:proofErr w:type="spellStart"/>
      <w:r w:rsidRPr="00B34A05">
        <w:rPr>
          <w:lang w:val="fr-FR"/>
        </w:rPr>
      </w:r>
      <w:proofErr w:type="spellEnd"/>
      <w:r w:rsidRPr="00B34A05">
        <w:rPr>
          <w:lang w:val="fr-FR"/>
        </w:rPr>
      </w:r>
    </w:p>
    <w:p w14:paraId="7F82FA04" w14:textId="77777777" w:rsidR="00966354" w:rsidRPr="00E97507" w:rsidRDefault="00000000">
      <w:pPr>
        <w:spacing w:after="60"/>
        <w:rPr>
          <w:lang w:val="fr-FR"/>
        </w:rPr>
      </w:pPr>
      <w:r w:rsidRPr="00E97507">
        <w:rPr>
          <w:b/>
          <w:lang w:val="fr-FR"/>
        </w:rPr>
        <w:t>On both feet. The pylorus is located along the medial border of the plantar skin, usually more prominent on the right.</w:t>
      </w:r>
      <w:r w:rsidRPr="00E97507">
        <w:rPr>
          <w:lang w:val="fr-FR"/>
        </w:rPr>
      </w:r>
    </w:p>
    <w:p w14:paraId="5EBE61B0" w14:textId="77777777" w:rsidR="00966354" w:rsidRPr="00E97507" w:rsidRDefault="00000000">
      <w:pPr>
        <w:rPr>
          <w:lang w:val="fr-FR"/>
        </w:rPr>
      </w:pPr>
      <w:r w:rsidRPr="00E97507">
        <w:rPr>
          <w:lang w:val="fr-FR"/>
        </w:rPr>
        <w:t>Rogié's quadrilateral may be used as a regional landmark associated with D2 when supported by testing. It does not constitute a new organ zone, but rather a clinical crossroads of structures closely interconnected with the second portion of the duodenum.</w:t>
      </w:r>
      <w:proofErr w:type="spellStart"/>
      <w:r w:rsidRPr="00E97507">
        <w:rPr>
          <w:lang w:val="fr-FR"/>
        </w:rPr>
      </w:r>
      <w:proofErr w:type="spellEnd"/>
      <w:r w:rsidRPr="00E97507">
        <w:rPr>
          <w:lang w:val="fr-FR"/>
        </w:rPr>
      </w:r>
    </w:p>
    <w:p w14:paraId="1E9AD811" w14:textId="77777777" w:rsidR="00966354" w:rsidRPr="00E97507" w:rsidRDefault="00000000">
      <w:pPr>
        <w:pStyle w:val="Heading2"/>
        <w:rPr>
          <w:lang w:val="fr-FR"/>
        </w:rPr>
      </w:pPr>
      <w:r w:rsidRPr="00E97507">
        <w:rPr>
          <w:lang w:val="fr-FR"/>
        </w:rPr>
        <w:t>13.2. Level 1 — Regulation of higher centers</w:t>
      </w:r>
    </w:p>
    <w:p w14:paraId="3523872F" w14:textId="77777777" w:rsidR="00966354" w:rsidRPr="00E97507" w:rsidRDefault="00000000">
      <w:pPr>
        <w:pStyle w:val="ListParagraph"/>
        <w:spacing w:after="32"/>
        <w:ind w:left="255" w:hanging="142"/>
        <w:rPr>
          <w:lang w:val="fr-FR"/>
        </w:rPr>
      </w:pPr>
      <w:r w:rsidRPr="00E97507">
        <w:rPr>
          <w:lang w:val="fr-FR"/>
        </w:rPr>
        <w:t>• Occipital reflex zones.</w:t>
      </w:r>
    </w:p>
    <w:p w14:paraId="2F05EBB8" w14:textId="77777777" w:rsidR="00966354" w:rsidRPr="00E97507" w:rsidRDefault="00000000">
      <w:pPr>
        <w:pStyle w:val="ListParagraph"/>
        <w:spacing w:after="32"/>
        <w:ind w:left="255" w:hanging="142"/>
        <w:rPr>
          <w:lang w:val="fr-FR"/>
        </w:rPr>
      </w:pPr>
      <w:r w:rsidRPr="00E97507">
        <w:rPr>
          <w:lang w:val="fr-FR"/>
        </w:rPr>
        <w:t>• Brainstem and integration centers.</w:t>
      </w:r>
    </w:p>
    <w:p w14:paraId="1130BCED" w14:textId="77777777" w:rsidR="00966354" w:rsidRPr="00E97507" w:rsidRDefault="00000000">
      <w:pPr>
        <w:pStyle w:val="ListParagraph"/>
        <w:spacing w:after="32"/>
        <w:ind w:left="255" w:hanging="142"/>
        <w:rPr>
          <w:lang w:val="fr-FR"/>
        </w:rPr>
      </w:pPr>
      <w:r w:rsidRPr="00E97507">
        <w:rPr>
          <w:lang w:val="fr-FR"/>
        </w:rPr>
        <w:t>• Hypothalamus.</w:t>
      </w:r>
    </w:p>
    <w:p w14:paraId="15CC83BA" w14:textId="77777777" w:rsidR="00966354" w:rsidRPr="00E97507" w:rsidRDefault="00000000">
      <w:pPr>
        <w:pStyle w:val="ListParagraph"/>
        <w:spacing w:after="32"/>
        <w:ind w:left="255" w:hanging="142"/>
        <w:rPr>
          <w:lang w:val="fr-FR"/>
        </w:rPr>
      </w:pPr>
      <w:r w:rsidRPr="00E97507">
        <w:rPr>
          <w:lang w:val="fr-FR"/>
        </w:rPr>
        <w:t>• Hypothalamic–pituitary axis.</w:t>
      </w:r>
    </w:p>
    <w:p w14:paraId="501312C9" w14:textId="77777777" w:rsidR="00B34A05" w:rsidRDefault="00B34A05">
      <w:pPr>
        <w:rPr>
          <w:i/>
          <w:color w:val="5E666A"/>
          <w:lang w:val="fr-FR"/>
        </w:rPr>
      </w:pPr>
    </w:p>
    <w:p w14:paraId="61E62FD0" w14:textId="2BED77A0" w:rsidR="00966354" w:rsidRPr="00E97507" w:rsidRDefault="00000000">
      <w:pPr>
        <w:rPr>
          <w:lang w:val="fr-FR"/>
        </w:rPr>
      </w:pPr>
      <w:r w:rsidRPr="00E97507">
        <w:rPr>
          <w:i/>
          <w:color w:val="5E666A"/>
          <w:lang w:val="fr-FR"/>
        </w:rPr>
        <w:t>See Chapter 3 — Central Nervous System.</w:t>
      </w:r>
    </w:p>
    <w:p w14:paraId="66B845E0" w14:textId="77777777" w:rsidR="00966354" w:rsidRPr="00E97507" w:rsidRDefault="00000000">
      <w:pPr>
        <w:pStyle w:val="Heading2"/>
        <w:rPr>
          <w:lang w:val="fr-FR"/>
        </w:rPr>
      </w:pPr>
      <w:r w:rsidRPr="00E97507">
        <w:rPr>
          <w:lang w:val="fr-FR"/>
        </w:rPr>
        <w:t>13.3. Level 2 — Autonomic regulation and adaptation</w:t>
      </w:r>
    </w:p>
    <w:p w14:paraId="465D8D73" w14:textId="4D3F87E7" w:rsidR="00966354" w:rsidRPr="00E97507" w:rsidRDefault="00000000">
      <w:pPr>
        <w:rPr>
          <w:lang w:val="fr-FR"/>
        </w:rPr>
      </w:pPr>
      <w:r w:rsidRPr="00E97507">
        <w:rPr>
          <w:lang w:val="fr-FR"/>
        </w:rPr>
        <w:t>Level 2 combines the parasympathetic vagal pathways, sympathetic splanchnic pathways, and prevertebral plexuses involved in digestive motility and secretion.</w:t>
      </w:r>
    </w:p>
    <w:p w14:paraId="0E083DE9" w14:textId="77777777" w:rsidR="00966354" w:rsidRPr="00E97507" w:rsidRDefault="00000000">
      <w:pPr>
        <w:pStyle w:val="ListParagraph"/>
        <w:spacing w:after="32"/>
        <w:ind w:left="255" w:hanging="142"/>
        <w:rPr>
          <w:lang w:val="fr-FR"/>
        </w:rPr>
      </w:pPr>
      <w:r w:rsidRPr="00E97507">
        <w:rPr>
          <w:lang w:val="fr-FR"/>
        </w:rPr>
        <w:t>• Vagus nerve (X).</w:t>
      </w:r>
    </w:p>
    <w:p w14:paraId="6D3BD1E8" w14:textId="77777777" w:rsidR="00966354" w:rsidRPr="00E97507" w:rsidRDefault="00000000">
      <w:pPr>
        <w:pStyle w:val="ListParagraph"/>
        <w:spacing w:after="32"/>
        <w:ind w:left="255" w:hanging="142"/>
        <w:rPr>
          <w:lang w:val="fr-FR"/>
        </w:rPr>
      </w:pPr>
      <w:r w:rsidRPr="00E97507">
        <w:rPr>
          <w:lang w:val="fr-FR"/>
        </w:rPr>
        <w:t>• Thoracic sympathetic system.</w:t>
      </w:r>
    </w:p>
    <w:p w14:paraId="2AF0AF50" w14:textId="77777777" w:rsidR="00966354" w:rsidRPr="00E97507" w:rsidRDefault="00000000">
      <w:pPr>
        <w:pStyle w:val="ListParagraph"/>
        <w:spacing w:after="32"/>
        <w:ind w:left="255" w:hanging="142"/>
        <w:rPr>
          <w:lang w:val="fr-FR"/>
        </w:rPr>
      </w:pPr>
      <w:r w:rsidRPr="00E97507">
        <w:rPr>
          <w:lang w:val="fr-FR"/>
        </w:rPr>
        <w:t>• Splanchnic nerves.</w:t>
      </w:r>
    </w:p>
    <w:p w14:paraId="6E82579E" w14:textId="77777777" w:rsidR="00966354" w:rsidRPr="00E97507" w:rsidRDefault="00000000">
      <w:pPr>
        <w:pStyle w:val="ListParagraph"/>
        <w:spacing w:after="32"/>
        <w:ind w:left="255" w:hanging="142"/>
        <w:rPr>
          <w:lang w:val="fr-FR"/>
        </w:rPr>
      </w:pPr>
      <w:r w:rsidRPr="00E97507">
        <w:rPr>
          <w:lang w:val="fr-FR"/>
        </w:rPr>
        <w:t>• Celiac plexus.</w:t>
      </w:r>
    </w:p>
    <w:p w14:paraId="19683426" w14:textId="77777777" w:rsidR="00966354" w:rsidRPr="00E97507" w:rsidRDefault="00000000">
      <w:pPr>
        <w:pStyle w:val="ListParagraph"/>
        <w:spacing w:after="32"/>
        <w:ind w:left="255" w:hanging="142"/>
        <w:rPr>
          <w:lang w:val="fr-FR"/>
        </w:rPr>
      </w:pPr>
      <w:r w:rsidRPr="00E97507">
        <w:rPr>
          <w:lang w:val="fr-FR"/>
        </w:rPr>
        <w:t>• Superior mesenteric plexus.</w:t>
      </w:r>
    </w:p>
    <w:p w14:paraId="4DA55113" w14:textId="77777777" w:rsidR="00966354" w:rsidRPr="00E97507" w:rsidRDefault="00000000">
      <w:pPr>
        <w:pStyle w:val="ListParagraph"/>
        <w:spacing w:after="32"/>
        <w:ind w:left="255" w:hanging="142"/>
        <w:rPr>
          <w:lang w:val="fr-FR"/>
        </w:rPr>
      </w:pPr>
      <w:r w:rsidRPr="00E97507">
        <w:rPr>
          <w:lang w:val="fr-FR"/>
        </w:rPr>
        <w:t>• Autonomic coordination of duodenal motility and digestive secretions.</w:t>
      </w:r>
    </w:p>
    <w:p w14:paraId="4BC0F39E" w14:textId="77777777" w:rsidR="00B34A05" w:rsidRDefault="00B34A05">
      <w:pPr>
        <w:rPr>
          <w:i/>
          <w:color w:val="5E666A"/>
          <w:lang w:val="fr-FR"/>
        </w:rPr>
      </w:pPr>
    </w:p>
    <w:p w14:paraId="5A241360" w14:textId="194D7652" w:rsidR="00966354" w:rsidRPr="00E97507" w:rsidRDefault="00000000">
      <w:pPr>
        <w:rPr>
          <w:lang w:val="fr-FR"/>
        </w:rPr>
      </w:pPr>
      <w:r w:rsidRPr="00E97507">
        <w:rPr>
          <w:i/>
          <w:color w:val="5E666A"/>
          <w:lang w:val="fr-FR"/>
        </w:rPr>
        <w:t>See Chapter 4 — Autonomic Nervous System.</w:t>
      </w:r>
    </w:p>
    <w:p w14:paraId="19007F19" w14:textId="77777777" w:rsidR="00966354" w:rsidRPr="00E97507" w:rsidRDefault="00000000">
      <w:pPr>
        <w:pStyle w:val="Heading2"/>
        <w:rPr>
          <w:lang w:val="fr-FR"/>
        </w:rPr>
      </w:pPr>
      <w:r w:rsidRPr="00E97507">
        <w:rPr>
          <w:lang w:val="fr-FR"/>
        </w:rPr>
        <w:t>13.4. Level 3 — Local and regional visceral regulation</w:t>
      </w:r>
    </w:p>
    <w:p w14:paraId="431898DB" w14:textId="77777777" w:rsidR="00966354" w:rsidRPr="00E97507" w:rsidRDefault="00000000">
      <w:pPr>
        <w:rPr>
          <w:lang w:val="fr-FR"/>
        </w:rPr>
      </w:pPr>
      <w:r w:rsidRPr="00E97507">
        <w:rPr>
          <w:lang w:val="fr-FR"/>
        </w:rPr>
        <w:t>Level 3 constitutes the anatomical core of the protocol. Regional selection varies according to the duodenal segment involved.</w:t>
      </w:r>
    </w:p>
    <w:p w14:paraId="21ACDAEF" w14:textId="77777777" w:rsidR="00966354" w:rsidRPr="00E97507" w:rsidRDefault="00000000">
      <w:pPr>
        <w:spacing w:after="60"/>
        <w:rPr>
          <w:lang w:val="fr-FR"/>
        </w:rPr>
      </w:pPr>
      <w:r w:rsidRPr="00E97507">
        <w:rPr>
          <w:b/>
          <w:lang w:val="fr-FR"/>
        </w:rPr>
        <w:t>D1 — gastroduodenohepatic interface. Depending on test findings: pylorus, D1, stomach, liver, gallbladder, and hepatoduodenal ligament.</w:t>
      </w:r>
      <w:r w:rsidRPr="00E97507">
        <w:rPr>
          <w:lang w:val="fr-FR"/>
        </w:rPr>
      </w:r>
    </w:p>
    <w:p w14:paraId="7F57C056" w14:textId="77777777" w:rsidR="00966354" w:rsidRPr="00E97507" w:rsidRDefault="00000000">
      <w:pPr>
        <w:spacing w:after="60"/>
        <w:rPr>
          <w:lang w:val="fr-FR"/>
        </w:rPr>
      </w:pPr>
      <w:r w:rsidRPr="00E97507">
        <w:rPr>
          <w:b/>
          <w:lang w:val="fr-FR"/>
        </w:rPr>
        <w:t>D2 — pancreaticobiliary crossroads. D2, head of the pancreas, major papilla, sphincter of Oddi, minor papilla, biliary tract, and Rogié's quadrilateral. The right kidney and ascending colon are added only when supported by testing.</w:t>
      </w:r>
      <w:r w:rsidRPr="00E97507">
        <w:rPr>
          <w:lang w:val="fr-FR"/>
        </w:rPr>
      </w:r>
      <w:proofErr w:type="spellStart"/>
      <w:r w:rsidRPr="00E97507">
        <w:rPr>
          <w:lang w:val="fr-FR"/>
        </w:rPr>
      </w:r>
      <w:proofErr w:type="spellEnd"/>
      <w:r w:rsidRPr="00E97507">
        <w:rPr>
          <w:lang w:val="fr-FR"/>
        </w:rPr>
      </w:r>
    </w:p>
    <w:p w14:paraId="647AA850" w14:textId="77777777" w:rsidR="00966354" w:rsidRPr="00E97507" w:rsidRDefault="00000000">
      <w:pPr>
        <w:spacing w:after="60"/>
        <w:rPr>
          <w:lang w:val="fr-FR"/>
        </w:rPr>
      </w:pPr>
      <w:r w:rsidRPr="00E97507">
        <w:rPr>
          <w:b/>
          <w:lang w:val="fr-FR"/>
        </w:rPr>
        <w:t>D3–D4 — mesenteric interface. D3, D4, root of the mesentery, superior mesenteric vessels, duodenojejunal junction, ligament of Treitz, and proximal jejunum.</w:t>
      </w:r>
      <w:r w:rsidRPr="00E97507">
        <w:rPr>
          <w:lang w:val="fr-FR"/>
        </w:rPr>
      </w:r>
      <w:proofErr w:type="spellStart"/>
      <w:r w:rsidRPr="00E97507">
        <w:rPr>
          <w:lang w:val="fr-FR"/>
        </w:rPr>
      </w:r>
      <w:proofErr w:type="spellEnd"/>
      <w:r w:rsidRPr="00E97507">
        <w:rPr>
          <w:lang w:val="fr-FR"/>
        </w:rPr>
      </w:r>
    </w:p>
    <w:p w14:paraId="1D4257BB" w14:textId="77777777" w:rsidR="00B34A05" w:rsidRDefault="00B34A05">
      <w:pPr>
        <w:rPr>
          <w:i/>
          <w:color w:val="5E666A"/>
          <w:lang w:val="fr-FR"/>
        </w:rPr>
      </w:pPr>
    </w:p>
    <w:p w14:paraId="5097F5AE" w14:textId="444EC758" w:rsidR="00966354" w:rsidRPr="00E97507" w:rsidRDefault="00000000">
      <w:pPr>
        <w:rPr>
          <w:lang w:val="fr-FR"/>
        </w:rPr>
      </w:pPr>
      <w:r w:rsidRPr="00E97507">
        <w:rPr>
          <w:i/>
          <w:color w:val="5E666A"/>
          <w:lang w:val="fr-FR"/>
        </w:rPr>
        <w:t>See Chapter 7 — Regional Abdominal and Peritoneal Framework; Chapter 11 — Liver and Biliary Tract; Chapter 12 — Pancreas; Chapter 14 — Small Intestine.</w:t>
      </w:r>
    </w:p>
    <w:p w14:paraId="0199DA03" w14:textId="77777777" w:rsidR="00966354" w:rsidRPr="00E97507" w:rsidRDefault="00000000">
      <w:pPr>
        <w:pStyle w:val="Heading2"/>
        <w:rPr>
          <w:lang w:val="fr-FR"/>
        </w:rPr>
      </w:pPr>
      <w:r w:rsidRPr="00E97507">
        <w:rPr>
          <w:lang w:val="fr-FR"/>
        </w:rPr>
        <w:t>13.5. Level 4 — Viscerosomatic integration and limbic brain–duodenum balance</w:t>
      </w:r>
      <w:proofErr w:type="spellStart"/>
      <w:r w:rsidRPr="00E97507">
        <w:rPr>
          <w:lang w:val="fr-FR"/>
        </w:rPr>
      </w:r>
      <w:proofErr w:type="spellEnd"/>
      <w:r w:rsidRPr="00E97507">
        <w:rPr>
          <w:lang w:val="fr-FR"/>
        </w:rPr>
      </w:r>
    </w:p>
    <w:p w14:paraId="1F7BA416" w14:textId="77777777" w:rsidR="00B34A05" w:rsidRDefault="00B34A05">
      <w:pPr>
        <w:spacing w:after="60"/>
        <w:rPr>
          <w:b/>
          <w:lang w:val="fr-FR"/>
        </w:rPr>
      </w:pPr>
    </w:p>
    <w:p w14:paraId="064D4BD5" w14:textId="55F7D38D" w:rsidR="00966354" w:rsidRPr="00E97507" w:rsidRDefault="00000000">
      <w:pPr>
        <w:spacing w:after="60"/>
        <w:rPr>
          <w:lang w:val="fr-FR"/>
        </w:rPr>
      </w:pPr>
      <w:r w:rsidRPr="00E97507">
        <w:rPr>
          <w:b/>
          <w:lang w:val="fr-FR"/>
        </w:rPr>
        <w:t>Viscerosomatic component. Depending on test findings, assessment may include T7–T9, L1–L2, the lowest ribs, the thoracolumbar junction, diaphragmatic crura, psoas, and posterior abdominal wall.</w:t>
      </w:r>
      <w:proofErr w:type="spellStart"/>
      <w:r w:rsidRPr="00E97507">
        <w:rPr>
          <w:b/>
          <w:lang w:val="fr-FR"/>
        </w:rPr>
      </w:r>
      <w:proofErr w:type="spellEnd"/>
      <w:r w:rsidRPr="00E97507">
        <w:rPr>
          <w:b/>
          <w:lang w:val="fr-FR"/>
        </w:rPr>
      </w:r>
      <w:r w:rsidRPr="00E97507">
        <w:rPr>
          <w:lang w:val="fr-FR"/>
        </w:rPr>
      </w:r>
    </w:p>
    <w:p w14:paraId="65B11823" w14:textId="77777777" w:rsidR="00B34A05" w:rsidRDefault="00B34A05">
      <w:pPr>
        <w:spacing w:after="60"/>
        <w:rPr>
          <w:b/>
          <w:lang w:val="fr-FR"/>
        </w:rPr>
      </w:pPr>
    </w:p>
    <w:p w14:paraId="5E62DA55" w14:textId="152C75D5" w:rsidR="00966354" w:rsidRPr="00E97507" w:rsidRDefault="00000000">
      <w:pPr>
        <w:spacing w:after="60"/>
        <w:rPr>
          <w:lang w:val="fr-FR"/>
        </w:rPr>
      </w:pPr>
      <w:r w:rsidRPr="00B34A05">
        <w:rPr>
          <w:b/>
          <w:lang w:val="fr-FR"/>
        </w:rPr>
        <w:t>Limbic brain–duodenum balance. In terminology specific to ROP, listening–induction places one thumb on the duodenal zone and the other on the limbic brain zone.</w:t>
      </w:r>
      <w:r w:rsidRPr="00B34A05">
        <w:rPr>
          <w:lang w:val="fr-FR"/>
        </w:rPr>
      </w:r>
    </w:p>
    <w:p w14:paraId="2FE9C67C" w14:textId="77777777" w:rsidR="00B34A05" w:rsidRDefault="00B34A05">
      <w:pPr>
        <w:rPr>
          <w:i/>
          <w:color w:val="5E666A"/>
          <w:lang w:val="fr-FR"/>
        </w:rPr>
      </w:pPr>
    </w:p>
    <w:p w14:paraId="7F700A23" w14:textId="6552ADFE" w:rsidR="00966354" w:rsidRPr="00E97507" w:rsidRDefault="00000000">
      <w:pPr>
        <w:rPr>
          <w:lang w:val="fr-FR"/>
        </w:rPr>
      </w:pPr>
      <w:r w:rsidRPr="00E97507">
        <w:rPr>
          <w:i/>
          <w:color w:val="5E666A"/>
          <w:lang w:val="fr-FR"/>
        </w:rPr>
        <w:t>See Chapter 3 — Central Nervous System; see Chapter 5 — Stress Mechanism.</w:t>
      </w:r>
    </w:p>
    <w:p w14:paraId="642A546D" w14:textId="77777777" w:rsidR="00966354" w:rsidRPr="00E97507" w:rsidRDefault="00000000">
      <w:pPr>
        <w:pStyle w:val="Heading2"/>
        <w:rPr>
          <w:lang w:val="fr-FR"/>
        </w:rPr>
      </w:pPr>
      <w:r w:rsidRPr="00E97507">
        <w:rPr>
          <w:lang w:val="fr-FR"/>
        </w:rPr>
        <w:t>13.6. Associated support according to test findings</w:t>
      </w:r>
    </w:p>
    <w:p w14:paraId="46F5B2C3" w14:textId="77777777" w:rsidR="00966354" w:rsidRPr="00E97507" w:rsidRDefault="00000000">
      <w:pPr>
        <w:pStyle w:val="ListParagraph"/>
        <w:spacing w:after="32"/>
        <w:ind w:left="255" w:hanging="142"/>
        <w:rPr>
          <w:lang w:val="fr-FR"/>
        </w:rPr>
      </w:pPr>
      <w:r w:rsidRPr="00E97507">
        <w:rPr>
          <w:lang w:val="fr-FR"/>
        </w:rPr>
        <w:t>• Stomach: D1 and pylorus.</w:t>
      </w:r>
    </w:p>
    <w:p w14:paraId="5AD7C286" w14:textId="77777777" w:rsidR="00966354" w:rsidRPr="00E97507" w:rsidRDefault="00000000">
      <w:pPr>
        <w:pStyle w:val="ListParagraph"/>
        <w:spacing w:after="32"/>
        <w:ind w:left="255" w:hanging="142"/>
        <w:rPr>
          <w:lang w:val="fr-FR"/>
        </w:rPr>
      </w:pPr>
      <w:r w:rsidRPr="00E97507">
        <w:rPr>
          <w:lang w:val="fr-FR"/>
        </w:rPr>
        <w:t>• Liver, gallbladder, and biliary tract: D1–D2 and sphincter of Oddi.</w:t>
      </w:r>
    </w:p>
    <w:p w14:paraId="224E66CC" w14:textId="77777777" w:rsidR="00966354" w:rsidRPr="00E97507" w:rsidRDefault="00000000">
      <w:pPr>
        <w:pStyle w:val="ListParagraph"/>
        <w:spacing w:after="32"/>
        <w:ind w:left="255" w:hanging="142"/>
        <w:rPr>
          <w:lang w:val="fr-FR"/>
        </w:rPr>
      </w:pPr>
      <w:r w:rsidRPr="00E97507">
        <w:rPr>
          <w:lang w:val="fr-FR"/>
        </w:rPr>
        <w:t>• Pancreas: chiefly D2.</w:t>
      </w:r>
    </w:p>
    <w:p w14:paraId="34CA6AF7" w14:textId="77777777" w:rsidR="00966354" w:rsidRPr="00E97507" w:rsidRDefault="00000000">
      <w:pPr>
        <w:pStyle w:val="ListParagraph"/>
        <w:spacing w:after="32"/>
        <w:ind w:left="255" w:hanging="142"/>
        <w:rPr>
          <w:lang w:val="fr-FR"/>
        </w:rPr>
      </w:pPr>
      <w:r w:rsidRPr="00E97507">
        <w:rPr>
          <w:lang w:val="fr-FR"/>
        </w:rPr>
        <w:t>• Small intestine and root of the mesentery: D3–D4 and duodenojejunal junction.</w:t>
      </w:r>
      <w:proofErr w:type="spellStart"/>
      <w:r w:rsidRPr="00E97507">
        <w:rPr>
          <w:lang w:val="fr-FR"/>
        </w:rPr>
      </w:r>
      <w:proofErr w:type="spellEnd"/>
      <w:r w:rsidRPr="00E97507">
        <w:rPr>
          <w:lang w:val="fr-FR"/>
        </w:rPr>
      </w:r>
    </w:p>
    <w:p w14:paraId="54764AD0" w14:textId="77777777" w:rsidR="00966354" w:rsidRPr="00E97507" w:rsidRDefault="00000000">
      <w:pPr>
        <w:pStyle w:val="ListParagraph"/>
        <w:spacing w:after="32"/>
        <w:ind w:left="255" w:hanging="142"/>
        <w:rPr>
          <w:lang w:val="fr-FR"/>
        </w:rPr>
      </w:pPr>
      <w:r w:rsidRPr="00E97507">
        <w:rPr>
          <w:lang w:val="fr-FR"/>
        </w:rPr>
        <w:t>• Right kidney: regional relationship with D2.</w:t>
      </w:r>
    </w:p>
    <w:p w14:paraId="5920F988" w14:textId="77777777" w:rsidR="00966354" w:rsidRPr="00E97507" w:rsidRDefault="00000000">
      <w:pPr>
        <w:pStyle w:val="ListParagraph"/>
        <w:spacing w:after="32"/>
        <w:ind w:left="255" w:hanging="142"/>
        <w:rPr>
          <w:lang w:val="fr-FR"/>
        </w:rPr>
      </w:pPr>
      <w:r w:rsidRPr="00E97507">
        <w:rPr>
          <w:lang w:val="fr-FR"/>
        </w:rPr>
        <w:t>• Diaphragm: when the thoracoabdominal interfaces are relevant.</w:t>
      </w:r>
    </w:p>
    <w:p w14:paraId="02EA614A" w14:textId="77777777" w:rsidR="00966354" w:rsidRPr="00E97507" w:rsidRDefault="00000000">
      <w:pPr>
        <w:pStyle w:val="Heading2"/>
        <w:rPr>
          <w:lang w:val="fr-FR"/>
        </w:rPr>
      </w:pPr>
      <w:r w:rsidRPr="00E97507">
        <w:rPr>
          <w:lang w:val="fr-FR"/>
        </w:rPr>
        <w:t>13.7. Clinical interpretation</w:t>
      </w:r>
    </w:p>
    <w:p w14:paraId="74A309AE" w14:textId="77777777" w:rsidR="00966354" w:rsidRPr="00E97507" w:rsidRDefault="00000000">
      <w:pPr>
        <w:pStyle w:val="ListParagraph"/>
        <w:spacing w:after="32"/>
        <w:ind w:left="255" w:hanging="142"/>
        <w:rPr>
          <w:lang w:val="fr-FR"/>
        </w:rPr>
      </w:pPr>
      <w:r w:rsidRPr="00E97507">
        <w:rPr>
          <w:lang w:val="fr-FR"/>
        </w:rPr>
        <w:t>• Slow digestion or functional duodenal stasis: Level 2 + the duodenal segment involved at Level 3 + the pylorus or duodenojejunal junction, according to test findings.</w:t>
      </w:r>
      <w:proofErr w:type="spellStart"/>
      <w:r w:rsidRPr="00E97507">
        <w:rPr>
          <w:lang w:val="fr-FR"/>
        </w:rPr>
      </w:r>
      <w:proofErr w:type="spellEnd"/>
      <w:r w:rsidRPr="00E97507">
        <w:rPr>
          <w:lang w:val="fr-FR"/>
        </w:rPr>
      </w:r>
    </w:p>
    <w:p w14:paraId="2DB74217" w14:textId="77777777" w:rsidR="00966354" w:rsidRPr="00E97507" w:rsidRDefault="00000000">
      <w:pPr>
        <w:pStyle w:val="ListParagraph"/>
        <w:spacing w:after="32"/>
        <w:ind w:left="255" w:hanging="142"/>
        <w:rPr>
          <w:lang w:val="fr-FR"/>
        </w:rPr>
      </w:pPr>
      <w:r w:rsidRPr="00E97507">
        <w:rPr>
          <w:lang w:val="fr-FR"/>
        </w:rPr>
        <w:t>• Functional pancreaticobiliary context: D2 + sphincter of Oddi + liver/gallbladder + pancreas.</w:t>
      </w:r>
    </w:p>
    <w:p w14:paraId="6A6F29B8" w14:textId="77777777" w:rsidR="00966354" w:rsidRDefault="00000000">
      <w:pPr>
        <w:pStyle w:val="ListParagraph"/>
        <w:spacing w:after="32"/>
        <w:ind w:left="255" w:hanging="142"/>
        <w:rPr>
          <w:lang w:val="fr-FR"/>
        </w:rPr>
      </w:pPr>
      <w:r w:rsidRPr="00E97507">
        <w:rPr>
          <w:lang w:val="fr-FR"/>
        </w:rPr>
        <w:t>• Tension involving D3–D4 or the flexure of Treitz after medical causes have been excluded: D3–D4 + root of the mesentery + ligament of Treitz + the regional framework described in Chapter 7.</w:t>
      </w:r>
    </w:p>
    <w:p w14:paraId="277DCC4B" w14:textId="77777777" w:rsidR="00B34A05" w:rsidRPr="00E97507" w:rsidRDefault="00B34A05">
      <w:pPr>
        <w:pStyle w:val="ListParagraph"/>
        <w:spacing w:after="32"/>
        <w:ind w:left="255" w:hanging="142"/>
        <w:rPr>
          <w:lang w:val="fr-FR"/>
        </w:rPr>
      </w:pPr>
    </w:p>
    <w:p w14:paraId="45A06EFB" w14:textId="36705B63" w:rsidR="00966354" w:rsidRPr="00E97507" w:rsidRDefault="00000000">
      <w:pPr>
        <w:shd w:val="clear" w:color="auto" w:fill="F8E9E5"/>
        <w:spacing w:before="80" w:after="100"/>
        <w:ind w:left="142" w:right="142"/>
        <w:rPr>
          <w:lang w:val="fr-FR"/>
        </w:rPr>
      </w:pPr>
      <w:r w:rsidRPr="00E97507">
        <w:rPr>
          <w:b/>
          <w:lang w:val="fr-FR"/>
        </w:rPr>
        <w:t>SAFETY PRINCIPLE — Severe or persistent epigastric pain, gastrointestinal bleeding, black stools, recurrent vomiting, unexplained weight loss, or acute transfixing pain requires medical assessment.</w:t>
      </w:r>
      <w:r w:rsidRPr="00E97507">
        <w:rPr>
          <w:lang w:val="fr-FR"/>
        </w:rPr>
      </w:r>
    </w:p>
    <w:sectPr w:rsidR="00966354" w:rsidRPr="00E97507">
      <w:footerReference w:type="even" r:id="rId8"/>
      <w:footerReference w:type="default" r:id="rId9"/>
      <w:footerReference w:type="first" r:id="rId1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15E42" w14:textId="77777777" w:rsidR="00DE270A" w:rsidRDefault="00DE270A">
      <w:pPr>
        <w:spacing w:after="0" w:line="240" w:lineRule="auto"/>
      </w:pPr>
      <w:r>
        <w:separator/>
      </w:r>
    </w:p>
  </w:endnote>
  <w:endnote w:type="continuationSeparator" w:id="0">
    <w:p w14:paraId="06FE9BA3" w14:textId="77777777" w:rsidR="00DE270A" w:rsidRDefault="00DE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204D" w14:textId="77777777" w:rsidR="00966354" w:rsidRDefault="00966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758C" w14:textId="77777777" w:rsidR="00966354" w:rsidRDefault="00000000">
    <w:pPr>
      <w:pStyle w:val="Footer"/>
      <w:jc w:val="center"/>
    </w:pPr>
    <w:proofErr w:type="spellStart"/>
    <w:r>
      <w:t>Chapter 10 — Duodenum · Reader Edition</w:t>
    </w:r>
    <w:proofErr w:type="spellEnd"/>
    <w:r/>
    <w:proofErr w:type="spellStart"/>
    <w:r/>
    <w:proofErr w:type="spellEnd"/>
    <w:r/>
    <w:proofErr w:type="spellStar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69844" w14:textId="77777777" w:rsidR="00966354" w:rsidRDefault="00966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1DB9F" w14:textId="77777777" w:rsidR="00DE270A" w:rsidRDefault="00DE270A">
      <w:pPr>
        <w:spacing w:after="0" w:line="240" w:lineRule="auto"/>
      </w:pPr>
      <w:r>
        <w:separator/>
      </w:r>
    </w:p>
  </w:footnote>
  <w:footnote w:type="continuationSeparator" w:id="0">
    <w:p w14:paraId="07AC6F4B" w14:textId="77777777" w:rsidR="00DE270A" w:rsidRDefault="00DE2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225168">
    <w:abstractNumId w:val="8"/>
  </w:num>
  <w:num w:numId="2" w16cid:durableId="98261963">
    <w:abstractNumId w:val="6"/>
  </w:num>
  <w:num w:numId="3" w16cid:durableId="150567651">
    <w:abstractNumId w:val="5"/>
  </w:num>
  <w:num w:numId="4" w16cid:durableId="462626443">
    <w:abstractNumId w:val="4"/>
  </w:num>
  <w:num w:numId="5" w16cid:durableId="1089044096">
    <w:abstractNumId w:val="7"/>
  </w:num>
  <w:num w:numId="6" w16cid:durableId="853686707">
    <w:abstractNumId w:val="3"/>
  </w:num>
  <w:num w:numId="7" w16cid:durableId="1422683379">
    <w:abstractNumId w:val="2"/>
  </w:num>
  <w:num w:numId="8" w16cid:durableId="309527670">
    <w:abstractNumId w:val="1"/>
  </w:num>
  <w:num w:numId="9" w16cid:durableId="201760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0D6"/>
    <w:rsid w:val="00326F90"/>
    <w:rsid w:val="00375154"/>
    <w:rsid w:val="003A4E1B"/>
    <w:rsid w:val="00591B2C"/>
    <w:rsid w:val="0066273A"/>
    <w:rsid w:val="0071682C"/>
    <w:rsid w:val="00966354"/>
    <w:rsid w:val="00AA1D8D"/>
    <w:rsid w:val="00B34A05"/>
    <w:rsid w:val="00B47730"/>
    <w:rsid w:val="00CB0664"/>
    <w:rsid w:val="00DA1955"/>
    <w:rsid w:val="00DE270A"/>
    <w:rsid w:val="00E97507"/>
    <w:rsid w:val="00EA6D23"/>
    <w:rsid w:val="00EB6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A8F4D"/>
  <w14:defaultImageDpi w14:val="300"/>
  <w15:docId w15:val="{2E459796-0FFB-4B5F-956A-DB6A6557D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34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34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34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2207</Words>
  <Characters>12585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10 — Duodénum</dc:title>
  <dc:subject/>
  <dc:creator/>
  <cp:keywords/>
  <dc:description/>
  <cp:lastModifiedBy>Nicolas Boitout</cp:lastModifiedBy>
  <cp:revision>5</cp:revision>
  <dcterms:created xsi:type="dcterms:W3CDTF">2013-12-23T23:15:00Z</dcterms:created>
  <dcterms:modified xsi:type="dcterms:W3CDTF">2026-08-15T09:42:00Z</dcterms:modified>
  <cp:category/>
</cp:coreProperties>
</file>