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widowControl/>
      </w:pPr>
      <w:r>
        <w:rPr>
          <w:rFonts w:ascii="Aptos Display" w:hAnsi="Aptos Display"/>
          <w:b/>
          <w:color w:val="3E6F70"/>
          <w:sz w:val="36"/>
        </w:rPr>
        <w:t>Chapter 2</w:t>
      </w:r>
    </w:p>
    <w:p>
      <w:pPr>
        <w:spacing w:after="160"/>
        <w:widowControl/>
      </w:pPr>
      <w:r>
        <w:rPr>
          <w:rFonts w:ascii="Aptos Display" w:hAnsi="Aptos Display"/>
          <w:b/>
          <w:color w:val="2F3437"/>
          <w:sz w:val="50"/>
        </w:rPr>
        <w:t>Treatment by Occipito-Podal Reflexotherapy (ROP)</w:t>
      </w:r>
    </w:p>
    <w:p>
      <w:pPr>
        <w:spacing w:after="240"/>
        <w:pBdr>
          <w:bottom w:val="single" w:sz="14" w:space="1" w:color="3E6F70"/>
        </w:pBdr>
        <w:widowControl/>
      </w:pPr>
    </w:p>
    <w:p>
      <w:pPr>
        <w:pStyle w:val="BodyText"/>
        <w:spacing w:after="140"/>
        <w:ind w:left="0" w:firstLine="255"/>
        <w:widowControl/>
      </w:pPr>
      <w:r>
        <w:rPr>
          <w:i w:val="0"/>
        </w:rPr>
        <w:t>Occipito-Podal Reflexotherapy (ROP) forms part of a functional, integrative approach to care. Treatment is guided by the patient history, clinical examination, listening tests, assessment of reflex zones, and the response observed. It follows the clinical sequence presented in Chapter 0 while drawing, where relevant, on the neuroanatomical basis of somatic entry pathways, spinal convergence, and supraspinal pathways. Its aim is to engage the patient’s regulatory and adaptive capacities, without replacing medical diagnosis or any indicated medical treatment.</w:t>
      </w:r>
    </w:p>
    <w:tbl>
      <w:tblPr>
        <w:tblW w:type="auto" w:w="0"/>
        <w:jc w:val="center"/>
        <w:tblLayout w:type="autofit"/>
        <w:tblLook w:firstColumn="1" w:firstRow="1" w:lastColumn="0" w:lastRow="0" w:noHBand="0" w:noVBand="1" w:val="04A0"/>
      </w:tblPr>
      <w:tblGrid>
        <w:gridCol w:w="9915"/>
      </w:tblGrid>
      <w:tr>
        <w:trPr>
          <w:cantSplit/>
        </w:trPr>
        <w:tc>
          <w:tcPr>
            <w:tcW w:type="dxa" w:w="9915"/>
            <w:shd w:fill="F3EEE5"/>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Guiding principles</w:t>
            </w:r>
          </w:p>
          <w:p>
            <w:pPr>
              <w:keepLines/>
              <w:spacing w:after="60" w:line="259" w:lineRule="auto"/>
            </w:pPr>
            <w:r>
              <w:rPr>
                <w:b/>
              </w:rPr>
              <w:t>Engage rather than force. Pressure is gentle, precise, and painless.</w:t>
            </w:r>
            <w:r/>
          </w:p>
          <w:p>
            <w:pPr>
              <w:keepLines/>
              <w:spacing w:after="60" w:line="259" w:lineRule="auto"/>
            </w:pPr>
            <w:r>
              <w:rPr>
                <w:b/>
              </w:rPr>
              <w:t>Prioritise rather than apply a fixed protocol. Tests and the clinical situation determine priorities.</w:t>
            </w:r>
            <w:r/>
          </w:p>
          <w:p>
            <w:pPr>
              <w:keepLines/>
              <w:spacing w:after="60" w:line="259" w:lineRule="auto"/>
            </w:pPr>
            <w:r>
              <w:rPr>
                <w:b/>
              </w:rPr>
              <w:t>Observe rather than presume. The patient’s response is monitored in the hours and days following the session.</w:t>
            </w:r>
            <w:r/>
          </w:p>
          <w:p>
            <w:pPr>
              <w:keepLines/>
              <w:spacing w:after="60" w:line="259" w:lineRule="auto"/>
            </w:pPr>
            <w:r>
              <w:rPr>
                <w:b/>
              </w:rPr>
              <w:t>Refer when necessary. Any suspicion of organic disease or a warning sign requires medical assessment.</w:t>
            </w:r>
            <w:r/>
          </w:p>
        </w:tc>
      </w:tr>
    </w:tbl>
    <w:p>
      <w:pPr>
        <w:spacing w:after="0"/>
        <w:widowControl/>
      </w:pPr>
    </w:p>
    <w:p>
      <w:pPr>
        <w:pStyle w:val="Heading1"/>
        <w:keepNext/>
        <w:keepLines/>
        <w:widowControl/>
        <w:spacing w:before="200" w:after="80"/>
      </w:pPr>
      <w:r>
        <w:t>1. Technique</w:t>
      </w:r>
    </w:p>
    <w:p>
      <w:pPr>
        <w:pStyle w:val="Heading2"/>
        <w:keepNext/>
        <w:keepLines/>
        <w:widowControl/>
        <w:spacing w:before="140" w:after="60"/>
      </w:pPr>
      <w:r>
        <w:t>1.1. Manual contact and pressure</w:t>
      </w:r>
    </w:p>
    <w:p>
      <w:pPr>
        <w:pStyle w:val="ListBullet"/>
        <w:spacing w:after="50"/>
        <w:ind w:left="369" w:hanging="170"/>
        <w:widowControl/>
      </w:pPr>
      <w:r>
        <w:t>The technique is exclusively manual. The practitioner uses the pad of the thumb or the proximal interphalangeal joint of the index finger, without oil or cream.</w:t>
      </w:r>
    </w:p>
    <w:p>
      <w:pPr>
        <w:pStyle w:val="ListBullet"/>
        <w:spacing w:after="50"/>
        <w:ind w:left="369" w:hanging="170"/>
        <w:widowControl/>
      </w:pPr>
      <w:r>
        <w:t>Pressure is gentle, progressive, and painless. It mobilises the epidermal-dermal layer of the occipital and plantar reflex zones while preserving perception of bony landmarks and skin texture.</w:t>
      </w:r>
    </w:p>
    <w:p>
      <w:pPr>
        <w:pStyle w:val="ListBullet"/>
      </w:pPr>
      <w:r>
        <w:t>The quality of contact depends not only on pressure intensity: the speed of mobilisation, stability and duration of contact, and the thermal characteristics of the hand are also components of the cutaneous stimulus.</w:t>
      </w:r>
    </w:p>
    <w:p>
      <w:pPr>
        <w:pStyle w:val="ListBullet"/>
        <w:spacing w:after="50"/>
        <w:ind w:left="369" w:hanging="170"/>
        <w:widowControl/>
      </w:pPr>
      <w:r>
        <w:t>Sharp pain, excessive force, or vigorous rubbing indicate overstimulation and must be avoided.</w:t>
      </w:r>
    </w:p>
    <w:p>
      <w:pPr>
        <w:pStyle w:val="Heading2"/>
        <w:keepNext/>
        <w:keepLines/>
        <w:widowControl/>
        <w:spacing w:before="140" w:after="60"/>
      </w:pPr>
      <w:r>
        <w:t>1.2. Mechanoreception and tactile information</w:t>
      </w:r>
    </w:p>
    <w:p>
      <w:pPr>
        <w:pStyle w:val="BodyText"/>
        <w:spacing w:after="80"/>
        <w:ind w:left="0" w:firstLine="255"/>
        <w:widowControl/>
      </w:pPr>
      <w:r>
        <w:rPr>
          <w:i w:val="0"/>
        </w:rPr>
        <w:t>Cutaneous stimulation activates, in particular, low-threshold mechanoreceptors in glabrous skin, including:</w:t>
      </w:r>
    </w:p>
    <w:p>
      <w:pPr>
        <w:pStyle w:val="ListBullet"/>
        <w:spacing w:after="50"/>
        <w:ind w:left="369" w:hanging="170"/>
        <w:widowControl/>
      </w:pPr>
      <w:r>
        <w:t>Meissner corpuscles, sensitive to light touch and subtle changes in pressure;</w:t>
      </w:r>
    </w:p>
    <w:p>
      <w:pPr>
        <w:pStyle w:val="ListBullet"/>
        <w:spacing w:after="50"/>
        <w:ind w:left="369" w:hanging="170"/>
        <w:widowControl/>
      </w:pPr>
      <w:r>
        <w:t>Merkel discs, sensitive to gentle sustained pressure and to features of shape and texture.</w:t>
      </w:r>
    </w:p>
    <w:p>
      <w:pPr>
        <w:pStyle w:val="BodyText"/>
        <w:spacing w:after="80"/>
        <w:ind w:left="0" w:firstLine="255"/>
        <w:widowControl/>
      </w:pPr>
      <w:r>
        <w:rPr>
          <w:i w:val="0"/>
        </w:rPr>
        <w:t>When the epidermal-dermal layer is deformed beneath the finger, mechanoreceptors generate afferent activity transmitted through a peripheral branch and then a nerve to the spinal cord and higher centres. The interpretive sequence proposed in this volume is straightforward: local pressure → mechanoreceptors → peripheral branch → nerve → spinal roots → spinal and supraspinal networks. In the ROP model, this sensory information constitutes an entry pathway capable of modifying the excitability of somatic, autonomic, or visceral networks. Gate control theory may help explain part of the immediate analgesic effect of non-painful tactile stimulation.</w:t>
      </w:r>
    </w:p>
    <w:p>
      <w:pPr>
        <w:pStyle w:val="BodyText"/>
      </w:pPr>
      <w:r>
        <w:t>Cutaneous touch does not, however, rely on a single afferent system. Alongside mechanoreceptors associated with fast myelinated fibres, human microneurographic studies have identified unmyelinated, C-type mechanosensitive afferents that respond to non-noxious tactile stimulation. First described by Vallbo and colleagues in 1993 in hairy skin, these afferents were subsequently studied under the term C-tactile (CT) fibres. [1]</w:t>
      </w:r>
    </w:p>
    <w:p>
      <w:pPr>
        <w:pStyle w:val="BodyText"/>
      </w:pPr>
      <w:r>
        <w:t>Subsequent studies show that their response depends not only on the mechanical intensity of contact but also on its physical characteristics. During gentle skin stroking, CT fibres respond preferentially to slow-to-intermediate velocities of approximately 1–10 cm/s, which are also associated with a more pleasant perception of touch. [2] Their activity is also modulated by temperature: in a study comparing stimulation at 18 °C, 32 °C, and 42 °C, the response was maximal around 32 °C, a temperature close to that of the skin surface and therefore to skin-to-skin contact. [3] These findings illustrate that the quality of manual stimulation depends on several parameters—intensity, speed, temperature, and duration of contact—and not solely on the force applied.</w:t>
      </w:r>
    </w:p>
    <w:p>
      <w:pPr>
        <w:pStyle w:val="BodyText"/>
      </w:pPr>
      <w:r>
        <w:t>This pathway should not, however, be extrapolated directly to ROP. C-tactile fibres have chiefly been characterised in hairy skin, whereas the sole is glabrous skin in which myelinated tactile afferents play a major role. Any contribution they may make to manual plantar stimulation must therefore be distinguished from better-established mechanosensory mechanisms. Here, data on CT fibres provide a model of touch physiology, not proof of an ROP-specific mechanism.</w:t>
      </w:r>
    </w:p>
    <w:p>
      <w:pPr>
        <w:pStyle w:val="BodyText"/>
      </w:pPr>
      <w:r>
        <w:t>The sole of the foot is the best-documented mechanical entry pathway, principally through branches of the tibial nerve. The lateral border, dorsum, and medial aspect of the foot provide other somatic entry pathways via the sural, fibular, and saphenous nerves, respectively. These territories are not organ maps; they correspond to different peripheral inputs that can be compared.</w:t>
      </w:r>
    </w:p>
    <w:p>
      <w:pPr>
        <w:pStyle w:val="BodyText"/>
      </w:pPr>
      <w:r>
        <w:t>Methodological clarification — Manual ROP pressure is not equivalent to direct electrical stimulation of a nerve. Neuromodulation studies provide circuit models and plausibility arguments; they do not automatically demonstrate that manual pressure produces the same response.</w:t>
      </w:r>
    </w:p>
    <w:tbl>
      <w:tblPr>
        <w:tblW w:type="auto" w:w="0"/>
        <w:jc w:val="center"/>
        <w:tblLayout w:type="autofit"/>
        <w:tblLook w:firstColumn="1" w:firstRow="1" w:lastColumn="0" w:lastRow="0" w:noHBand="0" w:noVBand="1" w:val="04A0"/>
      </w:tblPr>
      <w:tblGrid>
        <w:gridCol w:w="9915"/>
      </w:tblGrid>
      <w:tr>
        <w:trPr>
          <w:cantSplit/>
        </w:trPr>
        <w:tc>
          <w:tcPr>
            <w:tcW w:type="dxa" w:w="9915"/>
            <w:shd w:fill="F7F3EA"/>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Relevance to ROP</w:t>
            </w:r>
          </w:p>
          <w:p>
            <w:pPr>
              <w:keepLines/>
              <w:spacing w:after="60" w:line="259" w:lineRule="auto"/>
            </w:pPr>
            <w:r>
              <w:t>Force and vigorous rubbing during reflex massage must be avoided. The greater the pressure, the more the practitioner perceives their own fingers at the expense of the bony landmarks and textural changes that guide the search for reflex zones.</w:t>
            </w:r>
          </w:p>
          <w:p>
            <w:pPr>
              <w:keepLines/>
              <w:spacing w:after="60" w:line="259" w:lineRule="auto"/>
            </w:pPr>
            <w:r>
              <w:t>Even when properly performed, a session constitutes a stimulus for the body. It must take account of the patient’s vitality and adaptive capacity.</w:t>
            </w:r>
          </w:p>
        </w:tc>
      </w:tr>
    </w:tbl>
    <w:p>
      <w:pPr>
        <w:spacing w:after="0"/>
        <w:widowControl/>
      </w:pPr>
    </w:p>
    <w:p>
      <w:pPr>
        <w:pStyle w:val="Heading2"/>
        <w:keepNext/>
        <w:keepLines/>
        <w:widowControl/>
        <w:spacing w:before="140" w:after="60"/>
      </w:pPr>
      <w:r>
        <w:t>1.3. The three phases of massage</w:t>
      </w:r>
    </w:p>
    <w:p>
      <w:pPr>
        <w:pStyle w:val="BodyText"/>
        <w:spacing w:after="60"/>
        <w:ind w:left="369" w:hanging="312"/>
        <w:widowControl/>
      </w:pPr>
      <w:r>
        <w:rPr>
          <w:b/>
        </w:rPr>
        <w:t>1. Textural identification phase. The practitioner searches for areas showing altered texture of the occipital or plantar skin: roughness, increased density, reduced glide, or a granular sensation, sometimes described as “crystals” in ROP palpation terminology. This term does not imply the presence of crystalline deposits in the tissues. These findings complement the history, clinical examination, and tests; they do not constitute a diagnosis.</w:t>
      </w:r>
      <w:r>
        <w:rPr>
          <w:b/>
        </w:rPr>
      </w:r>
      <w:r/>
      <w:r>
        <w:rPr>
          <w:b/>
        </w:rPr>
      </w:r>
      <w:r>
        <w:rPr>
          <w:b w:val="0"/>
        </w:rPr>
      </w:r>
    </w:p>
    <w:p>
      <w:pPr>
        <w:pStyle w:val="BodyText"/>
        <w:spacing w:after="60"/>
        <w:ind w:left="369" w:hanging="312"/>
        <w:widowControl/>
      </w:pPr>
      <w:r>
        <w:rPr>
          <w:b/>
        </w:rPr>
        <w:t>2. Therapeutic phase. Pressure remains gentle, precisely targeted, and painless. The manoeuvre mobilises the epidermal-dermal layer to stimulate mechanoreceptors and provide sensory input to the nervous system.</w:t>
      </w:r>
      <w:r>
        <w:rPr>
          <w:b/>
        </w:rPr>
      </w:r>
      <w:r/>
    </w:p>
    <w:p>
      <w:pPr>
        <w:pStyle w:val="BodyText"/>
        <w:spacing w:after="60"/>
        <w:ind w:left="369" w:hanging="312"/>
        <w:widowControl/>
      </w:pPr>
      <w:r>
        <w:rPr>
          <w:b/>
        </w:rPr>
        <w:t>3. Rest and observation phase. After stimulation, the practitioner pauses briefly to observe. The response is assessed by changes in sensitivity, glide, and suppleness of the reflex zone, together with general signs of relaxation.</w:t>
      </w:r>
      <w:r>
        <w:rPr>
          <w:b/>
        </w:rPr>
      </w:r>
      <w:r/>
    </w:p>
    <w:p>
      <w:pPr>
        <w:pStyle w:val="BodyText"/>
        <w:spacing w:after="80"/>
        <w:ind w:left="0" w:firstLine="255"/>
        <w:widowControl/>
      </w:pPr>
      <w:r>
        <w:rPr>
          <w:i w:val="0"/>
        </w:rPr>
        <w:t>The quality of the response depends on the patient’s general condition, vitality, and adaptive-compensatory capacity, in relation to the phase of the general adaptation syndrome in which the patient is situated: alarm, adaptation, resistance, or exhaustion. (See Chapter 5, Stress Mechanism.)</w:t>
      </w:r>
    </w:p>
    <w:p>
      <w:pPr>
        <w:pStyle w:val="Heading1"/>
        <w:keepNext/>
        <w:keepLines/>
        <w:widowControl/>
        <w:spacing w:before="200" w:after="80"/>
      </w:pPr>
      <w:r>
        <w:t>2. Treatment arrangements</w:t>
      </w:r>
    </w:p>
    <w:p>
      <w:pPr>
        <w:pStyle w:val="Heading2"/>
        <w:keepNext/>
        <w:keepLines/>
        <w:widowControl/>
        <w:spacing w:before="140" w:after="60"/>
      </w:pPr>
      <w:r>
        <w:t>2.1. Session duration</w:t>
      </w:r>
    </w:p>
    <w:p>
      <w:pPr>
        <w:pStyle w:val="BodyText"/>
        <w:spacing w:after="80"/>
        <w:ind w:left="0" w:firstLine="255"/>
        <w:widowControl/>
      </w:pPr>
      <w:r>
        <w:rPr>
          <w:i w:val="0"/>
        </w:rPr>
        <w:t>Treatment effectiveness is not proportional to session length. It depends primarily on the quality of the examination, prioritisation, and precision of stimulation. The session must remain suited to the patient’s capacity to respond, without unnecessarily multiplying the areas treated.</w:t>
      </w:r>
    </w:p>
    <w:p>
      <w:pPr>
        <w:pStyle w:val="Heading2"/>
        <w:keepNext/>
        <w:keepLines/>
        <w:widowControl/>
        <w:spacing w:before="140" w:after="60"/>
      </w:pPr>
      <w:r>
        <w:t>2.2. Frequency and initial course</w:t>
      </w:r>
    </w:p>
    <w:p>
      <w:pPr>
        <w:pStyle w:val="BodyText"/>
        <w:spacing w:after="80"/>
        <w:ind w:left="0" w:firstLine="255"/>
        <w:widowControl/>
      </w:pPr>
      <w:r>
        <w:rPr>
          <w:i w:val="0"/>
        </w:rPr>
        <w:t>Session frequency does not follow a fixed interval. It depends on the course of the main symptom, the patient’s functioning, and the ability to recover after the first session.</w:t>
      </w:r>
    </w:p>
    <w:p>
      <w:pPr>
        <w:pStyle w:val="BodyText"/>
        <w:spacing w:after="80"/>
        <w:ind w:left="0" w:firstLine="255"/>
        <w:widowControl/>
      </w:pPr>
      <w:r>
        <w:rPr>
          <w:i w:val="0"/>
        </w:rPr>
        <w:t>Reassessment is generally performed on days 3–4. If improvement is sufficient and usual functioning has returned, no further session is required in the short term. If recovery remains incomplete, a second session may be offered.</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How should the term “vitality” be interpreted?</w:t>
            </w:r>
          </w:p>
          <w:p>
            <w:pPr>
              <w:keepLines/>
              <w:spacing w:after="60" w:line="259" w:lineRule="auto"/>
            </w:pPr>
            <w:r>
              <w:t>In this chapter, vitality denotes a clinical and functional assessment: energy level, fatigability, sleep quality, ability to resume activities, course of the main symptom, and overall subjective state.</w:t>
            </w:r>
          </w:p>
          <w:p>
            <w:pPr>
              <w:keepLines/>
              <w:spacing w:after="60" w:line="259" w:lineRule="auto"/>
            </w:pPr>
            <w:r>
              <w:t>It does not correspond to a single biological variable. To be useful, it must be compared with the patient’s baseline and monitored using simple, reproducible questions.</w:t>
            </w:r>
          </w:p>
        </w:tc>
      </w:tr>
    </w:tbl>
    <w:p>
      <w:pPr>
        <w:spacing w:after="0"/>
        <w:widowControl/>
      </w:pPr>
    </w:p>
    <w:p>
      <w:pPr>
        <w:pStyle w:val="BodyText"/>
        <w:spacing w:after="80"/>
        <w:ind w:left="0" w:firstLine="255"/>
        <w:widowControl/>
      </w:pPr>
      <w:r>
        <w:rPr>
          <w:i w:val="0"/>
        </w:rPr>
        <w:t>For most functional indications, an initial course of one to three sessions allows the patient’s response to be assessed. If no notable improvement occurs after three sessions, the functional hypothesis, prioritisation, and indication for ROP must be reconsidered. If necessary, the patient is referred to a physician. Chronic disorders may require longer follow-up, with an individually tailored schedule. Post-treatment reactions and detailed reassessment criteria are presented in Section 9.</w:t>
      </w:r>
    </w:p>
    <w:p>
      <w:pPr>
        <w:pStyle w:val="Heading1"/>
        <w:keepNext/>
        <w:keepLines/>
        <w:widowControl/>
        <w:spacing w:before="200" w:after="80"/>
      </w:pPr>
      <w:r>
        <w:t>3. Treatment prioritisation</w:t>
      </w:r>
    </w:p>
    <w:p>
      <w:pPr>
        <w:pStyle w:val="BodyText"/>
        <w:spacing w:after="80"/>
        <w:ind w:left="0" w:firstLine="255"/>
        <w:widowControl/>
      </w:pPr>
      <w:r>
        <w:rPr>
          <w:i w:val="0"/>
        </w:rPr>
        <w:t>There is no immutable protocol. The four-level clinical sequence presented in Chapter 0 structures reasoning but does not impose a mandatory order. Tests, clinical history, and the observed response determine the true priority. The following factors may lead the practitioner to begin at one level rather than another:</w:t>
      </w:r>
    </w:p>
    <w:p>
      <w:pPr>
        <w:pStyle w:val="BodyText"/>
        <w:spacing w:after="60"/>
        <w:ind w:left="369" w:hanging="312"/>
        <w:widowControl/>
      </w:pPr>
      <w:r>
        <w:rPr>
          <w:b/>
        </w:rPr>
        <w:t>1. Sequelae of trauma, surgery, or infection. When a symptom appears after a clearly identified event, this chronology may guide prioritisation. The history and clinical examination must establish whether the relationship is coherent without presuming automatic causation.</w:t>
      </w:r>
      <w:r>
        <w:rPr>
          <w:b/>
        </w:rPr>
      </w:r>
      <w:r/>
      <w:r>
        <w:rPr>
          <w:b/>
        </w:rPr>
      </w:r>
      <w:r>
        <w:rPr>
          <w:b w:val="0"/>
        </w:rPr>
      </w:r>
    </w:p>
    <w:p>
      <w:pPr>
        <w:pStyle w:val="BodyText"/>
        <w:spacing w:after="60"/>
        <w:ind w:left="369" w:hanging="312"/>
        <w:widowControl/>
      </w:pPr>
      <w:r>
        <w:rPr>
          <w:b/>
        </w:rPr>
        <w:t>2. History and global and local listening tests. In the absence of an obvious precipitating event, these guide the practitioner towards the regulatory level or territory that should be explored first and provide reference points for reassessment after stimulation.</w:t>
      </w:r>
      <w:r>
        <w:rPr>
          <w:b/>
        </w:rPr>
      </w:r>
      <w:r/>
      <w:r>
        <w:rPr>
          <w:b/>
        </w:rPr>
      </w:r>
      <w:r>
        <w:rPr>
          <w:b w:val="0"/>
        </w:rPr>
      </w:r>
    </w:p>
    <w:p>
      <w:pPr>
        <w:pStyle w:val="BodyText"/>
        <w:spacing w:after="60"/>
        <w:ind w:left="369" w:hanging="312"/>
        <w:widowControl/>
      </w:pPr>
      <w:r>
        <w:rPr>
          <w:b/>
        </w:rPr>
        <w:t>3. Psycho-emotional context. Certain physical or emotional events may influence bodily experience, pain perception, and autonomic state. This dimension forms part of the viscero-emotional integration addressed at level 4 and is explored cautiously, without imposing an interpretation on the patient.</w:t>
      </w:r>
      <w:r>
        <w:rPr>
          <w:b/>
        </w:rPr>
      </w:r>
      <w:r/>
      <w:r>
        <w:rPr>
          <w:b/>
        </w:rPr>
      </w:r>
      <w:r>
        <w:rPr>
          <w:b w:val="0"/>
        </w:rPr>
      </w:r>
    </w:p>
    <w:p>
      <w:pPr>
        <w:pStyle w:val="BodyText"/>
        <w:spacing w:after="60"/>
        <w:ind w:left="369" w:hanging="312"/>
        <w:widowControl/>
      </w:pPr>
      <w:r>
        <w:rPr>
          <w:b/>
        </w:rPr>
        <w:t>4. Stress mechanism and adaptive capacities. Every local finding must be considered within the patient’s overall context, constraints, sleep, recovery, and functional capacities. (See Chapter 5, Stress Mechanism.)</w:t>
      </w:r>
      <w:r>
        <w:rPr>
          <w:b/>
        </w:rPr>
      </w:r>
      <w:r/>
      <w:r>
        <w:rPr>
          <w:b/>
        </w:rPr>
      </w:r>
      <w:r>
        <w:rPr>
          <w:b w:val="0"/>
        </w:rPr>
      </w:r>
    </w:p>
    <w:p>
      <w:pPr>
        <w:pStyle w:val="Heading1"/>
        <w:keepNext/>
        <w:keepLines/>
        <w:widowControl/>
        <w:spacing w:before="200" w:after="80"/>
      </w:pPr>
      <w:r>
        <w:t>4. ROP clinical sequence: four levels</w:t>
      </w:r>
    </w:p>
    <w:p>
      <w:pPr>
        <w:pStyle w:val="BodyText"/>
      </w:pPr>
      <w:r>
        <w:t>The clinical sequence follows the four levels defined in Chapter 0. They are prioritisation landmarks rather than four mandatory stages. A single session may involve several levels depending on the history, tests, and patient response.</w:t>
      </w:r>
    </w:p>
    <w:p>
      <w:pPr>
        <w:pStyle w:val="Heading2"/>
      </w:pPr>
      <w:r>
        <w:t>4.1. Level 1 — Regulation of higher central nervous system centres</w:t>
      </w:r>
    </w:p>
    <w:p>
      <w:pPr>
        <w:pStyle w:val="BodyText"/>
      </w:pPr>
      <w:r>
        <w:t>This level concerns occipital reflex zones and ROP landmarks associated with the major integration centres and the neuromeningeal environment. The clinical objective is to address central regulation before or alongside a more regional approach.</w:t>
      </w:r>
    </w:p>
    <w:p>
      <w:pPr>
        <w:pStyle w:val="ListBullet"/>
      </w:pPr>
      <w:r>
        <w:t>Occipital reflex zones.</w:t>
      </w:r>
    </w:p>
    <w:p>
      <w:pPr>
        <w:pStyle w:val="ListBullet"/>
      </w:pPr>
      <w:r>
        <w:t>Craniospinal neuromeningeal environment, primary respiratory mechanism (PRM), and cerebrospinal fluid circulation in the ROP clinical model: occiput–C1–C2, cranial base and vault, cerebral and cerebellar falx, S2 landmarks, and techniques described in previous volumes.</w:t>
      </w:r>
    </w:p>
    <w:p>
      <w:pPr>
        <w:pStyle w:val="ListBullet"/>
      </w:pPr>
      <w:r>
        <w:t>Craniosacral axis—an ROP clinical term used as a landmark of craniospinal continuity, not as an autonomous anatomical system.</w:t>
      </w:r>
    </w:p>
    <w:p>
      <w:pPr>
        <w:pStyle w:val="ListBullet"/>
      </w:pPr>
      <w:r>
        <w:t>Diencephalon, particularly the hypothalamus, brainstem, and hypothalamic-pituitary axis.</w:t>
      </w:r>
    </w:p>
    <w:p>
      <w:pPr>
        <w:pStyle w:val="BodyText"/>
      </w:pPr>
      <w:r>
        <w:t>Clarification — These locations belong to ROP clinical mapping. They do not represent a direct anatomical projection of a brain structure onto the foot or occiput, nor proof of selective action on a specific area.</w:t>
      </w:r>
    </w:p>
    <w:p>
      <w:pPr>
        <w:pStyle w:val="Heading2"/>
      </w:pPr>
      <w:r>
        <w:t>4.2. Level 2 — Autonomic regulation and adaptation</w:t>
      </w:r>
    </w:p>
    <w:p>
      <w:pPr>
        <w:pStyle w:val="BodyText"/>
      </w:pPr>
      <w:r>
        <w:t>This level concerns autonomic pathways and the systems involved in mobilisation, adaptation, and recovery. It links higher centres with visceral territories.</w:t>
      </w:r>
    </w:p>
    <w:p>
      <w:pPr>
        <w:pStyle w:val="ListBullet"/>
      </w:pPr>
      <w:r>
        <w:t>Diaphragm, regarded here as a respiratory and functional interface accompanying autonomic regulation.</w:t>
      </w:r>
    </w:p>
    <w:p>
      <w:pPr>
        <w:pStyle w:val="ListBullet"/>
      </w:pPr>
      <w:r>
        <w:t>Sympathetic and parasympathetic systems; paravertebral ganglionic chain.</w:t>
      </w:r>
    </w:p>
    <w:p>
      <w:pPr>
        <w:pStyle w:val="ListBullet"/>
      </w:pPr>
      <w:r>
        <w:t>Vagus nerve for the cervical, thoracic, and abdominal territories, and sacral parasympathetic pathways for the pelvic territory and distal colon.</w:t>
      </w:r>
    </w:p>
    <w:p>
      <w:pPr>
        <w:pStyle w:val="ListBullet"/>
      </w:pPr>
      <w:r>
        <w:t>Prevertebral and previsceral plexuses.</w:t>
      </w:r>
    </w:p>
    <w:p>
      <w:pPr>
        <w:pStyle w:val="ListBullet"/>
      </w:pPr>
      <w:r>
        <w:t>Adrenal glands, particularly in the sympathoadrenal response.</w:t>
      </w:r>
    </w:p>
    <w:p>
      <w:pPr>
        <w:pStyle w:val="BodyText"/>
      </w:pPr>
      <w:r>
        <w:t>The diaphragm is not anatomically part of the autonomic nervous system; its inclusion at this level reflects the clinical logic of ROP, in which breathing, tone, and autonomic state are observed together. Sensory visceral afferents must also be distinguished from efferent autonomic commands.</w:t>
      </w:r>
    </w:p>
    <w:p>
      <w:pPr>
        <w:pStyle w:val="Heading2"/>
      </w:pPr>
      <w:r>
        <w:t>4.3. Level 3 — Local and regional visceral regulation</w:t>
      </w:r>
    </w:p>
    <w:p>
      <w:pPr>
        <w:pStyle w:val="BodyText"/>
      </w:pPr>
      <w:r>
        <w:t>The third level refocuses treatment on the organ or functional territory concerned and its immediate anatomical environment.</w:t>
      </w:r>
    </w:p>
    <w:p>
      <w:pPr>
        <w:pStyle w:val="ListBullet"/>
      </w:pPr>
      <w:r>
        <w:t>Organ or visceral system concerned.</w:t>
      </w:r>
    </w:p>
    <w:p>
      <w:pPr>
        <w:pStyle w:val="ListBullet"/>
      </w:pPr>
      <w:r>
        <w:t>Abdominal or pelvic cavity, depending on the territory.</w:t>
      </w:r>
    </w:p>
    <w:p>
      <w:pPr>
        <w:pStyle w:val="ListBullet"/>
      </w:pPr>
      <w:r>
        <w:t>Peritoneum and mesenteric roots.</w:t>
      </w:r>
    </w:p>
    <w:p>
      <w:pPr>
        <w:pStyle w:val="ListBullet"/>
      </w:pPr>
      <w:r>
        <w:t>Mesenteries, visceral ligaments, fasciae, and principal local and regional interfaces.</w:t>
      </w:r>
    </w:p>
    <w:p>
      <w:pPr>
        <w:pStyle w:val="ListBullet"/>
      </w:pPr>
      <w:r>
        <w:t>Neurovascular relationships and regional plexuses where relevant.</w:t>
      </w:r>
    </w:p>
    <w:p>
      <w:pPr>
        <w:pStyle w:val="BodyText"/>
      </w:pPr>
      <w:r>
        <w:t>This level does not assume that a reflex zone directly controls an organ. It structures exploration of a visceral territory and its interfaces, followed by reassessment of the response after stimulation.</w:t>
      </w:r>
    </w:p>
    <w:p>
      <w:pPr>
        <w:pStyle w:val="Heading2"/>
      </w:pPr>
      <w:r>
        <w:t>4.4. Level 4 — Viscerosomatic and viscero-emotional integration</w:t>
      </w:r>
    </w:p>
    <w:p>
      <w:pPr>
        <w:pStyle w:val="BodyText"/>
      </w:pPr>
      <w:r>
        <w:t>The fourth level broadens the interpretation of the organ to include its relationships with the somatic nervous system and with cerebral networks involved in the perception of internal state, salience, context, and emotion.</w:t>
      </w:r>
    </w:p>
    <w:p>
      <w:pPr>
        <w:pStyle w:val="ListBullet"/>
      </w:pPr>
      <w:r>
        <w:t>Somatic nerves and lumbar or sacral plexuses involved in viscerosomatic relationships.</w:t>
      </w:r>
    </w:p>
    <w:p>
      <w:pPr>
        <w:pStyle w:val="ListBullet"/>
      </w:pPr>
      <w:r>
        <w:t>Segmental relationships, spinal convergence, and associated musculoskeletal territories.</w:t>
      </w:r>
    </w:p>
    <w:p>
      <w:pPr>
        <w:pStyle w:val="ListBullet"/>
      </w:pPr>
      <w:r>
        <w:t>Limbic and corticolimbic networks: particularly the insula and cingulate cortex; the amygdala and hippocampus when their ROP clinical mapping is used.</w:t>
      </w:r>
    </w:p>
    <w:p>
      <w:pPr>
        <w:pStyle w:val="ListBullet"/>
      </w:pPr>
      <w:r>
        <w:t>Viscero-emotional balance: linking the reflex zone of the dominant organ with the cerebral reflex zone selected through listening.</w:t>
      </w:r>
    </w:p>
    <w:p>
      <w:pPr>
        <w:pStyle w:val="BodyText"/>
      </w:pPr>
      <w:r>
        <w:t>Certain cutaneous afferent systems, particularly those studied in affective touch, contribute to central processing associated with the affective and interoceptive dimensions of tactile experience. [2] This observation highlights interactions among cutaneous somatic information, internal state, and affective context, without establishing a specific correspondence between a reflex zone and a particular cerebral network.</w:t>
      </w:r>
    </w:p>
    <w:p>
      <w:pPr>
        <w:pStyle w:val="Heading3"/>
      </w:pPr>
      <w:r>
        <w:t>4.4.1. The viscero-emotional balance</w:t>
      </w:r>
    </w:p>
    <w:p>
      <w:pPr>
        <w:pStyle w:val="BodyText"/>
      </w:pPr>
      <w:r>
        <w:t>The viscera and brain maintain continuous, bidirectional relationships. Information from the organs reaches the central nervous system through visceral afferent pathways and contributes to interoception, namely the perception and integration of the body’s internal state. Conversely, emotional states and cerebral processes modulate visceral function, particularly through the autonomic nervous system.</w:t>
      </w:r>
    </w:p>
    <w:p>
      <w:pPr>
        <w:pStyle w:val="BodyText"/>
      </w:pPr>
      <w:r>
        <w:t>The viscero-emotional balance addresses this interaction clinically by simultaneously linking the reflex zone of the dominant organ identified by testing with the cerebral reflex zone selected during listening. The practitioner generally places one thumb on the visceral reflex zone and the other on the cerebral reflex zone.</w:t>
      </w:r>
    </w:p>
    <w:p>
      <w:pPr>
        <w:pStyle w:val="BodyText"/>
      </w:pPr>
      <w:r>
        <w:t>The manoeuvre comprises four phases:</w:t>
      </w:r>
    </w:p>
    <w:p>
      <w:pPr>
        <w:pStyle w:val="BodyText"/>
      </w:pPr>
      <w:r>
        <w:rPr>
          <w:b/>
        </w:rPr>
        <w:t>1. Establishing contact. The two zones are contacted simultaneously using gentle, stable, painless pressure.</w:t>
      </w:r>
      <w:r>
        <w:rPr>
          <w:b w:val="0"/>
        </w:rPr>
      </w:r>
    </w:p>
    <w:p>
      <w:pPr>
        <w:pStyle w:val="BodyText"/>
      </w:pPr>
      <w:r>
        <w:rPr>
          <w:b/>
        </w:rPr>
        <w:t>2. Listening. The practitioner assesses the textural quality of both zones and the response that arises when they are linked.</w:t>
      </w:r>
      <w:r>
        <w:rPr>
          <w:b w:val="0"/>
        </w:rPr>
      </w:r>
    </w:p>
    <w:p>
      <w:pPr>
        <w:pStyle w:val="BodyText"/>
      </w:pPr>
      <w:r>
        <w:rPr>
          <w:b/>
        </w:rPr>
        <w:t>3. Induction. When listening reveals a response requiring treatment, gentle and precise manual stimulation is applied to the reflex zone or zones concerned.</w:t>
      </w:r>
      <w:r>
        <w:rPr>
          <w:b w:val="0"/>
        </w:rPr>
      </w:r>
    </w:p>
    <w:p>
      <w:pPr>
        <w:pStyle w:val="BodyText"/>
      </w:pPr>
      <w:r>
        <w:rPr>
          <w:b/>
        </w:rPr>
        <w:t>4. Rest, observation, and reassessment. Contact is maintained for the duration of the tissue response, after which the zones are reassessed to evaluate any change.</w:t>
      </w:r>
      <w:r>
        <w:rPr>
          <w:b w:val="0"/>
        </w:rPr>
      </w:r>
    </w:p>
    <w:p>
      <w:pPr>
        <w:pStyle w:val="BodyText"/>
      </w:pPr>
      <w:r>
        <w:t>The balance does not replace anatomical, autonomic, or local and regional treatment of the organ. It complements such treatment when clinical listening reveals a relevant viscero-emotional component. It must not be understood as a mechanical, exclusive correspondence between a specific emotion and a specific organ. The patient’s history, stress context, lived experience, and adaptive capacities modulate the expression of this relationship. Emotional mapping in ROP guides listening and treatment; it is not used as a predetermined framework for interpreting the patient.</w:t>
      </w:r>
    </w:p>
    <w:p>
      <w:pPr>
        <w:pStyle w:val="BodyText"/>
      </w:pPr>
      <w:r>
        <w:t>This linking does not presuppose a demonstrated direct anatomical connection between the palpated zone and a particular limbic structure. Supraspinal pathways make contextual and descending modulation plausible, but provide less support for point-to-organ specificity.</w:t>
      </w:r>
    </w:p>
    <w:p>
      <w:pPr>
        <w:pStyle w:val="Heading1"/>
        <w:keepNext/>
        <w:keepLines/>
        <w:widowControl/>
        <w:spacing w:before="200" w:after="80"/>
      </w:pPr>
      <w:r>
        <w:t>5. Clinical example: left-sided lumbosciatica after childbirth</w:t>
      </w:r>
    </w:p>
    <w:p>
      <w:pPr>
        <w:pStyle w:val="BodyText"/>
        <w:spacing w:after="80"/>
        <w:ind w:left="0" w:firstLine="255"/>
        <w:widowControl/>
      </w:pPr>
      <w:r>
        <w:rPr>
          <w:i w:val="0"/>
        </w:rPr>
        <w:t>Mrs X, in her thirties, presents with left-sided lumbosciatica that developed several months after childbirth.</w:t>
      </w:r>
    </w:p>
    <w:p>
      <w:pPr>
        <w:pStyle w:val="Heading2"/>
        <w:keepNext/>
        <w:keepLines/>
        <w:widowControl/>
        <w:spacing w:before="140" w:after="60"/>
      </w:pPr>
      <w:r>
        <w:t>5.1. History</w:t>
      </w:r>
    </w:p>
    <w:p>
      <w:pPr>
        <w:pStyle w:val="ListBullet"/>
        <w:spacing w:after="50"/>
        <w:ind w:left="369" w:hanging="170"/>
        <w:widowControl/>
      </w:pPr>
      <w:r>
        <w:t>no known history of trauma;</w:t>
      </w:r>
    </w:p>
    <w:p>
      <w:pPr>
        <w:pStyle w:val="ListBullet"/>
        <w:spacing w:after="50"/>
        <w:ind w:left="369" w:hanging="170"/>
        <w:widowControl/>
      </w:pPr>
      <w:r>
        <w:t>lumbosciatic pain exacerbated during menstruation;</w:t>
      </w:r>
    </w:p>
    <w:p>
      <w:pPr>
        <w:pStyle w:val="ListBullet"/>
        <w:spacing w:after="50"/>
        <w:ind w:left="369" w:hanging="170"/>
        <w:widowControl/>
      </w:pPr>
      <w:r>
        <w:t>stress urinary incontinence disclosed during the interview;</w:t>
      </w:r>
    </w:p>
    <w:p>
      <w:pPr>
        <w:pStyle w:val="ListBullet"/>
        <w:spacing w:after="50"/>
        <w:ind w:left="369" w:hanging="170"/>
        <w:widowControl/>
      </w:pPr>
      <w:r>
        <w:t>prolonged labour in a primiparous patient;</w:t>
      </w:r>
    </w:p>
    <w:p>
      <w:pPr>
        <w:pStyle w:val="ListBullet"/>
        <w:spacing w:after="50"/>
        <w:ind w:left="369" w:hanging="170"/>
        <w:widowControl/>
      </w:pPr>
      <w:r>
        <w:t>gynaecological examination showing no identified abnormality; radiograph showing mild L5–S1 disc-space narrowing without demonstrated nerve-root conflict;</w:t>
      </w:r>
    </w:p>
    <w:p>
      <w:pPr>
        <w:pStyle w:val="ListBullet"/>
        <w:spacing w:after="50"/>
        <w:ind w:left="369" w:hanging="170"/>
        <w:widowControl/>
      </w:pPr>
      <w:r>
        <w:t>substantial emotional impact, as the patient wished to resume her self-employed work promptly.</w:t>
      </w:r>
    </w:p>
    <w:p>
      <w:pPr>
        <w:pStyle w:val="Heading2"/>
        <w:keepNext/>
        <w:keepLines/>
        <w:widowControl/>
        <w:spacing w:before="140" w:after="60"/>
      </w:pPr>
      <w:r>
        <w:t>5.2. Tests</w:t>
      </w:r>
    </w:p>
    <w:p>
      <w:pPr>
        <w:pStyle w:val="ListBullet"/>
        <w:spacing w:after="50"/>
        <w:ind w:left="369" w:hanging="170"/>
        <w:widowControl/>
      </w:pPr>
      <w:r>
        <w:t>global listening tests in standing and sitting show low anterior trunk flexion and left lateral flexion;</w:t>
      </w:r>
    </w:p>
    <w:p>
      <w:pPr>
        <w:pStyle w:val="ListBullet"/>
        <w:spacing w:after="50"/>
        <w:ind w:left="369" w:hanging="170"/>
        <w:widowControl/>
      </w:pPr>
      <w:r>
        <w:t>vertebral tests reveal a moderate reduction in left-sided mobility at L2–L3 and L5–S1, with fixation of the left sacroiliac joint and coccyx;</w:t>
      </w:r>
    </w:p>
    <w:p>
      <w:pPr>
        <w:pStyle w:val="ListBullet"/>
        <w:spacing w:after="50"/>
        <w:ind w:left="369" w:hanging="170"/>
        <w:widowControl/>
      </w:pPr>
      <w:r>
        <w:t>in the supine position, the augmented straight-leg-raise test improves when the hand placed over the pubic symphysis is drawn slightly to the left and deeply towards the cervical-isthmic region of the uterus;</w:t>
      </w:r>
    </w:p>
    <w:p>
      <w:pPr>
        <w:pStyle w:val="ListBullet"/>
        <w:spacing w:after="50"/>
        <w:ind w:left="369" w:hanging="170"/>
        <w:widowControl/>
      </w:pPr>
      <w:r>
        <w:t>in the left lateral decubitus position, listening over the lower abdomen reveals resistance to uterine mobility;</w:t>
      </w:r>
    </w:p>
    <w:p>
      <w:pPr>
        <w:pStyle w:val="ListBullet"/>
        <w:spacing w:after="50"/>
        <w:ind w:left="369" w:hanging="170"/>
        <w:widowControl/>
      </w:pPr>
      <w:r>
        <w:t>the left hip shows reduced internal rotation.</w:t>
      </w:r>
    </w:p>
    <w:p>
      <w:pPr>
        <w:pStyle w:val="Heading2"/>
        <w:keepNext/>
        <w:keepLines/>
        <w:widowControl/>
        <w:spacing w:before="140" w:after="60"/>
      </w:pPr>
      <w:r>
        <w:t>5.3. Functional interpretation proposed in ROP</w:t>
      </w:r>
    </w:p>
    <w:p>
      <w:pPr>
        <w:pStyle w:val="BodyText"/>
        <w:spacing w:after="80"/>
        <w:ind w:left="0" w:firstLine="255"/>
        <w:widowControl/>
      </w:pPr>
      <w:r>
        <w:rPr>
          <w:i w:val="0"/>
        </w:rPr>
        <w:t>The findings suggest a possible contribution of the uterine and pelvic region to the local and regional syndrome. Under this working hypothesis:</w:t>
      </w:r>
    </w:p>
    <w:p>
      <w:pPr>
        <w:pStyle w:val="ListBullet"/>
        <w:spacing w:after="50"/>
        <w:ind w:left="369" w:hanging="170"/>
        <w:widowControl/>
      </w:pPr>
      <w:r>
        <w:t>the coexistence of a perceived restriction in the left uterosacral region and reduced mobility of the left sacroiliac joint constitutes a local and regional relationship to be explored and reassessed after treatment;</w:t>
      </w:r>
    </w:p>
    <w:p>
      <w:pPr>
        <w:pStyle w:val="ListBullet"/>
        <w:spacing w:after="50"/>
        <w:ind w:left="369" w:hanging="170"/>
        <w:widowControl/>
      </w:pPr>
      <w:r>
        <w:t>altered tone of the left piriformis muscle may be considered a somatic component capable of contributing to the pain presentation;</w:t>
      </w:r>
    </w:p>
    <w:p>
      <w:pPr>
        <w:pStyle w:val="ListBullet"/>
        <w:spacing w:after="50"/>
        <w:ind w:left="369" w:hanging="170"/>
        <w:widowControl/>
      </w:pPr>
      <w:r>
        <w:t>regional relationships among the uterus, bladder, sacrum, and pelvic floor are incorporated into the working hypothesis and compared with changes in stress incontinence and sacrococcygeal mobility;</w:t>
      </w:r>
    </w:p>
    <w:p>
      <w:pPr>
        <w:pStyle w:val="ListBullet"/>
        <w:spacing w:after="50"/>
        <w:ind w:left="369" w:hanging="170"/>
        <w:widowControl/>
      </w:pPr>
      <w:r>
        <w:t>the menstrual cycle and autonomic state are considered when assessing level 2 and the overall functional response;</w:t>
      </w:r>
    </w:p>
    <w:p>
      <w:pPr>
        <w:pStyle w:val="ListBullet"/>
        <w:spacing w:after="50"/>
        <w:ind w:left="369" w:hanging="170"/>
        <w:widowControl/>
      </w:pPr>
      <w:r>
        <w:t>in the ROP model, sacrococcygeal fixation is also considered in relation to the meningeal coverings and the PRM;</w:t>
      </w:r>
    </w:p>
    <w:p>
      <w:pPr>
        <w:pStyle w:val="ListBullet"/>
        <w:spacing w:after="50"/>
        <w:ind w:left="369" w:hanging="170"/>
        <w:widowControl/>
      </w:pPr>
      <w:r>
        <w:t>the emotional context and anxiety associated with pain, recent motherhood, and returning to work may perpetuate the patient’s symptoms.</w:t>
      </w:r>
    </w:p>
    <w:p>
      <w:pPr>
        <w:pStyle w:val="Heading2"/>
        <w:keepNext/>
        <w:keepLines/>
        <w:widowControl/>
        <w:spacing w:before="140" w:after="60"/>
      </w:pPr>
      <w:r>
        <w:t>5.4. ROP treatment</w:t>
      </w:r>
    </w:p>
    <w:p>
      <w:pPr>
        <w:pStyle w:val="BodyText"/>
        <w:spacing w:after="60"/>
        <w:ind w:left="369" w:hanging="312"/>
        <w:widowControl/>
      </w:pPr>
      <w:r>
        <w:rPr>
          <w:b/>
        </w:rPr>
        <w:t>1. Level 1 — Central regulation: occipital reflex zones, ROP neuromeningeal landmarks, diencephalon, brainstem, and hypothalamic-pituitary axis.</w:t>
      </w:r>
      <w:r/>
      <w:r>
        <w:rPr>
          <w:b/>
        </w:rPr>
      </w:r>
      <w:r>
        <w:rPr>
          <w:b w:val="0"/>
        </w:rPr>
      </w:r>
    </w:p>
    <w:p>
      <w:pPr>
        <w:pStyle w:val="BodyText"/>
        <w:spacing w:after="60"/>
        <w:ind w:left="369" w:hanging="312"/>
        <w:widowControl/>
      </w:pPr>
      <w:r>
        <w:rPr>
          <w:b/>
        </w:rPr>
        <w:t>2. Level 2 — Autonomic regulation and adaptation: diaphragm, sympathetic and parasympathetic pathways, adrenal glands, sacral pelvic pathways, and pelvic plexuses according to testing.</w:t>
      </w:r>
      <w:r/>
      <w:r>
        <w:rPr>
          <w:b/>
        </w:rPr>
      </w:r>
      <w:r>
        <w:rPr>
          <w:b w:val="0"/>
        </w:rPr>
      </w:r>
    </w:p>
    <w:p>
      <w:pPr>
        <w:pStyle w:val="BodyText"/>
        <w:spacing w:after="60"/>
        <w:ind w:left="369" w:hanging="312"/>
        <w:widowControl/>
      </w:pPr>
      <w:r>
        <w:rPr>
          <w:b/>
        </w:rPr>
        <w:t>3. Level 3 — Local and regional visceral regulation: cervical-isthmic region of the uterus, pelvic cavity, and local and regional relationships, particularly the ligamentous structures identified on examination.</w:t>
      </w:r>
      <w:r/>
      <w:r>
        <w:rPr>
          <w:b/>
        </w:rPr>
      </w:r>
      <w:r>
        <w:rPr>
          <w:b w:val="0"/>
        </w:rPr>
      </w:r>
    </w:p>
    <w:p>
      <w:pPr>
        <w:pStyle w:val="BodyText"/>
        <w:spacing w:after="60"/>
        <w:ind w:left="369" w:hanging="312"/>
        <w:widowControl/>
      </w:pPr>
      <w:r>
        <w:rPr>
          <w:b/>
        </w:rPr>
        <w:t>4. Level 4 — Viscerosomatic and viscero-emotional integration: pudendal nerve, sacral plexus, piriformis muscle, sacrococcygeal and sacroiliac joints, and course of the left sciatic nerve; insular and limbic networks if warranted by the clinical context.</w:t>
      </w:r>
      <w:r/>
      <w:r>
        <w:rPr>
          <w:b/>
        </w:rPr>
      </w:r>
      <w:r>
        <w:rPr>
          <w:b w:val="0"/>
        </w:rPr>
      </w:r>
    </w:p>
    <w:p>
      <w:pPr>
        <w:pStyle w:val="BodyText"/>
        <w:spacing w:after="80"/>
        <w:ind w:left="0" w:firstLine="255"/>
        <w:widowControl/>
      </w:pPr>
      <w:r>
        <w:rPr>
          <w:i w:val="0"/>
        </w:rPr>
        <w:t>Changes in the main symptom, mobility, stress incontinence, sleep, and vitality must be recorded after the session to confirm or challenge this prioritisation.</w:t>
      </w:r>
    </w:p>
    <w:p>
      <w:pPr>
        <w:pStyle w:val="Heading1"/>
        <w:keepNext/>
        <w:keepLines/>
        <w:widowControl/>
        <w:spacing w:before="200" w:after="80"/>
      </w:pPr>
      <w:r>
        <w:t>6. Contraindications and warning signs</w:t>
      </w:r>
    </w:p>
    <w:p>
      <w:pPr>
        <w:pStyle w:val="BodyText"/>
        <w:spacing w:after="80"/>
        <w:ind w:left="0" w:firstLine="255"/>
        <w:widowControl/>
      </w:pPr>
      <w:r>
        <w:rPr>
          <w:i w:val="0"/>
        </w:rPr>
        <w:t>ROP forms part of a functional approach to care. Any suspicion of organic disease, complication, or warning sign requires medical assessment. Apparently minor symptoms may reveal a serious disorder; in accordance with the precautionary principle, the practitioner must recognise situations in which treatment should not be undertaken.</w:t>
      </w:r>
    </w:p>
    <w:p>
      <w:pPr>
        <w:pStyle w:val="BodyText"/>
        <w:spacing w:after="80"/>
        <w:ind w:left="0" w:firstLine="255"/>
        <w:widowControl/>
      </w:pPr>
      <w:r>
        <w:rPr>
          <w:i w:val="0"/>
        </w:rPr>
        <w:t>The following signs should, in particular, prompt reassessment and, depending on the context, referral:</w:t>
      </w:r>
    </w:p>
    <w:p>
      <w:pPr>
        <w:pStyle w:val="ListBullet"/>
        <w:spacing w:after="50"/>
        <w:ind w:left="369" w:hanging="170"/>
        <w:widowControl/>
      </w:pPr>
      <w:r>
        <w:t>non-mechanical pain that persists or worsens during the first part of the night;</w:t>
      </w:r>
    </w:p>
    <w:p>
      <w:pPr>
        <w:pStyle w:val="ListBullet"/>
        <w:spacing w:after="50"/>
        <w:ind w:left="369" w:hanging="170"/>
        <w:widowControl/>
      </w:pPr>
      <w:r>
        <w:t>atypical chest pain, dyspnoea, or malaise;</w:t>
      </w:r>
    </w:p>
    <w:p>
      <w:pPr>
        <w:pStyle w:val="ListBullet"/>
        <w:spacing w:after="50"/>
        <w:ind w:left="369" w:hanging="170"/>
        <w:widowControl/>
      </w:pPr>
      <w:r>
        <w:t>blood in the urine or stools;</w:t>
      </w:r>
    </w:p>
    <w:p>
      <w:pPr>
        <w:pStyle w:val="ListBullet"/>
        <w:spacing w:after="50"/>
        <w:ind w:left="369" w:hanging="170"/>
        <w:widowControl/>
      </w:pPr>
      <w:r>
        <w:t>fever or suspected infectious disease;</w:t>
      </w:r>
    </w:p>
    <w:p>
      <w:pPr>
        <w:pStyle w:val="ListBullet"/>
        <w:spacing w:after="50"/>
        <w:ind w:left="369" w:hanging="170"/>
        <w:widowControl/>
      </w:pPr>
      <w:r>
        <w:t>unexplained weight loss;</w:t>
      </w:r>
    </w:p>
    <w:p>
      <w:pPr>
        <w:pStyle w:val="ListBullet"/>
        <w:spacing w:after="50"/>
        <w:ind w:left="369" w:hanging="170"/>
        <w:widowControl/>
      </w:pPr>
      <w:r>
        <w:t>known risk of thrombus migration;</w:t>
      </w:r>
    </w:p>
    <w:p>
      <w:pPr>
        <w:pStyle w:val="ListBullet"/>
        <w:spacing w:after="50"/>
        <w:ind w:left="369" w:hanging="170"/>
        <w:widowControl/>
      </w:pPr>
      <w:r>
        <w:t>pallor associated with marked fatigue;</w:t>
      </w:r>
    </w:p>
    <w:p>
      <w:pPr>
        <w:pStyle w:val="ListBullet"/>
        <w:spacing w:after="50"/>
        <w:ind w:left="369" w:hanging="170"/>
        <w:widowControl/>
      </w:pPr>
      <w:r>
        <w:t>neurological deficit, new sphincter disturbance, or progressive sensory symptoms;</w:t>
      </w:r>
    </w:p>
    <w:p>
      <w:pPr>
        <w:pStyle w:val="ListBullet"/>
        <w:spacing w:after="50"/>
        <w:ind w:left="369" w:hanging="170"/>
        <w:widowControl/>
      </w:pPr>
      <w:r>
        <w:t>acute anxiety, fear of dying, or unusual deterioration in general condition;</w:t>
      </w:r>
    </w:p>
    <w:p>
      <w:pPr>
        <w:pStyle w:val="ListBullet"/>
        <w:spacing w:after="50"/>
        <w:ind w:left="369" w:hanging="170"/>
        <w:widowControl/>
      </w:pPr>
      <w:r>
        <w:t>an unexplained clinical situation or one beyond the practitioner’s scope of competence.</w:t>
      </w:r>
    </w:p>
    <w:p>
      <w:pPr>
        <w:pStyle w:val="BodyText"/>
        <w:spacing w:after="80"/>
        <w:ind w:left="0" w:firstLine="255"/>
        <w:widowControl/>
      </w:pPr>
      <w:r>
        <w:rPr>
          <w:i w:val="0"/>
        </w:rPr>
        <w:t>ROP must never delay medical diagnosis or replace more appropriate medical treatment. It may have a complementary role within an integrative approach, particularly in supporting certain functional symptoms or patient well-being, with the medical team’s agreement where required.</w:t>
      </w:r>
    </w:p>
    <w:p>
      <w:pPr>
        <w:pStyle w:val="Heading1"/>
        <w:keepNext/>
        <w:keepLines/>
        <w:widowControl/>
        <w:spacing w:before="200" w:after="80"/>
      </w:pPr>
      <w:r>
        <w:t>7. Indications</w:t>
      </w:r>
    </w:p>
    <w:p>
      <w:pPr>
        <w:pStyle w:val="BodyText"/>
        <w:spacing w:after="80"/>
        <w:ind w:left="0" w:firstLine="255"/>
        <w:widowControl/>
      </w:pPr>
      <w:r>
        <w:rPr>
          <w:i w:val="0"/>
        </w:rPr>
        <w:t>Indications are based on the history, clinical examination, tests, consistency of the reflex-zone findings, and prioritisation according to the patient’s overall functional status. ROP is intended primarily for functional disorders, once organic disease requiring specific medical management has been excluded.</w:t>
      </w:r>
    </w:p>
    <w:p>
      <w:pPr>
        <w:pStyle w:val="BodyText"/>
        <w:spacing w:after="80"/>
        <w:ind w:left="0" w:firstLine="255"/>
        <w:widowControl/>
      </w:pPr>
      <w:r>
        <w:rPr>
          <w:i w:val="0"/>
        </w:rPr>
        <w:t>Frequently encountered situations include:</w:t>
      </w:r>
    </w:p>
    <w:p>
      <w:pPr>
        <w:pStyle w:val="ListBullet"/>
        <w:spacing w:after="50"/>
        <w:ind w:left="369" w:hanging="170"/>
        <w:widowControl/>
      </w:pPr>
      <w:r>
        <w:t>musculoskeletal pain with a functional component;</w:t>
      </w:r>
    </w:p>
    <w:p>
      <w:pPr>
        <w:pStyle w:val="ListBullet"/>
        <w:spacing w:after="50"/>
        <w:ind w:left="369" w:hanging="170"/>
        <w:widowControl/>
      </w:pPr>
      <w:r>
        <w:t>sequelae of musculoskeletal trauma;</w:t>
      </w:r>
    </w:p>
    <w:p>
      <w:pPr>
        <w:pStyle w:val="ListBullet"/>
        <w:spacing w:after="50"/>
        <w:ind w:left="369" w:hanging="170"/>
        <w:widowControl/>
      </w:pPr>
      <w:r>
        <w:t>functional sequelae of spinal or cranial nerve injury;</w:t>
      </w:r>
    </w:p>
    <w:p>
      <w:pPr>
        <w:pStyle w:val="ListBullet"/>
        <w:spacing w:after="50"/>
        <w:ind w:left="369" w:hanging="170"/>
        <w:widowControl/>
      </w:pPr>
      <w:r>
        <w:t>visceral dysfunction associated with tissue restrictions and autonomic loops in the ROP model;</w:t>
      </w:r>
    </w:p>
    <w:p>
      <w:pPr>
        <w:pStyle w:val="ListBullet"/>
        <w:spacing w:after="50"/>
        <w:ind w:left="369" w:hanging="170"/>
        <w:widowControl/>
      </w:pPr>
      <w:r>
        <w:t>viscerosomatic and somatovisceral disorders;</w:t>
      </w:r>
    </w:p>
    <w:p>
      <w:pPr>
        <w:pStyle w:val="ListBullet"/>
        <w:spacing w:after="50"/>
        <w:ind w:left="369" w:hanging="170"/>
        <w:widowControl/>
      </w:pPr>
      <w:r>
        <w:t>functional autonomic imbalance;</w:t>
      </w:r>
    </w:p>
    <w:p>
      <w:pPr>
        <w:pStyle w:val="ListBullet"/>
        <w:spacing w:after="50"/>
        <w:ind w:left="369" w:hanging="170"/>
        <w:widowControl/>
      </w:pPr>
      <w:r>
        <w:t>emotional stress and anxiety, as an adjunct to appropriate care.</w:t>
      </w:r>
    </w:p>
    <w:p>
      <w:pPr>
        <w:pStyle w:val="Heading1"/>
        <w:keepNext/>
        <w:keepLines/>
        <w:widowControl/>
        <w:spacing w:before="200" w:after="80"/>
      </w:pPr>
      <w:r>
        <w:t>8. Intended and observed effects</w:t>
      </w:r>
    </w:p>
    <w:p>
      <w:pPr>
        <w:pStyle w:val="BodyText"/>
        <w:spacing w:after="80"/>
        <w:ind w:left="0" w:firstLine="255"/>
        <w:widowControl/>
      </w:pPr>
      <w:r>
        <w:rPr>
          <w:i w:val="0"/>
        </w:rPr>
        <w:t>Clinical outcomes of ROP are often reported by patients and observed during testing, but may remain difficult to measure objectively. Intended or frequently reported effects include:</w:t>
      </w:r>
    </w:p>
    <w:p>
      <w:pPr>
        <w:pStyle w:val="ListBullet"/>
        <w:spacing w:after="50"/>
        <w:ind w:left="369" w:hanging="170"/>
        <w:widowControl/>
      </w:pPr>
      <w:r>
        <w:t>reduced pain or discomfort;</w:t>
      </w:r>
    </w:p>
    <w:p>
      <w:pPr>
        <w:pStyle w:val="ListBullet"/>
        <w:spacing w:after="50"/>
        <w:ind w:left="369" w:hanging="170"/>
        <w:widowControl/>
      </w:pPr>
      <w:r>
        <w:t>signs compatible with a change in autonomic state: calmness, yawning, drowsiness, marked relaxation, or a need to rest;</w:t>
      </w:r>
    </w:p>
    <w:p>
      <w:pPr>
        <w:pStyle w:val="ListBullet"/>
        <w:spacing w:after="50"/>
        <w:ind w:left="369" w:hanging="170"/>
        <w:widowControl/>
      </w:pPr>
      <w:r>
        <w:t>changes in bowel transit, diuresis, or visceral sensations;</w:t>
      </w:r>
    </w:p>
    <w:p>
      <w:pPr>
        <w:pStyle w:val="ListBullet"/>
        <w:spacing w:after="50"/>
        <w:ind w:left="369" w:hanging="170"/>
        <w:widowControl/>
      </w:pPr>
      <w:r>
        <w:t>altered mobility in a somatic or local and regional territory identified before the session;</w:t>
      </w:r>
    </w:p>
    <w:p>
      <w:pPr>
        <w:pStyle w:val="ListBullet"/>
        <w:spacing w:after="50"/>
        <w:ind w:left="369" w:hanging="170"/>
        <w:widowControl/>
      </w:pPr>
      <w:r>
        <w:t>improved sleep, energy, and functional capacity.</w:t>
      </w:r>
    </w:p>
    <w:p>
      <w:pPr>
        <w:pStyle w:val="BodyText"/>
        <w:spacing w:after="80"/>
        <w:ind w:left="0" w:firstLine="255"/>
        <w:widowControl/>
      </w:pPr>
      <w:r>
        <w:rPr>
          <w:i w:val="0"/>
        </w:rPr>
        <w:t>These effects must be assessed using indicators defined before the session: main symptom, pain or discomfort, mobility, sleep, bowel function, energy, and ability to resume activities. The aim is not merely to record a general impression, but to compare progress with a clearly described baseline.</w:t>
      </w:r>
    </w:p>
    <w:p>
      <w:pPr>
        <w:pStyle w:val="Heading1"/>
        <w:keepNext/>
        <w:keepLines/>
        <w:widowControl/>
        <w:spacing w:before="200" w:after="80"/>
      </w:pPr>
      <w:r>
        <w:t>9. Post-treatment reactions and reassessment</w:t>
      </w:r>
    </w:p>
    <w:p>
      <w:pPr>
        <w:spacing w:before="100" w:after="60"/>
        <w:jc w:val="center"/>
        <w:widowControl/>
      </w:pPr>
      <w:r>
        <w:drawing>
          <wp:inline xmlns:a="http://schemas.openxmlformats.org/drawingml/2006/main" xmlns:pic="http://schemas.openxmlformats.org/drawingml/2006/picture">
            <wp:extent cx="6044184" cy="3401661"/>
            <wp:docPr id="1" name="Picture 1"/>
            <wp:cNvGraphicFramePr>
              <a:graphicFrameLocks noChangeAspect="1"/>
            </wp:cNvGraphicFramePr>
            <a:graphic>
              <a:graphicData uri="http://schemas.openxmlformats.org/drawingml/2006/picture">
                <pic:pic>
                  <pic:nvPicPr>
                    <pic:cNvPr id="0" name="Figure_2_1_fenetre_adaptation_revisee.png"/>
                    <pic:cNvPicPr/>
                  </pic:nvPicPr>
                  <pic:blipFill>
                    <a:blip r:embed="rId13"/>
                    <a:stretch>
                      <a:fillRect/>
                    </a:stretch>
                  </pic:blipFill>
                  <pic:spPr>
                    <a:xfrm>
                      <a:off x="0" y="0"/>
                      <a:ext cx="6044184" cy="3401661"/>
                    </a:xfrm>
                    <a:prstGeom prst="rect"/>
                  </pic:spPr>
                </pic:pic>
              </a:graphicData>
            </a:graphic>
          </wp:inline>
        </w:drawing>
      </w:r>
    </w:p>
    <w:p>
      <w:pPr>
        <w:pStyle w:val="Caption"/>
        <w:spacing w:before="80" w:after="120"/>
        <w:jc w:val="center"/>
        <w:keepNext/>
        <w:widowControl/>
      </w:pPr>
      <w:r>
        <w:rPr>
          <w:i/>
        </w:rPr>
        <w:t>Figure 2.1 — Adaptation window after the first session. This curve represents a model derived from clinical experience. The vertical axis describes a clinical functional level rather than a measured physiological variable; the time course should be progressively documented using standardised measurements.</w:t>
      </w:r>
    </w:p>
    <w:p>
      <w:pPr>
        <w:pStyle w:val="Heading2"/>
        <w:keepNext/>
        <w:keepLines/>
        <w:widowControl/>
        <w:spacing w:before="140" w:after="60"/>
      </w:pPr>
      <w:r>
        <w:t>9.1. Immediate reactions</w:t>
      </w:r>
    </w:p>
    <w:p>
      <w:pPr>
        <w:pStyle w:val="BodyText"/>
        <w:spacing w:after="80"/>
        <w:ind w:left="0" w:firstLine="255"/>
        <w:widowControl/>
      </w:pPr>
      <w:r>
        <w:rPr>
          <w:i w:val="0"/>
        </w:rPr>
        <w:t>The patient most commonly experiences relaxation. Drowsiness, a need to rest, urinary urgency, or an urge to defecate may also occur. A transient reduction in energy may be felt immediately after the session.</w:t>
      </w:r>
    </w:p>
    <w:p>
      <w:pPr>
        <w:pStyle w:val="Heading2"/>
        <w:keepNext/>
        <w:keepLines/>
        <w:widowControl/>
        <w:spacing w:before="140" w:after="60"/>
      </w:pPr>
      <w:r>
        <w:t>9.2. Within 24–48 hours</w:t>
      </w:r>
    </w:p>
    <w:p>
      <w:pPr>
        <w:pStyle w:val="BodyText"/>
        <w:spacing w:after="80"/>
        <w:ind w:left="0" w:firstLine="255"/>
        <w:widowControl/>
      </w:pPr>
      <w:r>
        <w:rPr>
          <w:i w:val="0"/>
        </w:rPr>
        <w:t>Some patients may experience muscle soreness, mild fatigability, altered sleep, more vivid dreams, or resurfacing memories. These reactions are transient, vary between individuals, and do not occur systematically. Their absence does not mean that treatment is ineffective.</w:t>
      </w:r>
    </w:p>
    <w:p>
      <w:pPr>
        <w:pStyle w:val="Heading2"/>
        <w:keepNext/>
        <w:keepLines/>
        <w:widowControl/>
        <w:spacing w:before="140" w:after="60"/>
      </w:pPr>
      <w:r>
        <w:t>9.3. Over the following days</w:t>
      </w:r>
    </w:p>
    <w:p>
      <w:pPr>
        <w:pStyle w:val="BodyText"/>
        <w:spacing w:after="80"/>
        <w:ind w:left="0" w:firstLine="255"/>
        <w:widowControl/>
      </w:pPr>
      <w:r>
        <w:rPr>
          <w:i w:val="0"/>
        </w:rPr>
        <w:t>The patient’s functional level may gradually return towards its usual level. This change may be accompanied by a reduction in the main symptom and improvements in sleep, bowel function, energy, or functional capacity.</w:t>
      </w:r>
    </w:p>
    <w:p>
      <w:pPr>
        <w:pStyle w:val="Heading2"/>
        <w:keepNext/>
        <w:keepLines/>
        <w:widowControl/>
        <w:spacing w:before="140" w:after="60"/>
      </w:pPr>
      <w:r>
        <w:t>9.4. Decision point on days 3–4</w:t>
      </w:r>
    </w:p>
    <w:p>
      <w:pPr>
        <w:pStyle w:val="BodyText"/>
        <w:spacing w:after="80"/>
        <w:ind w:left="0" w:firstLine="255"/>
        <w:widowControl/>
      </w:pPr>
      <w:r>
        <w:rPr>
          <w:i w:val="0"/>
        </w:rPr>
        <w:t>On days 3–4, the practitioner and patient reassess progress:</w:t>
      </w:r>
    </w:p>
    <w:p>
      <w:pPr>
        <w:pStyle w:val="ListBullet"/>
        <w:spacing w:after="50"/>
        <w:ind w:left="369" w:hanging="170"/>
        <w:widowControl/>
      </w:pPr>
      <w:r>
        <w:t>if the main symptom has resolved or clearly improved and usual functioning has returned, the functional objective is considered achieved at this stage and no further session is required in the short term;</w:t>
      </w:r>
    </w:p>
    <w:p>
      <w:pPr>
        <w:pStyle w:val="ListBullet"/>
        <w:spacing w:after="50"/>
        <w:ind w:left="369" w:hanging="170"/>
        <w:widowControl/>
      </w:pPr>
      <w:r>
        <w:t>if improvement remains incomplete, a second session may be offered;</w:t>
      </w:r>
    </w:p>
    <w:p>
      <w:pPr>
        <w:pStyle w:val="ListBullet"/>
        <w:spacing w:after="50"/>
        <w:ind w:left="369" w:hanging="170"/>
        <w:widowControl/>
      </w:pPr>
      <w:r>
        <w:t>if the response is absent, atypical, or adverse, the prioritisation and indication must be reconsidered.</w:t>
      </w:r>
    </w:p>
    <w:p>
      <w:pPr>
        <w:pStyle w:val="BodyText"/>
        <w:spacing w:after="80"/>
        <w:ind w:left="0" w:firstLine="255"/>
        <w:widowControl/>
      </w:pPr>
      <w:r>
        <w:rPr>
          <w:i w:val="0"/>
        </w:rPr>
        <w:t>The functional objective describes the course of the presenting complaint; it does not imply that an underlying organic disease has been cured or that a particular causal mechanism has been validated.</w:t>
      </w:r>
    </w:p>
    <w:p>
      <w:pPr>
        <w:pStyle w:val="Heading2"/>
        <w:keepNext/>
        <w:keepLines/>
        <w:widowControl/>
        <w:spacing w:before="140" w:after="60"/>
      </w:pPr>
      <w:r>
        <w:t>9.5. Unusual reactions</w:t>
      </w:r>
    </w:p>
    <w:p>
      <w:pPr>
        <w:pStyle w:val="BodyText"/>
        <w:spacing w:after="80"/>
        <w:ind w:left="0" w:firstLine="255"/>
        <w:widowControl/>
      </w:pPr>
      <w:r>
        <w:rPr>
          <w:i w:val="0"/>
        </w:rPr>
        <w:t>If reactions are severe, persist beyond 72 hours, or are accompanied by unusual or concerning signs, the situation must be reassessed. The patient is referred to a physician when warranted by the context.</w:t>
      </w:r>
    </w:p>
    <w:tbl>
      <w:tblPr>
        <w:tblW w:type="auto" w:w="0"/>
        <w:jc w:val="center"/>
        <w:tblLayout w:type="autofit"/>
        <w:tblLook w:firstColumn="1" w:firstRow="1" w:lastColumn="0" w:lastRow="0" w:noHBand="0" w:noVBand="1" w:val="04A0"/>
      </w:tblPr>
      <w:tblGrid>
        <w:gridCol w:w="9915"/>
      </w:tblGrid>
      <w:tr>
        <w:trPr>
          <w:cantSplit/>
        </w:trPr>
        <w:tc>
          <w:tcPr>
            <w:tcW w:type="dxa" w:w="9915"/>
            <w:shd w:fill="E8DED0"/>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Contribute to ROP feedback with SuiviPatient</w:t>
            </w:r>
          </w:p>
          <w:p>
            <w:pPr>
              <w:keepLines/>
              <w:spacing w:after="60" w:line="259" w:lineRule="auto"/>
            </w:pPr>
            <w:r>
              <w:t>The chronology and reactions described in this chapter are based mainly on practitioners’ clinical experience. To document them more effectively, the SuiviPatient application can collect, at regular intervals, simple indicators compared with baseline: main symptom, pain or discomfort, vitality, sleep, visceral functions, functional capacity, and unusual reactions.</w:t>
            </w:r>
          </w:p>
          <w:p>
            <w:pPr>
              <w:keepLines/>
              <w:spacing w:after="60" w:line="259" w:lineRule="auto"/>
            </w:pPr>
            <w:r>
              <w:t>Practitioners reading this book who wish to join the ROP community and use the SuiviPatient application free of charge with their patients are invited to contact us. This process must respect patient consent and the confidentiality of the information collected.</w:t>
            </w:r>
          </w:p>
        </w:tc>
      </w:tr>
    </w:tbl>
    <w:p>
      <w:pPr>
        <w:spacing w:after="0"/>
        <w:widowControl/>
      </w:pPr>
    </w:p>
    <w:p>
      <w:pPr>
        <w:pStyle w:val="Heading1"/>
        <w:keepNext/>
        <w:keepLines/>
        <w:widowControl/>
        <w:spacing w:before="200" w:after="80"/>
      </w:pPr>
      <w:r>
        <w:t>10. Advice to the patient</w:t>
      </w:r>
    </w:p>
    <w:p>
      <w:pPr>
        <w:pStyle w:val="BodyText"/>
        <w:spacing w:after="80"/>
        <w:ind w:left="0" w:firstLine="255"/>
        <w:widowControl/>
      </w:pPr>
      <w:r>
        <w:rPr>
          <w:i w:val="0"/>
        </w:rPr>
        <w:t>Even the best treatment cannot guarantee lasting improvement unless accompanied by the patient’s active participation and simple measures suited to the situation. The advice is generally based on common sense:</w:t>
      </w:r>
    </w:p>
    <w:p>
      <w:pPr>
        <w:pStyle w:val="ListBullet"/>
        <w:spacing w:after="50"/>
        <w:ind w:left="369" w:hanging="170"/>
        <w:widowControl/>
      </w:pPr>
      <w:r>
        <w:t>plan relative rest and avoid excessive physical strain on the day of the session;</w:t>
      </w:r>
    </w:p>
    <w:p>
      <w:pPr>
        <w:pStyle w:val="ListBullet"/>
        <w:spacing w:after="50"/>
        <w:ind w:left="369" w:hanging="170"/>
        <w:widowControl/>
      </w:pPr>
      <w:r>
        <w:t>maintain adequate hydration;</w:t>
      </w:r>
    </w:p>
    <w:p>
      <w:pPr>
        <w:pStyle w:val="ListBullet"/>
        <w:spacing w:after="50"/>
        <w:ind w:left="369" w:hanging="170"/>
        <w:widowControl/>
      </w:pPr>
      <w:r>
        <w:t>adopt a balanced diet;</w:t>
      </w:r>
    </w:p>
    <w:p>
      <w:pPr>
        <w:pStyle w:val="ListBullet"/>
        <w:spacing w:after="50"/>
        <w:ind w:left="369" w:hanging="170"/>
        <w:widowControl/>
      </w:pPr>
      <w:r>
        <w:t>maintain regular physical activity suited to current capacity;</w:t>
      </w:r>
    </w:p>
    <w:p>
      <w:pPr>
        <w:pStyle w:val="ListBullet"/>
        <w:spacing w:after="50"/>
        <w:ind w:left="369" w:hanging="170"/>
        <w:widowControl/>
      </w:pPr>
      <w:r>
        <w:t>promote sleep, recovery, and a supportive social environment;</w:t>
      </w:r>
    </w:p>
    <w:p>
      <w:pPr>
        <w:pStyle w:val="ListBullet"/>
        <w:spacing w:after="50"/>
        <w:ind w:left="369" w:hanging="170"/>
        <w:widowControl/>
      </w:pPr>
      <w:r>
        <w:t>remain actively involved in one’s health and seek medical advice if new or concerning signs arise;</w:t>
      </w:r>
    </w:p>
    <w:p>
      <w:pPr>
        <w:pStyle w:val="ListBullet"/>
        <w:spacing w:after="50"/>
        <w:ind w:left="369" w:hanging="170"/>
        <w:widowControl/>
      </w:pPr>
      <w:r>
        <w:t>record changes in the main symptom, pain, sleep, bowel function, vitality, and functional capacity;</w:t>
      </w:r>
    </w:p>
    <w:p>
      <w:pPr>
        <w:pStyle w:val="ListBullet"/>
        <w:spacing w:after="50"/>
        <w:ind w:left="369" w:hanging="170"/>
        <w:widowControl/>
      </w:pPr>
      <w:r>
        <w:t>report these findings to the practitioner to help document the effects of the session and guide subsequent treatment.</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Practical summary</w:t>
            </w:r>
          </w:p>
          <w:p>
            <w:pPr>
              <w:keepLines/>
              <w:spacing w:after="60" w:line="259" w:lineRule="auto"/>
            </w:pPr>
            <w:r>
              <w:rPr>
                <w:b/>
              </w:rPr>
              <w:t>Before the session: define the main symptom and its baseline level.</w:t>
            </w:r>
          </w:p>
          <w:p>
            <w:pPr>
              <w:keepLines/>
              <w:spacing w:after="60" w:line="259" w:lineRule="auto"/>
            </w:pPr>
            <w:r>
              <w:rPr>
                <w:b/>
              </w:rPr>
              <w:t>After the session: observe reactions and document progress.</w:t>
            </w:r>
          </w:p>
          <w:p>
            <w:pPr>
              <w:keepLines/>
              <w:spacing w:after="60" w:line="259" w:lineRule="auto"/>
            </w:pPr>
            <w:r>
              <w:rPr>
                <w:b/>
              </w:rPr>
              <w:t>On days 3–4: decide whether to stop, provide another session, or reassess.</w:t>
            </w:r>
          </w:p>
          <w:p>
            <w:pPr>
              <w:keepLines/>
              <w:spacing w:after="60" w:line="259" w:lineRule="auto"/>
            </w:pPr>
            <w:r>
              <w:rPr>
                <w:b/>
              </w:rPr>
              <w:t>After three sessions without improvement: reconsider the indication and, if necessary, refer the patient.</w:t>
            </w:r>
          </w:p>
        </w:tc>
      </w:tr>
    </w:tbl>
    <w:p>
      <w:pPr>
        <w:spacing w:after="0"/>
        <w:widowControl/>
      </w:pPr>
    </w:p>
    <w:p>
      <w:pPr>
        <w:spacing w:before="200" w:after="0"/>
        <w:jc w:val="center"/>
        <w:widowControl/>
      </w:pPr>
      <w:r>
        <w:rPr>
          <w:rFonts w:ascii="Aptos Display" w:hAnsi="Aptos Display"/>
          <w:b/>
          <w:color w:val="3E6F70"/>
          <w:sz w:val="23"/>
        </w:rPr>
        <w:t>Guiding principle: observe, measure, reassess.</w:t>
      </w:r>
    </w:p>
    <w:p>
      <w:pPr>
        <w:pStyle w:val="Heading1"/>
      </w:pPr>
      <w:r>
        <w:t>References</w:t>
      </w:r>
    </w:p>
    <w:p>
      <w:pPr>
        <w:pStyle w:val="BodyText"/>
        <w:spacing w:after="80"/>
      </w:pPr>
      <w:r>
        <w:t>1. Vallbo Å, Olausson H, Wessberg J, Norrsell U. A system of unmyelinated afferents for innocuous mechanoreception in the human skin. Brain Res. 1993;628(1–2):301–304. doi:10.1016/0006-8993(93)90968-S.</w:t>
      </w:r>
    </w:p>
    <w:p>
      <w:pPr>
        <w:pStyle w:val="BodyText"/>
        <w:spacing w:after="80"/>
      </w:pPr>
      <w:r>
        <w:t>2. Löken LS, Wessberg J, Morrison I, McGlone F, Olausson H. Coding of pleasant touch by unmyelinated afferents in humans. Nat Neurosci. 2009;12(5):547–548. doi:10.1038/nn.2312.</w:t>
      </w:r>
    </w:p>
    <w:p>
      <w:pPr>
        <w:pStyle w:val="BodyText"/>
        <w:spacing w:after="80"/>
      </w:pPr>
      <w:r>
        <w:t>3. Ackerley R, Backlund Wasling H, Liljencrantz J, Olausson H, Johnson RD, Wessberg J. Human C-tactile afferents are tuned to the temperature of a skin-stroking caress. J Neurosci. 2014;34(8):2879–2883. doi:10.1523/JNEUROSCI.2847-13.2014.</w:t>
      </w:r>
    </w:p>
    <w:sectPr>
      <w:headerReference w:type="default" r:id="rId9"/>
      <w:footerReference w:type="default" r:id="rId10"/>
      <w:pgSz w:w="12240" w:h="15840"/>
      <w:pgMar w:top="1020" w:right="1134"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0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07D"/>
        <w:sz w:val="16"/>
      </w:rPr>
      <w:t>CHAPTER 2  |  ROP TREATMENT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2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F3437"/>
      <w:sz w:val="33"/>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3E6F7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3E6F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jc w:val="both"/>
    </w:pPr>
    <w:rPr>
      <w:rFonts w:ascii="Aptos" w:hAnsi="Aptos" w:eastAsia="Aptos"/>
      <w:color w:val="202426"/>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contextualSpacing/>
    </w:pPr>
    <w:rPr>
      <w:rFonts w:ascii="Aptos" w:hAnsi="Aptos" w:eastAsia="Aptos"/>
      <w:color w:val="202426"/>
      <w:sz w:val="20"/>
    </w:rPr>
  </w:style>
  <w:style w:type="paragraph" w:styleId="ListBullet2">
    <w:name w:val="List Bullet 2"/>
    <w:basedOn w:val="Normal"/>
    <w:uiPriority w:val="99"/>
    <w:unhideWhenUsed/>
    <w:rsid w:val="00326F90"/>
    <w:pPr>
      <w:numPr>
        <w:numId w:val="2"/>
      </w:numPr>
      <w:spacing w:line="259" w:lineRule="auto"/>
      <w:contextualSpacing/>
    </w:pPr>
    <w:rPr>
      <w:rFonts w:ascii="Aptos" w:hAnsi="Aptos" w:eastAsia="Aptos"/>
      <w:color w:val="202426"/>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contextualSpacing/>
    </w:pPr>
    <w:rPr>
      <w:rFonts w:ascii="Aptos" w:hAnsi="Aptos" w:eastAsia="Aptos"/>
      <w:color w:val="202426"/>
      <w:sz w:val="20"/>
    </w:rPr>
  </w:style>
  <w:style w:type="paragraph" w:styleId="ListNumber2">
    <w:name w:val="List Number 2"/>
    <w:basedOn w:val="Normal"/>
    <w:uiPriority w:val="99"/>
    <w:unhideWhenUsed/>
    <w:rsid w:val="0029639D"/>
    <w:pPr>
      <w:numPr>
        <w:numId w:val="6"/>
      </w:numPr>
      <w:spacing w:line="259" w:lineRule="auto"/>
      <w:contextualSpacing/>
    </w:pPr>
    <w:rPr>
      <w:rFonts w:ascii="Aptos" w:hAnsi="Aptos" w:eastAsia="Aptos"/>
      <w:color w:val="202426"/>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eastAsia="Aptos"/>
      <w:b/>
      <w:bCs/>
      <w:color w:val="7A80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ROP Treatment (Revised Medical English)</dc:title>
  <dc:subject>Réflexothérapie Occipito-Podale — Chapitre 2</dc:subject>
  <dc:creator/>
  <cp:keywords>ROP, Réflexothérapie Occipito-Podale, traitement, pratique clinique</cp:keywords>
  <dc:description/>
  <cp:lastModifiedBy/>
  <cp:revision>1</cp:revision>
  <dcterms:created xsi:type="dcterms:W3CDTF">2013-12-23T23:15:00Z</dcterms:created>
  <dcterms:modified xsi:type="dcterms:W3CDTF">2013-12-23T23:15:00Z</dcterms:modified>
  <cp:category/>
</cp:coreProperties>
</file>