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Liberation Sans" w:hAnsi="Liberation Sans" w:eastAsia="Liberation Sans"/>
          <w:b/>
          <w:sz w:val="34"/>
        </w:rPr>
        <w:t>Einleitung</w:t>
      </w:r>
    </w:p>
    <w:p>
      <w:pPr>
        <w:spacing w:after="80" w:line="250" w:lineRule="auto"/>
      </w:pPr>
      <w:r>
        <w:rPr>
          <w:rFonts w:ascii="Liberation Sans" w:hAnsi="Liberation Sans" w:eastAsia="Liberation Sans"/>
        </w:rPr>
        <w:t>Dieser dritte Band zur Réflexothérapie Occipito-Podale – ROP stellt die natürliche Fortsetzung der beiden vorangegangenen Bände dar. Nach dem osteo-muskulo-artikulären System in Band 1 und dem neuromeningealen System in Band 2 wenden wir uns nun dem Bereich der abdomino-pelvinen Viszera, des autonomen Nervensystems und der Stressmechanismen zu.</w:t>
      </w:r>
    </w:p>
    <w:p>
      <w:pPr>
        <w:spacing w:after="80" w:line="250" w:lineRule="auto"/>
      </w:pPr>
      <w:r>
        <w:rPr>
          <w:rFonts w:ascii="Liberation Sans" w:hAnsi="Liberation Sans" w:eastAsia="Liberation Sans"/>
        </w:rPr>
        <w:t>Der Anspruch bleibt derselbe: eine kohärente Kartographie bereitzustellen, die mit Anatomie und Physiologie übereinstimmt, dreidimensional gedacht ist, den Körper als Säugling in Fötalstellung im Fuß abbildet und mit den okzipitalen Reflexzonen in Beziehung setzt.</w:t>
      </w:r>
    </w:p>
    <w:p>
      <w:pPr>
        <w:pStyle w:val="Heading1"/>
        <w:spacing w:before="160" w:after="60"/>
      </w:pPr>
      <w:r>
        <w:rPr>
          <w:rFonts w:ascii="Liberation Sans" w:hAnsi="Liberation Sans" w:eastAsia="Liberation Sans"/>
        </w:rPr>
        <w:t>Kurz gesagt: Was dieses Buch bietet</w:t>
      </w:r>
    </w:p>
    <w:p>
      <w:pPr>
        <w:pStyle w:val="ListBullet"/>
        <w:spacing w:after="40"/>
      </w:pPr>
      <w:r>
        <w:rPr>
          <w:rFonts w:ascii="Liberation Sans" w:hAnsi="Liberation Sans" w:eastAsia="Liberation Sans"/>
        </w:rPr>
        <w:t>Eine klare Interpretation der viszero-somatischen Beziehungen: wie viszerale Dysfunktionen den Bewegungsapparat beeinflussen können und wie Störungen des Bewegungsapparates ihrerseits die viszerale Funktion beeinträchtigen können.</w:t>
      </w:r>
    </w:p>
    <w:p>
      <w:pPr>
        <w:pStyle w:val="ListBullet"/>
        <w:spacing w:after="40"/>
      </w:pPr>
      <w:r>
        <w:rPr>
          <w:rFonts w:ascii="Liberation Sans" w:hAnsi="Liberation Sans" w:eastAsia="Liberation Sans"/>
        </w:rPr>
        <w:t>Klinische Orientierungspunkte und eine palpationsbasierte Rationale zur Lokalisierung der Reflexzonen, trotz der wenigen knöchernen Landmarken an der Plantarfläche.</w:t>
      </w:r>
    </w:p>
    <w:p>
      <w:pPr>
        <w:pStyle w:val="ListBullet"/>
        <w:spacing w:after="40"/>
      </w:pPr>
      <w:r>
        <w:rPr>
          <w:rFonts w:ascii="Liberation Sans" w:hAnsi="Liberation Sans" w:eastAsia="Liberation Sans"/>
        </w:rPr>
        <w:t>Kartographien, die anhand zentraler anatomischer Referenzpunkte – einschließlich des Zwerchfells – angepasst und im Zusammenhang mit der Anamnese des Patienten sowie mit medizinischen und chirurgischen Befunden interpretiert werden.</w:t>
      </w:r>
    </w:p>
    <w:p>
      <w:pPr>
        <w:pStyle w:val="ListBullet"/>
        <w:spacing w:after="40"/>
      </w:pPr>
      <w:r>
        <w:rPr>
          <w:rFonts w:ascii="Liberation Sans" w:hAnsi="Liberation Sans" w:eastAsia="Liberation Sans"/>
        </w:rPr>
        <w:t>Ein globaler Ansatz, der darauf abzielt, pathologische Reflexschleifen – neurologischer, viszeraler, somatischer und emotionaler Art – zu unterbrechen, die körpereigenen Regulationsfähigkeiten zu stimulieren und die Vitalität zu unterstützen.</w:t>
      </w:r>
    </w:p>
    <w:p>
      <w:pPr>
        <w:pStyle w:val="Heading1"/>
        <w:spacing w:before="160" w:after="60"/>
      </w:pPr>
      <w:r>
        <w:rPr>
          <w:rFonts w:ascii="Liberation Sans" w:hAnsi="Liberation Sans" w:eastAsia="Liberation Sans"/>
        </w:rPr>
        <w:t>Warum das viszerale System wesentlich ist</w:t>
      </w:r>
    </w:p>
    <w:p>
      <w:pPr>
        <w:spacing w:after="80" w:line="250" w:lineRule="auto"/>
      </w:pPr>
      <w:r>
        <w:rPr>
          <w:rFonts w:ascii="Liberation Sans" w:hAnsi="Liberation Sans" w:eastAsia="Liberation Sans"/>
        </w:rPr>
        <w:t>Das viszerale System ist für die zentralen logistischen Funktionen des Körpers verantwortlich: Ernährung, Ausscheidung und innere Homöostase. In diesem Zusammenhang können zahlreiche muskuloskelettale Schmerzsyndrome als Folge viszeraler Dysfunktionen entstehen – und umgekehrt gilt dies ebenfalls. Ein System zu behandeln und das andere zu ignorieren, führt häufig zu unvollständigen Ergebnissen.</w:t>
      </w:r>
    </w:p>
    <w:p>
      <w:pPr>
        <w:pStyle w:val="Heading1"/>
        <w:spacing w:before="160" w:after="60"/>
      </w:pPr>
      <w:r>
        <w:rPr>
          <w:rFonts w:ascii="Liberation Sans" w:hAnsi="Liberation Sans" w:eastAsia="Liberation Sans"/>
        </w:rPr>
        <w:t>Unsere Position: anatomische Präzision und klinischer Pragmatismus</w:t>
      </w:r>
    </w:p>
    <w:p>
      <w:pPr>
        <w:spacing w:after="80" w:line="250" w:lineRule="auto"/>
      </w:pPr>
      <w:r>
        <w:rPr>
          <w:rFonts w:ascii="Liberation Sans" w:hAnsi="Liberation Sans" w:eastAsia="Liberation Sans"/>
        </w:rPr>
        <w:t>Wie bei jedem manualtherapeutischen Ansatz beobachten wir mitunter Ergebnisse, die sich nicht vollständig objektivieren lassen. Die klinische Beobachtung besitzt nicht die methodische Strenge eines Laborprotokolls, behält jedoch ihren Wert, wenn sie systematisch durchgeführt wird. Deshalb legt dieses Buch den Schwerpunkt auf:</w:t>
      </w:r>
    </w:p>
    <w:p>
      <w:pPr>
        <w:spacing w:after="60"/>
        <w:ind w:left="360" w:hanging="360"/>
      </w:pPr>
      <w:r>
        <w:rPr>
          <w:rFonts w:ascii="Liberation Sans" w:hAnsi="Liberation Sans" w:eastAsia="Liberation Sans"/>
        </w:rPr>
        <w:t>1.</w:t>
        <w:tab/>
      </w:r>
      <w:r>
        <w:rPr>
          <w:rFonts w:ascii="Liberation Sans" w:hAnsi="Liberation Sans" w:eastAsia="Liberation Sans"/>
        </w:rPr>
        <w:t>anatomische Kohärenz;</w:t>
      </w:r>
    </w:p>
    <w:p>
      <w:pPr>
        <w:spacing w:after="60"/>
        <w:ind w:left="360" w:hanging="360"/>
      </w:pPr>
      <w:r>
        <w:rPr>
          <w:rFonts w:ascii="Liberation Sans" w:hAnsi="Liberation Sans" w:eastAsia="Liberation Sans"/>
        </w:rPr>
        <w:t>2.</w:t>
        <w:tab/>
      </w:r>
      <w:r>
        <w:rPr>
          <w:rFonts w:ascii="Liberation Sans" w:hAnsi="Liberation Sans" w:eastAsia="Liberation Sans"/>
        </w:rPr>
        <w:t>Reproduzierbarkeit der Orientierungspunkte;</w:t>
      </w:r>
    </w:p>
    <w:p>
      <w:pPr>
        <w:spacing w:after="60"/>
        <w:ind w:left="360" w:hanging="360"/>
      </w:pPr>
      <w:r>
        <w:rPr>
          <w:rFonts w:ascii="Liberation Sans" w:hAnsi="Liberation Sans" w:eastAsia="Liberation Sans"/>
        </w:rPr>
        <w:t>3.</w:t>
        <w:tab/>
      </w:r>
      <w:r>
        <w:rPr>
          <w:rFonts w:ascii="Liberation Sans" w:hAnsi="Liberation Sans" w:eastAsia="Liberation Sans"/>
        </w:rPr>
        <w:t>Korrelation mit der klinischen Realität, einschließlich Anamnese, bildgebender Befunde und chirurgischer Beobachtungen.</w:t>
      </w:r>
    </w:p>
    <w:p>
      <w:pPr>
        <w:spacing w:after="80" w:line="250" w:lineRule="auto"/>
      </w:pPr>
      <w:r>
        <w:rPr>
          <w:rFonts w:ascii="Liberation Sans" w:hAnsi="Liberation Sans" w:eastAsia="Liberation Sans"/>
        </w:rPr>
        <w:t>Zwei Punkte verdienen besondere Hervorhebung:</w:t>
      </w:r>
    </w:p>
    <w:p>
      <w:pPr>
        <w:spacing w:after="60"/>
        <w:ind w:left="360" w:hanging="360"/>
      </w:pPr>
      <w:r>
        <w:rPr>
          <w:rFonts w:ascii="Liberation Sans" w:hAnsi="Liberation Sans" w:eastAsia="Liberation Sans"/>
        </w:rPr>
        <w:t>1.</w:t>
        <w:tab/>
      </w:r>
      <w:r>
        <w:rPr>
          <w:rFonts w:ascii="Liberation Sans" w:hAnsi="Liberation Sans" w:eastAsia="Liberation Sans"/>
          <w:b/>
        </w:rPr>
        <w:t xml:space="preserve">Das Zwerchfell: </w:t>
      </w:r>
      <w:r>
        <w:rPr>
          <w:rFonts w:ascii="Liberation Sans" w:hAnsi="Liberation Sans" w:eastAsia="Liberation Sans"/>
        </w:rPr>
        <w:t>Die beiden Zwerchfellkuppeln befinden sich nicht auf derselben Höhe. Wird diese Asymmetrie ignoriert, verliert jede Kartographie an Präzision – sowohl für das Zwerchfell selbst als auch für die mit ihm verbundenen Viszera.</w:t>
      </w:r>
    </w:p>
    <w:p>
      <w:pPr>
        <w:spacing w:after="60"/>
        <w:ind w:left="360" w:hanging="360"/>
      </w:pPr>
      <w:r>
        <w:rPr>
          <w:rFonts w:ascii="Liberation Sans" w:hAnsi="Liberation Sans" w:eastAsia="Liberation Sans"/>
        </w:rPr>
        <w:t>2.</w:t>
        <w:tab/>
      </w:r>
      <w:r>
        <w:rPr>
          <w:rFonts w:ascii="Liberation Sans" w:hAnsi="Liberation Sans" w:eastAsia="Liberation Sans"/>
          <w:b/>
        </w:rPr>
        <w:t xml:space="preserve">Das Peritoneum: </w:t>
      </w:r>
      <w:r>
        <w:rPr>
          <w:rFonts w:ascii="Liberation Sans" w:hAnsi="Liberation Sans" w:eastAsia="Liberation Sans"/>
        </w:rPr>
        <w:t>Es stellt eine zentrale Schnittstelle zwischen den Viszera und den Körperwänden dar, verfügt über ein erhebliches reflexogenes Potenzial und kann Spannungen sowie Dysfunktionen in beide Richtungen übertragen.</w:t>
      </w:r>
    </w:p>
    <w:p>
      <w:pPr>
        <w:pStyle w:val="Heading1"/>
        <w:spacing w:before="160" w:after="60"/>
      </w:pPr>
      <w:r>
        <w:rPr>
          <w:rFonts w:ascii="Liberation Sans" w:hAnsi="Liberation Sans" w:eastAsia="Liberation Sans"/>
        </w:rPr>
        <w:t>Terminologie</w:t>
      </w:r>
    </w:p>
    <w:p>
      <w:pPr>
        <w:spacing w:after="80" w:line="250" w:lineRule="auto"/>
      </w:pPr>
      <w:r>
        <w:rPr>
          <w:rFonts w:ascii="Liberation Sans" w:hAnsi="Liberation Sans" w:eastAsia="Liberation Sans"/>
        </w:rPr>
        <w:t>Aus Gründen der Klarheit verwenden wir die folgende Terminologie:</w:t>
      </w:r>
    </w:p>
    <w:p>
      <w:pPr>
        <w:pStyle w:val="ListBullet"/>
        <w:spacing w:after="40"/>
      </w:pPr>
      <w:r>
        <w:rPr>
          <w:rFonts w:ascii="Liberation Sans" w:hAnsi="Liberation Sans" w:eastAsia="Liberation Sans"/>
        </w:rPr>
        <w:t>dorsal statt „posterior“;</w:t>
      </w:r>
    </w:p>
    <w:p>
      <w:pPr>
        <w:pStyle w:val="ListBullet"/>
        <w:spacing w:after="40"/>
      </w:pPr>
      <w:r>
        <w:rPr>
          <w:rFonts w:ascii="Liberation Sans" w:hAnsi="Liberation Sans" w:eastAsia="Liberation Sans"/>
        </w:rPr>
        <w:t>ventral statt „anterior“;</w:t>
      </w:r>
    </w:p>
    <w:p>
      <w:pPr>
        <w:pStyle w:val="ListBullet"/>
        <w:spacing w:after="40"/>
      </w:pPr>
      <w:r>
        <w:rPr>
          <w:rFonts w:ascii="Liberation Sans" w:hAnsi="Liberation Sans" w:eastAsia="Liberation Sans"/>
        </w:rPr>
        <w:t>lateral statt „extern“;</w:t>
      </w:r>
    </w:p>
    <w:p>
      <w:pPr>
        <w:pStyle w:val="ListBullet"/>
        <w:spacing w:after="40"/>
      </w:pPr>
      <w:r>
        <w:rPr>
          <w:rFonts w:ascii="Liberation Sans" w:hAnsi="Liberation Sans" w:eastAsia="Liberation Sans"/>
        </w:rPr>
        <w:t>medial statt „intern“;</w:t>
      </w:r>
    </w:p>
    <w:p>
      <w:pPr>
        <w:pStyle w:val="ListBullet"/>
        <w:spacing w:after="40"/>
      </w:pPr>
      <w:r>
        <w:rPr>
          <w:rFonts w:ascii="Liberation Sans" w:hAnsi="Liberation Sans" w:eastAsia="Liberation Sans"/>
        </w:rPr>
        <w:t>kranial statt „nach oben“;</w:t>
      </w:r>
    </w:p>
    <w:p>
      <w:pPr>
        <w:pStyle w:val="ListBullet"/>
        <w:spacing w:after="40"/>
      </w:pPr>
      <w:r>
        <w:rPr>
          <w:rFonts w:ascii="Liberation Sans" w:hAnsi="Liberation Sans" w:eastAsia="Liberation Sans"/>
        </w:rPr>
        <w:t>kaudal statt „nach unten“;</w:t>
      </w:r>
    </w:p>
    <w:p>
      <w:pPr>
        <w:pStyle w:val="ListBullet"/>
        <w:spacing w:after="40"/>
      </w:pPr>
      <w:r>
        <w:rPr>
          <w:rFonts w:ascii="Liberation Sans" w:hAnsi="Liberation Sans" w:eastAsia="Liberation Sans"/>
        </w:rPr>
        <w:t>frontal statt „transversal“;</w:t>
      </w:r>
    </w:p>
    <w:p>
      <w:pPr>
        <w:pStyle w:val="ListBullet"/>
        <w:spacing w:after="40"/>
      </w:pPr>
      <w:r>
        <w:rPr>
          <w:rFonts w:ascii="Liberation Sans" w:hAnsi="Liberation Sans" w:eastAsia="Liberation Sans"/>
        </w:rPr>
        <w:t>sagittal statt „anteroposterior“.</w:t>
      </w:r>
    </w:p>
    <w:p>
      <w:pPr>
        <w:pStyle w:val="Heading1"/>
        <w:spacing w:before="160" w:after="60"/>
      </w:pPr>
      <w:r>
        <w:rPr>
          <w:rFonts w:ascii="Liberation Sans" w:hAnsi="Liberation Sans" w:eastAsia="Liberation Sans"/>
        </w:rPr>
        <w:t>Standardstruktur der Kapitel</w:t>
      </w:r>
    </w:p>
    <w:p>
      <w:pPr>
        <w:spacing w:after="80" w:line="250" w:lineRule="auto"/>
      </w:pPr>
      <w:r>
        <w:rPr>
          <w:rFonts w:ascii="Liberation Sans" w:hAnsi="Liberation Sans" w:eastAsia="Liberation Sans"/>
        </w:rPr>
        <w:t>Jedes den einzelnen Organen gewidmete Kapitel folgt einer einheitlichen Struktur:</w:t>
      </w:r>
    </w:p>
    <w:p>
      <w:pPr>
        <w:pStyle w:val="ListBullet"/>
        <w:spacing w:after="40"/>
      </w:pPr>
      <w:r>
        <w:rPr>
          <w:rFonts w:ascii="Liberation Sans" w:hAnsi="Liberation Sans" w:eastAsia="Liberation Sans"/>
        </w:rPr>
        <w:t>Einführung;</w:t>
      </w:r>
    </w:p>
    <w:p>
      <w:pPr>
        <w:pStyle w:val="ListBullet"/>
        <w:spacing w:after="40"/>
      </w:pPr>
      <w:r>
        <w:rPr>
          <w:rFonts w:ascii="Liberation Sans" w:hAnsi="Liberation Sans" w:eastAsia="Liberation Sans"/>
        </w:rPr>
        <w:t>Lokalisation;</w:t>
      </w:r>
    </w:p>
    <w:p>
      <w:pPr>
        <w:pStyle w:val="ListBullet"/>
        <w:spacing w:after="40"/>
      </w:pPr>
      <w:r>
        <w:rPr>
          <w:rFonts w:ascii="Liberation Sans" w:hAnsi="Liberation Sans" w:eastAsia="Liberation Sans"/>
        </w:rPr>
        <w:t>Anatomie;</w:t>
      </w:r>
    </w:p>
    <w:p>
      <w:pPr>
        <w:pStyle w:val="ListBullet"/>
        <w:spacing w:after="40"/>
      </w:pPr>
      <w:r>
        <w:rPr>
          <w:rFonts w:ascii="Liberation Sans" w:hAnsi="Liberation Sans" w:eastAsia="Liberation Sans"/>
        </w:rPr>
        <w:t>anatomische Beziehungen;</w:t>
      </w:r>
    </w:p>
    <w:p>
      <w:pPr>
        <w:pStyle w:val="ListBullet"/>
        <w:spacing w:after="40"/>
      </w:pPr>
      <w:r>
        <w:rPr>
          <w:rFonts w:ascii="Liberation Sans" w:hAnsi="Liberation Sans" w:eastAsia="Liberation Sans"/>
        </w:rPr>
        <w:t>Vaskularisation;</w:t>
      </w:r>
    </w:p>
    <w:p>
      <w:pPr>
        <w:pStyle w:val="ListBullet"/>
        <w:spacing w:after="40"/>
      </w:pPr>
      <w:r>
        <w:rPr>
          <w:rFonts w:ascii="Liberation Sans" w:hAnsi="Liberation Sans" w:eastAsia="Liberation Sans"/>
        </w:rPr>
        <w:t>Innervation;</w:t>
      </w:r>
    </w:p>
    <w:p>
      <w:pPr>
        <w:pStyle w:val="ListBullet"/>
        <w:spacing w:after="40"/>
      </w:pPr>
      <w:r>
        <w:rPr>
          <w:rFonts w:ascii="Liberation Sans" w:hAnsi="Liberation Sans" w:eastAsia="Liberation Sans"/>
        </w:rPr>
        <w:t>Physiologie;</w:t>
      </w:r>
    </w:p>
    <w:p>
      <w:pPr>
        <w:pStyle w:val="ListBullet"/>
        <w:spacing w:after="40"/>
      </w:pPr>
      <w:r>
        <w:rPr>
          <w:rFonts w:ascii="Liberation Sans" w:hAnsi="Liberation Sans" w:eastAsia="Liberation Sans"/>
        </w:rPr>
        <w:t>häufige Pathologien – Differenzial- und Ausschlussdiagnostik; Indikationen bei funktionellen Störungen;</w:t>
      </w:r>
    </w:p>
    <w:p>
      <w:pPr>
        <w:pStyle w:val="ListBullet"/>
        <w:spacing w:after="40"/>
      </w:pPr>
      <w:r>
        <w:rPr>
          <w:rFonts w:ascii="Liberation Sans" w:hAnsi="Liberation Sans" w:eastAsia="Liberation Sans"/>
        </w:rPr>
        <w:t>podale Reflexzonen – allgemeines Syndrom; lokoregionales Syndrom;</w:t>
      </w:r>
    </w:p>
    <w:p>
      <w:pPr>
        <w:pStyle w:val="ListBullet"/>
        <w:spacing w:after="40"/>
      </w:pPr>
      <w:r>
        <w:rPr>
          <w:rFonts w:ascii="Liberation Sans" w:hAnsi="Liberation Sans" w:eastAsia="Liberation Sans"/>
        </w:rPr>
        <w:t>viszero-somatische Beziehungen;</w:t>
      </w:r>
    </w:p>
    <w:p>
      <w:pPr>
        <w:pStyle w:val="ListBullet"/>
        <w:spacing w:after="40"/>
      </w:pPr>
      <w:r>
        <w:rPr>
          <w:rFonts w:ascii="Liberation Sans" w:hAnsi="Liberation Sans" w:eastAsia="Liberation Sans"/>
        </w:rPr>
        <w:t>viszero-emotionale Beziehungen;</w:t>
      </w:r>
    </w:p>
    <w:p>
      <w:pPr>
        <w:pStyle w:val="ListBullet"/>
        <w:spacing w:after="40"/>
      </w:pPr>
      <w:r>
        <w:rPr>
          <w:rFonts w:ascii="Liberation Sans" w:hAnsi="Liberation Sans" w:eastAsia="Liberation Sans"/>
        </w:rPr>
        <w:t>Empfehlungen.</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5"/>
      </w:rPr>
      <w:t>ROP – Einleitung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sz w:val="15"/>
      </w:rPr>
      <w:t>Medizinische deutsche Übersetzung | ROP-Terminologie beibehalten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Einleitung – ROP – Deutsche medizinische Übersetzung</dc:title>
  <dc:subject>Revised German medical translation</dc:subject>
  <dc:creator>OpenAI</dc:creator>
  <cp:keywords/>
  <dc:description>Fluency-revised German version preserving ROP terminology.</dc:description>
  <cp:lastModifiedBy/>
  <cp:revision>1</cp:revision>
  <dcterms:created xsi:type="dcterms:W3CDTF">2013-12-23T23:15:00Z</dcterms:created>
  <dcterms:modified xsi:type="dcterms:W3CDTF">2013-12-23T23:15:00Z</dcterms:modified>
  <cp:category/>
</cp:coreProperties>
</file>