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widowControl/>
        <w:jc w:val="center"/>
      </w:pPr>
      <w:r>
        <w:t>Chapitre 13 — Rate</w:t>
      </w:r>
    </w:p>
    <w:p>
      <w:pPr>
        <w:widowControl/>
        <w:spacing w:after="280"/>
        <w:jc w:val="center"/>
      </w:pPr>
      <w:r>
        <w:rPr>
          <w:i/>
          <w:sz w:val="22"/>
        </w:rPr>
        <w:t>Version lecteur — révisée</w:t>
      </w:r>
    </w:p>
    <w:p>
      <w:pPr>
        <w:pStyle w:val="Heading1"/>
        <w:keepNext/>
        <w:keepLines/>
        <w:widowControl/>
      </w:pPr>
      <w:r>
        <w:t>1. Présentation</w:t>
      </w:r>
    </w:p>
    <w:p>
      <w:pPr>
        <w:widowControl/>
      </w:pPr>
      <w:r>
        <w:t>La rate est un organe lymphoïde, mais c’est par voie sanguine, et non par voie lymphatique, qu’elle remplit ses fonctions. Elle n’a pas de canal excréteur. Ses artères ne s’anastomosent pas entre elles, ce qui rend une splénectomie partielle possible. Elle est très vascularisée, peut changer de volume, et son poids moyen est variable, souvent autour de 150 g chez l’adulte, avec d’importantes variations individuelles. Elle a une forme ovoïde, une couleur violacée et la taille approximative d’un poing, soit environ 10 à 12 cm de long.</w:t>
      </w:r>
    </w:p>
    <w:p>
      <w:pPr>
        <w:widowControl/>
      </w:pPr>
      <w:r>
        <w:t>Sa consistance molle et fragile la rend particulièrement vulnérable aux traumatismes. La capsule qui l’entoure contient des fibres musculaires lisses et se prolonge à l’intérieur de la rate en la compartimentant en plusieurs segments.</w:t>
      </w:r>
    </w:p>
    <w:p>
      <w:pPr>
        <w:widowControl/>
      </w:pPr>
      <w:r>
        <w:t>La rate fait partie du système réticulo-histiocytaire, anciennement appelé système réticulo-endothélial. Elle participe principalement à :</w:t>
      </w:r>
    </w:p>
    <w:p>
      <w:pPr>
        <w:widowControl/>
        <w:spacing w:after="40"/>
        <w:ind w:left="397" w:hanging="198"/>
      </w:pPr>
      <w:r>
        <w:t>• la phagocytose et l’épuration des cellules sanguines usées et des particules étrangères ;</w:t>
      </w:r>
    </w:p>
    <w:p>
      <w:pPr>
        <w:widowControl/>
        <w:spacing w:after="40"/>
        <w:ind w:left="397" w:hanging="198"/>
      </w:pPr>
      <w:r>
        <w:t>• la défense contre les infections, par son rôle immunitaire ;</w:t>
      </w:r>
    </w:p>
    <w:p>
      <w:pPr>
        <w:widowControl/>
        <w:spacing w:after="40"/>
        <w:ind w:left="397" w:hanging="198"/>
      </w:pPr>
      <w:r>
        <w:t>• la réserve et la filtration sanguines, notamment au niveau de la pulpe rouge ;</w:t>
      </w:r>
    </w:p>
    <w:p>
      <w:pPr>
        <w:widowControl/>
        <w:spacing w:after="40"/>
        <w:ind w:left="397" w:hanging="198"/>
      </w:pPr>
      <w:r>
        <w:t>• l’hématopoïèse pendant la vie fœtale ; chez l’adulte, cette fonction ne relève plus du fonctionnement courant et ne réapparaît que dans certains contextes pathologiques d’hématopoïèse extra-médullaire.</w:t>
      </w:r>
    </w:p>
    <w:p>
      <w:pPr>
        <w:pStyle w:val="Heading1"/>
        <w:keepNext/>
        <w:keepLines/>
        <w:widowControl/>
      </w:pPr>
      <w:r>
        <w:t>2. Situation</w:t>
      </w:r>
    </w:p>
    <w:p>
      <w:pPr>
        <w:widowControl/>
      </w:pPr>
      <w:r>
        <w:t>La rate est située sous l’hémi-coupole diaphragmatique gauche, dans la partie postéro-supérieure de l’abdomen (figure 13.1). Elle est recouverte par la partie latérale inférieure du thorax, au niveau des 9e, 10e et 11e côtes gauches. Son grand axe suit celui de la 10e côte gauche.</w:t>
      </w:r>
    </w:p>
    <w:p>
      <w:pPr>
        <w:widowControl/>
      </w:pPr>
      <w:r>
        <w:t>Elle se situe en arrière de la ligne axillaire antérieure, à environ 2 cm de l’apophyse transverse de la vertèbre Th10. Elle est entièrement intra-péritonéale, sauf au niveau de son hile.</w:t>
      </w:r>
    </w:p>
    <w:p>
      <w:pPr>
        <w:pStyle w:val="Heading1"/>
        <w:keepNext/>
        <w:keepLines/>
        <w:widowControl/>
      </w:pPr>
      <w:r>
        <w:t>3. Anatomie</w:t>
      </w:r>
    </w:p>
    <w:p>
      <w:pPr>
        <w:pStyle w:val="Heading2"/>
        <w:keepNext/>
        <w:keepLines/>
        <w:widowControl/>
      </w:pPr>
      <w:r>
        <w:t>3.1. Morphologie externe</w:t>
      </w:r>
    </w:p>
    <w:p>
      <w:pPr>
        <w:widowControl/>
      </w:pPr>
      <w:r>
        <w:t>La rate présente deux faces, trois bords et deux extrémités, ou pôles (figure 13.2).</w:t>
      </w:r>
    </w:p>
    <w:p>
      <w:pPr>
        <w:widowControl/>
        <w:spacing w:after="40"/>
        <w:ind w:left="397" w:hanging="198"/>
      </w:pPr>
      <w:r>
        <w:t>• Face latérale ou diaphragmatique : convexe, elle est moulée sur le diaphragme.</w:t>
      </w:r>
    </w:p>
    <w:p>
      <w:pPr>
        <w:widowControl/>
        <w:spacing w:after="40"/>
        <w:ind w:left="397" w:hanging="198"/>
      </w:pPr>
      <w:r>
        <w:t>• Face médiale ou viscérale : concave, elle contient le hile et présente deux versants.</w:t>
      </w:r>
    </w:p>
    <w:p>
      <w:pPr>
        <w:widowControl/>
        <w:spacing w:after="40"/>
        <w:ind w:left="652" w:hanging="198"/>
      </w:pPr>
      <w:r>
        <w:t>• Versant antérieur : il est en rapport avec la grande courbure de l’estomac.</w:t>
      </w:r>
    </w:p>
    <w:p>
      <w:pPr>
        <w:widowControl/>
        <w:spacing w:after="40"/>
        <w:ind w:left="652" w:hanging="198"/>
      </w:pPr>
      <w:r>
        <w:t>• Versant postérieur : il est en rapport avec le rein gauche.</w:t>
      </w:r>
    </w:p>
    <w:p>
      <w:pPr>
        <w:widowControl/>
        <w:spacing w:after="40"/>
        <w:ind w:left="397" w:hanging="198"/>
      </w:pPr>
      <w:r>
        <w:t>• Bord antérieur : il est crénelé par plusieurs échancrures.</w:t>
      </w:r>
    </w:p>
    <w:p>
      <w:pPr>
        <w:widowControl/>
        <w:spacing w:after="40"/>
        <w:ind w:left="397" w:hanging="198"/>
      </w:pPr>
      <w:r>
        <w:t>• Bord médial : il sépare la face médiale en ses deux versants.</w:t>
      </w:r>
    </w:p>
    <w:p>
      <w:pPr>
        <w:widowControl/>
        <w:spacing w:after="40"/>
        <w:ind w:left="397" w:hanging="198"/>
      </w:pPr>
      <w:r>
        <w:t>• Pôle supérieur : il est en rapport avec la jonction œsophago-cardio-tubérositaire de l’estomac.</w:t>
      </w:r>
    </w:p>
    <w:p>
      <w:pPr>
        <w:widowControl/>
        <w:spacing w:after="40"/>
        <w:ind w:left="397" w:hanging="198"/>
      </w:pPr>
      <w:r>
        <w:t>• Pôle inférieur : il est en rapport avec l’angle splénique du côlon.</w:t>
      </w:r>
    </w:p>
    <w:p>
      <w:pPr>
        <w:pStyle w:val="Heading2"/>
        <w:keepNext/>
        <w:keepLines/>
        <w:widowControl/>
      </w:pPr>
      <w:r>
        <w:t>3.2. Structure du parenchyme splénique</w:t>
      </w:r>
    </w:p>
    <w:p>
      <w:pPr>
        <w:widowControl/>
      </w:pPr>
      <w:r>
        <w:t>La rate est composée de deux grands types de tissus : la pulpe blanche et la pulpe rouge.</w:t>
      </w:r>
    </w:p>
    <w:p>
      <w:pPr>
        <w:widowControl/>
        <w:spacing w:after="40"/>
        <w:ind w:left="397" w:hanging="198"/>
      </w:pPr>
      <w:r>
        <w:t>• Pulpe blanche : elle est composée de tissu lymphoïde et participe à l’immunité.</w:t>
      </w:r>
    </w:p>
    <w:p>
      <w:pPr>
        <w:widowControl/>
        <w:spacing w:after="40"/>
        <w:ind w:left="397" w:hanging="198"/>
      </w:pPr>
      <w:r>
        <w:t>• Pulpe rouge : elle est impliquée dans la destruction des hématies usées ou malformées et des plaquettes détériorées.</w:t>
      </w:r>
    </w:p>
    <w:p>
      <w:pPr>
        <w:pStyle w:val="Heading2"/>
        <w:keepNext/>
        <w:keepLines/>
        <w:widowControl/>
      </w:pPr>
      <w:r>
        <w:t>3.3. Moyens de fixité</w:t>
      </w:r>
    </w:p>
    <w:p>
      <w:pPr>
        <w:widowControl/>
      </w:pPr>
      <w:r>
        <w:t>La rate est peu fixée par des replis péritonéaux, ce qui lui permet de suivre les mouvements du diaphragme (figure 13.3). Ces replis la relient :</w:t>
      </w:r>
    </w:p>
    <w:p>
      <w:pPr>
        <w:widowControl/>
        <w:spacing w:after="40"/>
        <w:ind w:left="397" w:hanging="198"/>
      </w:pPr>
      <w:r>
        <w:t>• à l’estomac, par le ligament gastrosplénique, antérieur au hile de la rate ;</w:t>
      </w:r>
    </w:p>
    <w:p>
      <w:pPr>
        <w:widowControl/>
        <w:spacing w:after="40"/>
        <w:ind w:left="397" w:hanging="198"/>
      </w:pPr>
      <w:r>
        <w:t>• au pancréas, par le ligament pancréaticosplénique, postérieur au hile de la rate ; la queue du pancréas se situe entre ces deux ligaments ;</w:t>
      </w:r>
    </w:p>
    <w:p>
      <w:pPr>
        <w:widowControl/>
        <w:spacing w:after="40"/>
        <w:ind w:left="397" w:hanging="198"/>
      </w:pPr>
      <w:r>
        <w:t>• au côlon, par le ligament phrénocolique, qui sert de plancher à la rate ;</w:t>
      </w:r>
    </w:p>
    <w:p>
      <w:pPr>
        <w:widowControl/>
        <w:spacing w:after="40"/>
        <w:ind w:left="397" w:hanging="198"/>
      </w:pPr>
      <w:r>
        <w:t>• au diaphragme, par le ligament phrénosplénique ou ligament suspenseur de la rate, qui s’oppose au glissement de la rate vers le bas ;</w:t>
      </w:r>
    </w:p>
    <w:p>
      <w:pPr>
        <w:widowControl/>
        <w:spacing w:after="40"/>
        <w:ind w:left="397" w:hanging="198"/>
      </w:pPr>
      <w:r>
        <w:t>• au rein gauche, par le ligament splénorénal ;</w:t>
      </w:r>
    </w:p>
    <w:p>
      <w:pPr>
        <w:widowControl/>
        <w:spacing w:after="40"/>
        <w:ind w:left="397" w:hanging="198"/>
      </w:pPr>
      <w:r>
        <w:t>• au pédicule vasculaire de la rate, qui participe également à son attache.</w:t>
      </w:r>
    </w:p>
    <w:p>
      <w:pPr>
        <w:pStyle w:val="Heading1"/>
        <w:keepNext/>
        <w:keepLines/>
        <w:widowControl/>
      </w:pPr>
      <w:r>
        <w:t>4. Rapports</w:t>
      </w:r>
    </w:p>
    <w:p>
      <w:pPr>
        <w:widowControl/>
        <w:spacing w:after="40"/>
        <w:ind w:left="397" w:hanging="198"/>
      </w:pPr>
      <w:r>
        <w:t>• Dorsalement : le diaphragme.</w:t>
      </w:r>
    </w:p>
    <w:p>
      <w:pPr>
        <w:widowControl/>
        <w:spacing w:after="40"/>
        <w:ind w:left="397" w:hanging="198"/>
      </w:pPr>
      <w:r>
        <w:t>• Ventralement : l’estomac.</w:t>
      </w:r>
    </w:p>
    <w:p>
      <w:pPr>
        <w:widowControl/>
        <w:spacing w:after="40"/>
        <w:ind w:left="397" w:hanging="198"/>
      </w:pPr>
      <w:r>
        <w:t>• Caudalement : l’angle splénique gauche.</w:t>
      </w:r>
    </w:p>
    <w:p>
      <w:pPr>
        <w:widowControl/>
        <w:spacing w:after="40"/>
        <w:ind w:left="397" w:hanging="198"/>
      </w:pPr>
      <w:r>
        <w:t>• Médialement : le rein gauche.</w:t>
      </w:r>
    </w:p>
    <w:p>
      <w:pPr>
        <w:widowControl/>
        <w:spacing w:after="40"/>
        <w:ind w:left="397" w:hanging="198"/>
      </w:pPr>
      <w:r>
        <w:t>• Au niveau du hile : la queue du pancréas.</w:t>
      </w:r>
    </w:p>
    <w:p>
      <w:pPr>
        <w:pStyle w:val="Heading1"/>
        <w:keepNext/>
        <w:keepLines/>
        <w:widowControl/>
      </w:pPr>
      <w:r>
        <w:t>5. Vascularisation</w:t>
      </w:r>
    </w:p>
    <w:p>
      <w:pPr>
        <w:pStyle w:val="Heading2"/>
        <w:keepNext/>
        <w:keepLines/>
        <w:widowControl/>
      </w:pPr>
      <w:r>
        <w:t>5.1. Vascularisation artérielle</w:t>
      </w:r>
    </w:p>
    <w:p>
      <w:pPr>
        <w:widowControl/>
      </w:pPr>
      <w:r>
        <w:t>L’artère splénique est la plus grosse branche du tronc cœliaque (figure 13.4). Son trajet sinueux longe le bord supérieur du pancréas, puis s’insinue entre les deux feuillets du ligament splénorénal avant de se diviser en plusieurs branches à partir du hile de la rate.</w:t>
      </w:r>
    </w:p>
    <w:p>
      <w:pPr>
        <w:widowControl/>
      </w:pPr>
      <w:r>
        <w:t>Les branches de l’artère splénique pénètrent dans la pulpe blanche, entourées des formations lymphoïdes. Elles se divisent ensuite dans la pulpe rouge en artérioles très fines, dites pénicillées, qui s’abouchent dans un réseau à mailles serrées de capillaires sinusoïdes. Ce réseau participe à la fonction de filtration et d’épuration vis-à-vis des agents nocifs et des hématies anormales ou usées, avant le drainage vers les veines efférentes.</w:t>
      </w:r>
    </w:p>
    <w:p>
      <w:pPr>
        <w:pStyle w:val="Heading2"/>
        <w:keepNext/>
        <w:keepLines/>
        <w:widowControl/>
      </w:pPr>
      <w:r>
        <w:t>5.2. Vascularisation veineuse</w:t>
      </w:r>
    </w:p>
    <w:p>
      <w:pPr>
        <w:widowControl/>
      </w:pPr>
      <w:r>
        <w:t>Plusieurs veines constituent la veine splénique, qui longe l’arrière de la queue et du corps du pancréas. Elle reçoit la veine mésentérique inférieure et s’unit à la veine mésentérique supérieure pour constituer la veine porte (figure 11.5).</w:t>
      </w:r>
    </w:p>
    <w:p>
      <w:pPr>
        <w:pStyle w:val="Heading1"/>
        <w:keepNext/>
        <w:keepLines/>
        <w:widowControl/>
      </w:pPr>
      <w:r>
        <w:t>6. Innervation</w:t>
      </w:r>
    </w:p>
    <w:p>
      <w:pPr>
        <w:widowControl/>
      </w:pPr>
      <w:r>
        <w:t>La rate reçoit une innervation autonome à dominante sympathique, issue de l’étage médullaire Th6-Th9. Les fibres gagnent le plexus cœliaque, puis suivent le pédicule splénique et les branches de l’artère splénique jusqu’au hile et au parenchyme.</w:t>
      </w:r>
    </w:p>
    <w:p>
      <w:pPr>
        <w:widowControl/>
      </w:pPr>
      <w:r>
        <w:t>Dans la lecture clinique ROP, l’intérêt pratique est de ne pas isoler la rate de son étage neuro-végétatif : dernières vertèbres thoraciques, articulations costo-transversaires, plexus cœliaque, diaphragme gauche et pédicule splénique forment une même zone d’écoute. La composante vagale est décrite de façon plus indirecte selon les sources ; en pratique, le plexus cœliaque reste le repère central.</w:t>
      </w:r>
    </w:p>
    <w:p>
      <w:pPr>
        <w:pStyle w:val="Heading1"/>
        <w:keepNext/>
        <w:keepLines/>
        <w:widowControl/>
      </w:pPr>
      <w:r>
        <w:t>7. Physiologie</w:t>
      </w:r>
    </w:p>
    <w:p>
      <w:pPr>
        <w:widowControl/>
      </w:pPr>
      <w:r>
        <w:t>La rate est constituée de pulpe blanche et de pulpe rouge, dont les fonctions sont complémentaires.</w:t>
      </w:r>
    </w:p>
    <w:p>
      <w:pPr>
        <w:widowControl/>
        <w:spacing w:after="40"/>
        <w:ind w:left="397" w:hanging="198"/>
      </w:pPr>
      <w:r>
        <w:t>• Pulpe blanche : elle est composée de cellules lymphoïdes impliquées dans la lutte contre les infections, notamment les lymphocytes T et B, ainsi que les macrophages, qui phagocytent les débris cellulaires et les agents pathogènes.</w:t>
      </w:r>
    </w:p>
    <w:p>
      <w:pPr>
        <w:widowControl/>
        <w:spacing w:after="40"/>
        <w:ind w:left="397" w:hanging="198"/>
      </w:pPr>
      <w:r>
        <w:t>• Pulpe rouge : elle récupère le fer, qui sera dirigé vers le foie puis réutilisé par la moelle osseuse pour la fabrication de l’hémoglobine. Elle participe à la filtration du sang et à l’élimination des hématies âgées ou altérées.</w:t>
      </w:r>
    </w:p>
    <w:p>
      <w:pPr>
        <w:widowControl/>
      </w:pPr>
      <w:r>
        <w:t>La rate est impliquée dans plusieurs grandes fonctions :</w:t>
      </w:r>
    </w:p>
    <w:p>
      <w:pPr>
        <w:widowControl/>
        <w:spacing w:after="40"/>
        <w:ind w:left="397" w:hanging="198"/>
      </w:pPr>
      <w:r>
        <w:t>• immunité et phagocytose des agents pathogènes ;</w:t>
      </w:r>
    </w:p>
    <w:p>
      <w:pPr>
        <w:widowControl/>
        <w:spacing w:after="40"/>
        <w:ind w:left="397" w:hanging="198"/>
      </w:pPr>
      <w:r>
        <w:t>• hémolyse physiologique par filtration et élimination des débris cellulaires, des hématies usées, des corps étrangers et des toxines ;</w:t>
      </w:r>
    </w:p>
    <w:p>
      <w:pPr>
        <w:widowControl/>
        <w:spacing w:after="40"/>
        <w:ind w:left="397" w:hanging="198"/>
      </w:pPr>
      <w:r>
        <w:t>• réserve et régulation d’une partie des éléments figurés du sang, notamment des plaquettes ;</w:t>
      </w:r>
    </w:p>
    <w:p>
      <w:pPr>
        <w:widowControl/>
        <w:spacing w:after="40"/>
        <w:ind w:left="397" w:hanging="198"/>
      </w:pPr>
      <w:r>
        <w:t>• hématopoïèse pendant la vie fœtale ; chez l’adulte, cette fonction ne constitue pas une fonction splénique normale de premier plan.</w:t>
      </w:r>
    </w:p>
    <w:p>
      <w:pPr>
        <w:pStyle w:val="Heading1"/>
        <w:keepNext/>
        <w:keepLines/>
        <w:widowControl/>
      </w:pPr>
      <w:r>
        <w:t>8. Pathologies courantes</w:t>
      </w:r>
    </w:p>
    <w:p>
      <w:pPr>
        <w:pStyle w:val="Heading2"/>
        <w:keepNext/>
        <w:keepLines/>
        <w:widowControl/>
      </w:pPr>
      <w:r>
        <w:t>8.1. Diagnostic d’exclusion</w:t>
      </w:r>
    </w:p>
    <w:p>
      <w:pPr>
        <w:pStyle w:val="Heading2"/>
        <w:keepNext/>
        <w:keepLines/>
        <w:widowControl/>
      </w:pPr>
      <w:r>
        <w:t>8.2. Splénomégalie</w:t>
      </w:r>
    </w:p>
    <w:p>
      <w:pPr>
        <w:widowControl/>
      </w:pPr>
      <w:r>
        <w:t>La splénomégalie correspond à une augmentation anormale du volume de la rate. Normalement, la rate n’est pas palpable lors de l’examen clinique courant, même si de rares variations peuvent exister chez certains sujets minces. Une rate perçue sous le rebord costal gauche, surtout si elle descend à l’inspiration, doit conduire à une évaluation médicale.</w:t>
      </w:r>
    </w:p>
    <w:p>
      <w:pPr>
        <w:widowControl/>
      </w:pPr>
      <w:r>
        <w:t>Les principales causes ou situations associées à une splénomégalie peuvent être regroupées en plusieurs familles :</w:t>
      </w:r>
    </w:p>
    <w:p>
      <w:pPr>
        <w:widowControl/>
        <w:spacing w:after="40"/>
        <w:ind w:left="397" w:hanging="198"/>
      </w:pPr>
      <w:r>
        <w:t>• causes infectieuses : mononucléose à virus d’Epstein-Barr, hépatites virales, parasitoses ;</w:t>
      </w:r>
    </w:p>
    <w:p>
      <w:pPr>
        <w:widowControl/>
        <w:spacing w:after="40"/>
        <w:ind w:left="397" w:hanging="198"/>
      </w:pPr>
      <w:r>
        <w:t>• causes hépatiques et portales : maladie hépatique chronique, hypertension portale, alcoolisme lorsqu’il s’intègre dans une atteinte hépatique ;</w:t>
      </w:r>
    </w:p>
    <w:p>
      <w:pPr>
        <w:widowControl/>
        <w:spacing w:after="40"/>
        <w:ind w:left="397" w:hanging="198"/>
      </w:pPr>
      <w:r>
        <w:t>• causes hématologiques : anémies hémolytiques, leucémies, lymphomes, dont certains lymphomes de l’adolescent ;</w:t>
      </w:r>
    </w:p>
    <w:p>
      <w:pPr>
        <w:widowControl/>
        <w:spacing w:after="40"/>
        <w:ind w:left="397" w:hanging="198"/>
      </w:pPr>
      <w:r>
        <w:t>• causes inflammatoires, immunitaires ou infiltratives, selon le contexte clinique ;</w:t>
      </w:r>
    </w:p>
    <w:p>
      <w:pPr>
        <w:widowControl/>
        <w:spacing w:after="40"/>
        <w:ind w:left="397" w:hanging="198"/>
      </w:pPr>
      <w:r>
        <w:t>• hépatomégalie ou atteinte du système porte associée.</w:t>
      </w:r>
    </w:p>
    <w:p>
      <w:pPr>
        <w:widowControl/>
      </w:pPr>
      <w:r>
        <w:t>Plusieurs signes d’alerte doivent renforcer l’orientation médicale :</w:t>
      </w:r>
    </w:p>
    <w:p>
      <w:pPr>
        <w:widowControl/>
        <w:spacing w:after="40"/>
        <w:ind w:left="397" w:hanging="198"/>
      </w:pPr>
      <w:r>
        <w:t>• ganglions rétro-claviculaires ou latéro-claviculaires douloureux ;</w:t>
      </w:r>
    </w:p>
    <w:p>
      <w:pPr>
        <w:widowControl/>
        <w:spacing w:after="40"/>
        <w:ind w:left="397" w:hanging="198"/>
      </w:pPr>
      <w:r>
        <w:t>• pâleur intense, lèvres décolorées, fatigue inhabituelle ;</w:t>
      </w:r>
    </w:p>
    <w:p>
      <w:pPr>
        <w:widowControl/>
        <w:spacing w:after="40"/>
        <w:ind w:left="397" w:hanging="198"/>
      </w:pPr>
      <w:r>
        <w:t>• sueurs nocturnes non digestives ;</w:t>
      </w:r>
    </w:p>
    <w:p>
      <w:pPr>
        <w:widowControl/>
        <w:spacing w:after="40"/>
        <w:ind w:left="397" w:hanging="198"/>
      </w:pPr>
      <w:r>
        <w:t>• pétéchies ou signes de saignement ;</w:t>
      </w:r>
    </w:p>
    <w:p>
      <w:pPr>
        <w:widowControl/>
        <w:spacing w:after="40"/>
        <w:ind w:left="397" w:hanging="198"/>
      </w:pPr>
      <w:r>
        <w:t>• douleurs spontanées costales ou dorsales chez l’enfant ou l’adolescent après des efforts bénins ;</w:t>
      </w:r>
    </w:p>
    <w:p>
      <w:pPr>
        <w:widowControl/>
        <w:spacing w:after="40"/>
        <w:ind w:left="397" w:hanging="198"/>
      </w:pPr>
      <w:r>
        <w:t>• cervicalgies de l’enfant ou de l’adolescent associées à un contexte infectieux ou à des signes généraux.</w:t>
      </w:r>
    </w:p>
    <w:p>
      <w:pPr>
        <w:widowControl/>
      </w:pPr>
      <w:r>
        <w:t>La rupture spontanée de la rate est rare, mais elle peut survenir sur une rate augmentée de volume ou fragilisée. Elle relève de l’urgence médicale.</w:t>
      </w:r>
    </w:p>
    <w:p>
      <w:pPr>
        <w:pStyle w:val="Heading2"/>
        <w:keepNext/>
        <w:keepLines/>
        <w:widowControl/>
      </w:pPr>
      <w:r>
        <w:t>8.3. Traumatismes</w:t>
      </w:r>
    </w:p>
    <w:p>
      <w:pPr>
        <w:widowControl/>
      </w:pPr>
      <w:r>
        <w:t>La rate est très vulnérable aux traumatismes directs ou indirects en raison de sa fragilité et de sa forte vascularisation.</w:t>
      </w:r>
    </w:p>
    <w:p>
      <w:pPr>
        <w:widowControl/>
        <w:spacing w:after="40"/>
        <w:ind w:left="397" w:hanging="198"/>
      </w:pPr>
      <w:r>
        <w:t>• Traumatismes directs : fractures costales inférieures gauches ; choc abdominal par coup de poing, guidon de vélo ou de moto, ou volant de voiture.</w:t>
      </w:r>
    </w:p>
    <w:p>
      <w:pPr>
        <w:widowControl/>
        <w:spacing w:after="40"/>
        <w:ind w:left="397" w:hanging="198"/>
      </w:pPr>
      <w:r>
        <w:t>• Traumatismes indirects : accidents de voiture, chutes, mécanismes de décélération ou forces collisionnelles peuvent entraîner une lésion ou une rupture splénique, même en l’absence de plaie apparente ou de choc très localisé.</w:t>
      </w:r>
    </w:p>
    <w:p>
      <w:pPr>
        <w:widowControl/>
      </w:pPr>
      <w:r>
        <w:t>Une douleur de l’hypochondre gauche ou des dernières côtes gauches après traumatisme, surtout si elle s’accompagne de malaise, pâleur, hypotension, douleur d’épaule gauche ou fatigue brutale, doit être considérée comme un signe d’alerte et orientée médicalement.</w:t>
      </w:r>
    </w:p>
    <w:p>
      <w:pPr>
        <w:pStyle w:val="Heading2"/>
        <w:keepNext/>
        <w:keepLines/>
        <w:widowControl/>
      </w:pPr>
      <w:r>
        <w:t>8.4. Mononucléose</w:t>
      </w:r>
    </w:p>
    <w:p>
      <w:pPr>
        <w:widowControl/>
      </w:pPr>
      <w:r>
        <w:t>La mononucléose, parfois appelée « maladie du baiser » parce qu’elle peut être transmise par la salive, est provoquée par le virus d’Epstein-Barr, de la même famille que le virus de l’herpès. Elle touche particulièrement les adolescents et les jeunes adultes.</w:t>
      </w:r>
    </w:p>
    <w:p>
      <w:pPr>
        <w:widowControl/>
      </w:pPr>
      <w:r>
        <w:t>Les symptômes peuvent comprendre :</w:t>
      </w:r>
    </w:p>
    <w:p>
      <w:pPr>
        <w:widowControl/>
        <w:spacing w:after="40"/>
        <w:ind w:left="397" w:hanging="198"/>
      </w:pPr>
      <w:r>
        <w:t>• maux de gorge et amygdalite ;</w:t>
      </w:r>
    </w:p>
    <w:p>
      <w:pPr>
        <w:widowControl/>
        <w:spacing w:after="40"/>
        <w:ind w:left="397" w:hanging="198"/>
      </w:pPr>
      <w:r>
        <w:t>• fatigue intense ;</w:t>
      </w:r>
    </w:p>
    <w:p>
      <w:pPr>
        <w:widowControl/>
        <w:spacing w:after="40"/>
        <w:ind w:left="397" w:hanging="198"/>
      </w:pPr>
      <w:r>
        <w:t>• hypotension systolique ;</w:t>
      </w:r>
    </w:p>
    <w:p>
      <w:pPr>
        <w:widowControl/>
        <w:spacing w:after="40"/>
        <w:ind w:left="397" w:hanging="198"/>
      </w:pPr>
      <w:r>
        <w:t>• présence ganglionnaire ;</w:t>
      </w:r>
    </w:p>
    <w:p>
      <w:pPr>
        <w:widowControl/>
        <w:spacing w:after="40"/>
        <w:ind w:left="397" w:hanging="198"/>
      </w:pPr>
      <w:r>
        <w:t>• dorsalgies provoquées sans activité particulière, y compris la nuit ;</w:t>
      </w:r>
    </w:p>
    <w:p>
      <w:pPr>
        <w:widowControl/>
        <w:spacing w:after="40"/>
        <w:ind w:left="397" w:hanging="198"/>
      </w:pPr>
      <w:r>
        <w:t>• douleur à la compression des côtes inférieures gauches et points de côté gauches à l’effort.</w:t>
      </w:r>
    </w:p>
    <w:p>
      <w:pPr>
        <w:widowControl/>
      </w:pPr>
      <w:r>
        <w:t>La mononucléose peut s’accompagner d’une augmentation du volume de la rate. Les sports de contact, efforts violents et charges lourdes doivent être évités jusqu’à récupération clinique et avis médical, afin de limiter le risque de rupture splénique.</w:t>
      </w:r>
    </w:p>
    <w:p>
      <w:pPr>
        <w:pStyle w:val="Heading2"/>
        <w:keepNext/>
        <w:keepLines/>
        <w:widowControl/>
      </w:pPr>
      <w:r>
        <w:t>8.5. Indications : troubles fonctionnels</w:t>
      </w:r>
    </w:p>
    <w:p>
      <w:pPr>
        <w:widowControl/>
      </w:pPr>
      <w:r>
        <w:t>La prudence s’impose, mais l’action à distance permet d’éviter une intervention agressive sur un organe fragile. Les indications fonctionnelles évoquées dans le cadre ROP comprennent :</w:t>
      </w:r>
    </w:p>
    <w:p>
      <w:pPr>
        <w:widowControl/>
        <w:spacing w:after="40"/>
        <w:ind w:left="397" w:hanging="198"/>
      </w:pPr>
      <w:r>
        <w:t>• déficit immunitaire avec infections à répétition de la sphère ORL, en particulier chez les adolescents ;</w:t>
      </w:r>
    </w:p>
    <w:p>
      <w:pPr>
        <w:widowControl/>
        <w:spacing w:after="40"/>
        <w:ind w:left="397" w:hanging="198"/>
      </w:pPr>
      <w:r>
        <w:t>• grande fatigue ;</w:t>
      </w:r>
    </w:p>
    <w:p>
      <w:pPr>
        <w:widowControl/>
        <w:spacing w:after="40"/>
        <w:ind w:left="397" w:hanging="198"/>
      </w:pPr>
      <w:r>
        <w:t>• suites d’hépatite ;</w:t>
      </w:r>
    </w:p>
    <w:p>
      <w:pPr>
        <w:widowControl/>
        <w:spacing w:after="40"/>
        <w:ind w:left="397" w:hanging="198"/>
      </w:pPr>
      <w:r>
        <w:t>• diarrhée ;</w:t>
      </w:r>
    </w:p>
    <w:p>
      <w:pPr>
        <w:widowControl/>
        <w:spacing w:after="40"/>
        <w:ind w:left="397" w:hanging="198"/>
      </w:pPr>
      <w:r>
        <w:t>• suites de mononucléose chez les adolescents ;</w:t>
      </w:r>
    </w:p>
    <w:p>
      <w:pPr>
        <w:widowControl/>
        <w:spacing w:after="40"/>
        <w:ind w:left="397" w:hanging="198"/>
      </w:pPr>
      <w:r>
        <w:t>• séquelles de traumatisme thoraco-abdominal, de fractures costales gauches inférieures ou de whiplash ;</w:t>
      </w:r>
    </w:p>
    <w:p>
      <w:pPr>
        <w:widowControl/>
        <w:spacing w:after="40"/>
        <w:ind w:left="397" w:hanging="198"/>
      </w:pPr>
      <w:r>
        <w:t>• faiblesse musculaire avec risque d’entorse, membres lourds, surtout au niveau des jambes ;</w:t>
      </w:r>
    </w:p>
    <w:p>
      <w:pPr>
        <w:widowControl/>
        <w:spacing w:after="40"/>
        <w:ind w:left="397" w:hanging="198"/>
      </w:pPr>
      <w:r>
        <w:t>• point de côté gauche déclenché par une activité physique chez les adolescents.</w:t>
      </w:r>
    </w:p>
    <w:p>
      <w:pPr>
        <w:pStyle w:val="Heading1"/>
        <w:keepNext/>
        <w:keepLines/>
        <w:widowControl/>
      </w:pPr>
      <w:r>
        <w:t>9. Relations viscéro-somatiques</w:t>
      </w:r>
    </w:p>
    <w:p>
      <w:pPr>
        <w:widowControl/>
      </w:pPr>
      <w:r>
        <w:t>Les relations viscéro-somatiques associées à la rate concernent principalement les vertèbres Th9, Th10 et Th11, les articulations costo-transversaires correspondantes et les dernières côtes gauches.</w:t>
      </w:r>
    </w:p>
    <w:p>
      <w:pPr>
        <w:widowControl/>
      </w:pPr>
      <w:r>
        <w:t>La rate est suspendue sous la coupole diaphragmatique gauche et suit les mouvements respiratoires. Dans une lecture clinique ROP, ses tensions peuvent donc être recherchées dans le thorax postéro-inférieur gauche, le diaphragme gauche, l’angle splénique du côlon et la charnière costo-vertébrale basse. Cette relation ne constitue pas un diagnostic d’organe ; elle sert surtout de fil conducteur lorsque des douleurs costales gauches, une fatigue post-infectieuse ou un point de côté gauche apparaissent sans cause mécanique évidente.</w:t>
      </w:r>
    </w:p>
    <w:p>
      <w:pPr>
        <w:pStyle w:val="Heading1"/>
        <w:keepNext/>
        <w:keepLines/>
        <w:widowControl/>
      </w:pPr>
      <w:r>
        <w:t>10. Relations viscéro-émotionnelles</w:t>
      </w:r>
    </w:p>
    <w:p>
      <w:pPr>
        <w:widowControl/>
      </w:pPr>
      <w:r>
        <w:t>La rate et le pancréas sont difficiles à différencier sur le plan émotionnel (voir chapitre 12, Pancréas).</w:t>
      </w:r>
    </w:p>
    <w:p>
      <w:pPr>
        <w:widowControl/>
      </w:pPr>
      <w:r>
        <w:t>Dans la lecture clinique et symbolique propre à la ROP, la rate est décrite comme un centre énergétique du ventre. Certains tableaux peuvent évoquer une tonalité de pessimisme profond, non simplement réactionnel, avec démotivation, rumination, angoisse pharyngée ou troubles de l’endormissement.</w:t>
      </w:r>
    </w:p>
    <w:p>
      <w:pPr>
        <w:widowControl/>
      </w:pPr>
      <w:r>
        <w:t>Cette description ne doit pas être lue comme un diagnostic psychologique. Elle indique plutôt une qualité d’écoute : fatigue profonde, repli, chagrin ancien, remords ou sentiment de porter une charge excessive. Dans ce cadre, le travail ROP cherche à accompagner la personne avec prudence, sans réduire son histoire à une typologie viscérale.</w:t>
      </w:r>
    </w:p>
    <w:p>
      <w:pPr>
        <w:pStyle w:val="Heading1"/>
        <w:keepNext/>
        <w:keepLines/>
        <w:widowControl/>
      </w:pPr>
      <w:r>
        <w:t>11. Conseils</w:t>
      </w:r>
    </w:p>
    <w:p>
      <w:pPr>
        <w:widowControl/>
        <w:spacing w:after="40"/>
        <w:ind w:left="397" w:hanging="198"/>
      </w:pPr>
      <w:r>
        <w:t>• Toute suspicion de splénomégalie, de traumatisme splénique, de mononucléose symptomatique ou de signes généraux associés doit conduire à une orientation médicale.</w:t>
      </w:r>
    </w:p>
    <w:p>
      <w:pPr>
        <w:widowControl/>
        <w:spacing w:after="40"/>
        <w:ind w:left="397" w:hanging="198"/>
      </w:pPr>
      <w:r>
        <w:t>• Après une mononucléose ou une suspicion d’augmentation du volume de la rate, éviter les sports de contact, les efforts violents et les charges lourdes jusqu’à récupération et avis médical.</w:t>
      </w:r>
    </w:p>
    <w:p>
      <w:pPr>
        <w:widowControl/>
        <w:spacing w:after="40"/>
        <w:ind w:left="397" w:hanging="198"/>
      </w:pPr>
      <w:r>
        <w:t>• Le travail ROP autour de la rate doit rester prudent et non agressif, compte tenu de la fragilité et de la forte vascularisation de l’organe.</w:t>
      </w:r>
    </w:p>
    <w:p>
      <w:pPr>
        <w:widowControl/>
        <w:spacing w:after="40"/>
        <w:ind w:left="397" w:hanging="198"/>
      </w:pPr>
      <w:r>
        <w:t>• Après un épisode infectieux, un traumatisme thoraco-abdominal ou des douleurs costales gauches à l’effort, la reprise d’activité doit rester progressive et adaptée au contexte clinique.</w:t>
      </w:r>
    </w:p>
    <w:p>
      <w:pPr>
        <w:pStyle w:val="Heading1"/>
      </w:pPr>
      <w:r>
        <w:t>12. Zones réflexes podales</w:t>
      </w:r>
    </w:p>
    <w:p>
      <w:pPr>
        <w:shd w:fill="EEF5F5"/>
        <w:spacing w:before="80" w:after="100"/>
        <w:ind w:left="142" w:right="142"/>
      </w:pPr>
      <w:r>
        <w:rPr>
          <w:b/>
        </w:rPr>
        <w:t xml:space="preserve">PRÉCISION MÉTHODOLOGIQUE — </w:t>
      </w:r>
      <w:r>
        <w:t>Les localisations décrites ci-dessous appartiennent à la cartographie clinique de la ROP. Elles ne constituent pas une projection anatomique directe de la rate, de ses vaisseaux ou de ses voies nerveuses sur le pied. Pour la rate, le protocole associe la zone spécifique de l’organe, la régulation neuro-végétative, l’environnement régional abdominal et l’intégration viscéro-somatique et neuro-immunitaire.</w:t>
      </w:r>
    </w:p>
    <w:p>
      <w:pPr>
        <w:pStyle w:val="Heading2"/>
      </w:pPr>
      <w:r>
        <w:t>12.1. Repère propre à la rate</w:t>
      </w:r>
    </w:p>
    <w:p>
      <w:r>
        <w:rPr>
          <w:i w:val="0"/>
        </w:rPr>
        <w:t>Le repère podal spécifique de la rate est conservé. Dans la cartographie ROP, il est recherché à partir de l’angle splénique du côlon : celui-ci se situe médialement et au-dessus de la styloïde du 5e métatarsien gauche. La zone de la rate se place sur ce territoire, sous l’extrémité gauche de la zone de l’hémi-coupole diaphragmatique gauche.</w:t>
      </w:r>
    </w:p>
    <w:p>
      <w:pPr>
        <w:shd w:fill="FFF4D8"/>
        <w:spacing w:before="80" w:after="100"/>
        <w:ind w:left="142" w:right="142"/>
      </w:pPr>
      <w:r>
        <w:rPr>
          <w:b/>
        </w:rPr>
        <w:t xml:space="preserve">PRINCIPE ROP — </w:t>
      </w:r>
      <w:r>
        <w:t>La zone splénique constitue la cible spécifique de l’organe. Les structures voisines ne sont associées que si les tests et le contexte clinique le justifient.</w:t>
      </w:r>
    </w:p>
    <w:p>
      <w:pPr>
        <w:pStyle w:val="Heading2"/>
      </w:pPr>
      <w:r>
        <w:t>12.2. Niveau 1 — Régulation des centres supérieurs</w:t>
      </w:r>
    </w:p>
    <w:p>
      <w:r>
        <w:rPr>
          <w:i w:val="0"/>
        </w:rPr>
        <w:t>Le Niveau 1 reste court et optionnel. Il peut être intégré dans certains tableaux de fatigue prolongée, récupération post-infectieuse, stress important ou trouble du sommeil lorsque le contexte général le justifie.</w:t>
      </w:r>
    </w:p>
    <w:p>
      <w:pPr>
        <w:pStyle w:val="ListParagraph"/>
        <w:spacing w:after="32"/>
        <w:ind w:left="255" w:hanging="142"/>
      </w:pPr>
      <w:r>
        <w:t xml:space="preserve">• </w:t>
      </w:r>
      <w:r>
        <w:t>Zones réflexes occipitales.</w:t>
      </w:r>
    </w:p>
    <w:p>
      <w:pPr>
        <w:pStyle w:val="ListParagraph"/>
        <w:spacing w:after="32"/>
        <w:ind w:left="255" w:hanging="142"/>
      </w:pPr>
      <w:r>
        <w:t xml:space="preserve">• </w:t>
      </w:r>
      <w:r>
        <w:t>Tronc cérébral et centres d’intégration.</w:t>
      </w:r>
    </w:p>
    <w:p>
      <w:pPr>
        <w:pStyle w:val="ListParagraph"/>
        <w:spacing w:after="32"/>
        <w:ind w:left="255" w:hanging="142"/>
      </w:pPr>
      <w:r>
        <w:t xml:space="preserve">• </w:t>
      </w:r>
      <w:r>
        <w:t>Hypothalamus et régulation générale de l’adaptation.</w:t>
      </w:r>
    </w:p>
    <w:p>
      <w:pPr>
        <w:spacing w:after="80"/>
      </w:pPr>
      <w:r>
        <w:rPr>
          <w:i/>
          <w:color w:val="5E666A"/>
        </w:rPr>
        <w:t>Cf. chapitre 3 — Système nerveux central.</w:t>
      </w:r>
    </w:p>
    <w:p>
      <w:pPr>
        <w:shd w:fill="F3EEE4"/>
        <w:spacing w:before="80" w:after="100"/>
        <w:ind w:left="142" w:right="142"/>
      </w:pPr>
      <w:r>
        <w:rPr>
          <w:b/>
        </w:rPr>
        <w:t xml:space="preserve">INTÉRÊT EN ROP — </w:t>
      </w:r>
      <w:r>
        <w:t>Ce niveau correspond à une préparation générale lorsque le contexte neuro-immunitaire et adaptatif paraît pertinent. Il ne suppose pas l’existence d’une voie spécifique et directe « cerveau-rate ».</w:t>
      </w:r>
    </w:p>
    <w:p>
      <w:pPr>
        <w:pStyle w:val="Heading2"/>
      </w:pPr>
      <w:r>
        <w:t>12.3. Niveau 2 — Régulation neuro-végétative et adaptation</w:t>
      </w:r>
    </w:p>
    <w:p>
      <w:r>
        <w:rPr>
          <w:i w:val="0"/>
        </w:rPr>
        <w:t>La rate reçoit une innervation autonome à dominante sympathique. Dans le chapitre, cette organisation est décrite autour des étages Th6-Th9, avec passage par le plexus cœliaque puis le pédicule splénique.</w:t>
      </w:r>
    </w:p>
    <w:p>
      <w:pPr>
        <w:pStyle w:val="ListParagraph"/>
        <w:spacing w:after="32"/>
        <w:ind w:left="255" w:hanging="142"/>
      </w:pPr>
      <w:r>
        <w:t xml:space="preserve">• </w:t>
      </w:r>
      <w:r>
        <w:t>Sympathique thoracique Th6-Th9.</w:t>
      </w:r>
    </w:p>
    <w:p>
      <w:pPr>
        <w:pStyle w:val="ListParagraph"/>
        <w:spacing w:after="32"/>
        <w:ind w:left="255" w:hanging="142"/>
      </w:pPr>
      <w:r>
        <w:t xml:space="preserve">• </w:t>
      </w:r>
      <w:r>
        <w:t>Chaîne sympathique thoracique correspondante.</w:t>
      </w:r>
    </w:p>
    <w:p>
      <w:pPr>
        <w:pStyle w:val="ListParagraph"/>
        <w:spacing w:after="32"/>
        <w:ind w:left="255" w:hanging="142"/>
      </w:pPr>
      <w:r>
        <w:t xml:space="preserve">• </w:t>
      </w:r>
      <w:r>
        <w:t>Plexus cœliaque.</w:t>
      </w:r>
    </w:p>
    <w:p>
      <w:pPr>
        <w:pStyle w:val="ListParagraph"/>
        <w:spacing w:after="32"/>
        <w:ind w:left="255" w:hanging="142"/>
      </w:pPr>
      <w:r>
        <w:t xml:space="preserve">• </w:t>
      </w:r>
      <w:r>
        <w:t>Pédicule splénique comme interface régionale vasculo-nerveuse.</w:t>
      </w:r>
    </w:p>
    <w:p>
      <w:r>
        <w:rPr>
          <w:i w:val="0"/>
        </w:rPr>
        <w:t>Le nerf vague n’est pas retenu dans la séquence standard de la rate. Selon le contexte, le foie et le système porte peuvent être associés comme soutiens fonctionnels, mais ils ne constituent pas une étape obligatoire.</w:t>
      </w:r>
    </w:p>
    <w:p>
      <w:pPr>
        <w:spacing w:after="80"/>
      </w:pPr>
      <w:r>
        <w:rPr>
          <w:i/>
          <w:color w:val="5E666A"/>
        </w:rPr>
        <w:t>Cf. chapitre 4 — Système nerveux autonome ; cf. chapitre 8 — Diaphragme.</w:t>
      </w:r>
    </w:p>
    <w:p>
      <w:pPr>
        <w:shd w:fill="F3EEE4"/>
        <w:spacing w:before="80" w:after="100"/>
        <w:ind w:left="142" w:right="142"/>
      </w:pPr>
      <w:r>
        <w:rPr>
          <w:b/>
        </w:rPr>
        <w:t xml:space="preserve">INTÉRÊT EN ROP — </w:t>
      </w:r>
      <w:r>
        <w:t>Le Niveau 2 vise surtout la régulation sympathique et l’adaptation générale autour de la rate, sans supposer une action directe sur son innervation ou son débit sanguin.</w:t>
      </w:r>
    </w:p>
    <w:p>
      <w:pPr>
        <w:pStyle w:val="Heading2"/>
      </w:pPr>
      <w:r>
        <w:t>12.4. Niveau 3 — Régulation viscérale loco-régionale</w:t>
      </w:r>
    </w:p>
    <w:p>
      <w:r>
        <w:rPr>
          <w:i w:val="0"/>
        </w:rPr>
        <w:t>Le Niveau 3 replace la rate dans son environnement sous-diaphragmatique gauche. La zone propre de la rate peut être complétée, selon les tests, par ses principaux rapports anatomiques.</w:t>
      </w:r>
    </w:p>
    <w:p>
      <w:pPr>
        <w:pStyle w:val="ListParagraph"/>
        <w:spacing w:after="32"/>
        <w:ind w:left="255" w:hanging="142"/>
      </w:pPr>
      <w:r>
        <w:t xml:space="preserve">• </w:t>
      </w:r>
      <w:r>
        <w:t>Diaphragme gauche.</w:t>
      </w:r>
    </w:p>
    <w:p>
      <w:pPr>
        <w:pStyle w:val="ListParagraph"/>
        <w:spacing w:after="32"/>
        <w:ind w:left="255" w:hanging="142"/>
      </w:pPr>
      <w:r>
        <w:t xml:space="preserve">• </w:t>
      </w:r>
      <w:r>
        <w:t>Estomac.</w:t>
      </w:r>
    </w:p>
    <w:p>
      <w:pPr>
        <w:pStyle w:val="ListParagraph"/>
        <w:spacing w:after="32"/>
        <w:ind w:left="255" w:hanging="142"/>
      </w:pPr>
      <w:r>
        <w:t xml:space="preserve">• </w:t>
      </w:r>
      <w:r>
        <w:t>Queue du pancréas.</w:t>
      </w:r>
    </w:p>
    <w:p>
      <w:pPr>
        <w:pStyle w:val="ListParagraph"/>
        <w:spacing w:after="32"/>
        <w:ind w:left="255" w:hanging="142"/>
      </w:pPr>
      <w:r>
        <w:t xml:space="preserve">• </w:t>
      </w:r>
      <w:r>
        <w:t>Rein gauche.</w:t>
      </w:r>
    </w:p>
    <w:p>
      <w:pPr>
        <w:pStyle w:val="ListParagraph"/>
        <w:spacing w:after="32"/>
        <w:ind w:left="255" w:hanging="142"/>
      </w:pPr>
      <w:r>
        <w:t xml:space="preserve">• </w:t>
      </w:r>
      <w:r>
        <w:t>Angle splénique du côlon.</w:t>
      </w:r>
    </w:p>
    <w:p>
      <w:pPr>
        <w:pStyle w:val="ListParagraph"/>
        <w:spacing w:after="32"/>
        <w:ind w:left="255" w:hanging="142"/>
      </w:pPr>
      <w:r>
        <w:t xml:space="preserve">• </w:t>
      </w:r>
      <w:r>
        <w:t>Ligaments gastrosplénique, pancréaticosplénique, phrénocolique, phrénosplénique et splénorénal.</w:t>
      </w:r>
    </w:p>
    <w:p>
      <w:pPr>
        <w:pStyle w:val="ListParagraph"/>
        <w:spacing w:after="32"/>
        <w:ind w:left="255" w:hanging="142"/>
      </w:pPr>
      <w:r>
        <w:t xml:space="preserve">• </w:t>
      </w:r>
      <w:r>
        <w:t>Racine du mésocolon transverse uniquement si cette interface est cliniquement pertinente.</w:t>
      </w:r>
    </w:p>
    <w:p>
      <w:pPr>
        <w:spacing w:after="80"/>
      </w:pPr>
      <w:r>
        <w:rPr>
          <w:i/>
          <w:color w:val="5E666A"/>
        </w:rPr>
        <w:t>Cf. chapitre 7 — Socle régional abdominal et péritonéal.</w:t>
      </w:r>
    </w:p>
    <w:p>
      <w:pPr>
        <w:shd w:fill="F3EEE4"/>
        <w:spacing w:before="80" w:after="100"/>
        <w:ind w:left="142" w:right="142"/>
      </w:pPr>
      <w:r>
        <w:rPr>
          <w:b/>
        </w:rPr>
        <w:t xml:space="preserve">INTÉRÊT EN ROP — </w:t>
      </w:r>
      <w:r>
        <w:t>Le Niveau 3 ne conduit pas à traiter systématiquement estomac, pancréas, rein et côlon. Les rapports régionaux sont sélectionnés selon les tests et la cohérence du tableau clinique.</w:t>
      </w:r>
    </w:p>
    <w:p>
      <w:pPr>
        <w:pStyle w:val="Heading2"/>
      </w:pPr>
      <w:r>
        <w:t>12.5. Niveau 4 — Intégration viscéro-somatique et neuro-immunitaire</w:t>
      </w:r>
    </w:p>
    <w:p>
      <w:pPr>
        <w:spacing w:after="60"/>
      </w:pPr>
      <w:r>
        <w:rPr>
          <w:b/>
        </w:rPr>
        <w:t xml:space="preserve">Versant viscéro-somatique. </w:t>
      </w:r>
      <w:r>
        <w:t>Les principaux repères sont Th9-Th11, les articulations costo-transversaires correspondantes, les 9e, 10e et 11e côtes gauches, le thorax postéro-inférieur gauche et le diaphragme gauche. Une manifestation scapulaire gauche peut être intégrée lorsque le contexte diaphragmatique le rend pertinent, sans en faire une correspondance systématique.</w:t>
      </w:r>
    </w:p>
    <w:p>
      <w:pPr>
        <w:spacing w:after="60"/>
      </w:pPr>
      <w:r>
        <w:rPr>
          <w:b/>
        </w:rPr>
        <w:t xml:space="preserve">Axe cerveau-immunité / rate. </w:t>
      </w:r>
      <w:r>
        <w:t>La notion de « balance cerveau limbique-rate » est remplacée par une lecture plus large. La rate participe aux fonctions immunitaires et la réponse immunitaire interagit avec les systèmes nerveux, endocrinien et comportemental. Fatigue, récupération post-infectieuse, stress et sommeil peuvent donc être intégrés dans une logique générale d’adaptation.</w:t>
      </w:r>
    </w:p>
    <w:p>
      <w:r>
        <w:rPr>
          <w:i w:val="0"/>
        </w:rPr>
        <w:t>L’écoute-induction peut conserver son principe — un repère splénique et un repère central — mais elle est présentée comme une technique d’intégration fonctionnelle, et non comme une action directe sur un « cerveau limbique ».</w:t>
      </w:r>
    </w:p>
    <w:p>
      <w:pPr>
        <w:spacing w:after="80"/>
      </w:pPr>
      <w:r>
        <w:rPr>
          <w:i/>
          <w:color w:val="5E666A"/>
        </w:rPr>
        <w:t>Cf. chapitre 3 — Système nerveux central ; cf. chapitre 5 — Mécanisme de stress.</w:t>
      </w:r>
    </w:p>
    <w:p>
      <w:pPr>
        <w:shd w:fill="F3EEE4"/>
        <w:spacing w:before="80" w:after="100"/>
        <w:ind w:left="142" w:right="142"/>
      </w:pPr>
      <w:r>
        <w:rPr>
          <w:b/>
        </w:rPr>
        <w:t xml:space="preserve">INTÉRÊT EN ROP — </w:t>
      </w:r>
      <w:r>
        <w:t>Le Niveau 4 associe les convergences somatiques et le contexte neuro-immunitaire sans attribuer à la rate une personnalité ou une émotion spécifique.</w:t>
      </w:r>
    </w:p>
    <w:p>
      <w:pPr>
        <w:pStyle w:val="Heading2"/>
      </w:pPr>
      <w:r>
        <w:t>12.6. Soutiens associés selon les tests</w:t>
      </w:r>
    </w:p>
    <w:p>
      <w:pPr>
        <w:pStyle w:val="ListParagraph"/>
        <w:spacing w:after="32"/>
        <w:ind w:left="255" w:hanging="142"/>
      </w:pPr>
      <w:r>
        <w:t xml:space="preserve">• </w:t>
      </w:r>
      <w:r>
        <w:t>Foie et système porte : contexte portal ou hépatique.</w:t>
      </w:r>
    </w:p>
    <w:p>
      <w:pPr>
        <w:pStyle w:val="ListParagraph"/>
        <w:spacing w:after="32"/>
        <w:ind w:left="255" w:hanging="142"/>
      </w:pPr>
      <w:r>
        <w:t xml:space="preserve">• </w:t>
      </w:r>
      <w:r>
        <w:t>Estomac : rapport gastrosplénique.</w:t>
      </w:r>
    </w:p>
    <w:p>
      <w:pPr>
        <w:pStyle w:val="ListParagraph"/>
        <w:spacing w:after="32"/>
        <w:ind w:left="255" w:hanging="142"/>
      </w:pPr>
      <w:r>
        <w:t xml:space="preserve">• </w:t>
      </w:r>
      <w:r>
        <w:t>Pancréas : proximité du hile et de la queue pancréatique.</w:t>
      </w:r>
    </w:p>
    <w:p>
      <w:pPr>
        <w:pStyle w:val="ListParagraph"/>
        <w:spacing w:after="32"/>
        <w:ind w:left="255" w:hanging="142"/>
      </w:pPr>
      <w:r>
        <w:t xml:space="preserve">• </w:t>
      </w:r>
      <w:r>
        <w:t>Rein gauche : rapport splénorénal.</w:t>
      </w:r>
    </w:p>
    <w:p>
      <w:pPr>
        <w:pStyle w:val="ListParagraph"/>
        <w:spacing w:after="32"/>
        <w:ind w:left="255" w:hanging="142"/>
      </w:pPr>
      <w:r>
        <w:t xml:space="preserve">• </w:t>
      </w:r>
      <w:r>
        <w:t>Côlon gauche : angle splénique.</w:t>
      </w:r>
    </w:p>
    <w:p>
      <w:pPr>
        <w:pStyle w:val="ListParagraph"/>
        <w:spacing w:after="32"/>
        <w:ind w:left="255" w:hanging="142"/>
      </w:pPr>
      <w:r>
        <w:t xml:space="preserve">• </w:t>
      </w:r>
      <w:r>
        <w:t>Diaphragme : interface majeure de la région.</w:t>
      </w:r>
    </w:p>
    <w:p>
      <w:r>
        <w:rPr>
          <w:i w:val="0"/>
        </w:rPr>
        <w:t>Ces territoires sont des soutiens associés et non des étapes systématiques.</w:t>
      </w:r>
    </w:p>
    <w:p>
      <w:pPr>
        <w:pStyle w:val="Heading2"/>
      </w:pPr>
      <w:r>
        <w:t>12.7. Lecture clinique</w:t>
      </w:r>
    </w:p>
    <w:p>
      <w:pPr>
        <w:pStyle w:val="ListParagraph"/>
        <w:spacing w:after="32"/>
        <w:ind w:left="255" w:hanging="142"/>
      </w:pPr>
      <w:r>
        <w:t xml:space="preserve">• </w:t>
      </w:r>
      <w:r>
        <w:t>Fatigue post-infectieuse ou suites de mononucléose après suivi médical : Niveau 1 si pertinent + Niveau 2 + zone splénique, avec grande prudence.</w:t>
      </w:r>
    </w:p>
    <w:p>
      <w:pPr>
        <w:pStyle w:val="ListParagraph"/>
        <w:spacing w:after="32"/>
        <w:ind w:left="255" w:hanging="142"/>
      </w:pPr>
      <w:r>
        <w:t xml:space="preserve">• </w:t>
      </w:r>
      <w:r>
        <w:t>Séquelles anciennes d’un traumatisme thoraco-abdominal après exclusion médicale : zone splénique + environnement régional du Niveau 3 + côtes et diaphragme au Niveau 4.</w:t>
      </w:r>
    </w:p>
    <w:p>
      <w:pPr>
        <w:pStyle w:val="ListParagraph"/>
        <w:spacing w:after="32"/>
        <w:ind w:left="255" w:hanging="142"/>
      </w:pPr>
      <w:r>
        <w:t xml:space="preserve">• </w:t>
      </w:r>
      <w:r>
        <w:t>Point de côté ou gêne sous-costale gauche sans signe d’alerte : diaphragme + rate + angle splénique selon les tests.</w:t>
      </w:r>
    </w:p>
    <w:p>
      <w:pPr>
        <w:shd w:fill="F8E9E5"/>
        <w:spacing w:before="80" w:after="100"/>
        <w:ind w:left="142" w:right="142"/>
      </w:pPr>
      <w:r>
        <w:rPr>
          <w:b/>
        </w:rPr>
        <w:t xml:space="preserve">PRINCIPE DE SÉCURITÉ — </w:t>
      </w:r>
      <w:r>
        <w:t>Toute suspicion de splénomégalie, douleur aiguë de l’hypochondre gauche après traumatisme, malaise, hypotension, douleur d’épaule gauche ou contexte de mononucléose avec douleur splénique impose une évaluation médicale. La rate est un organe fragile et très vascularisé.</w:t>
      </w:r>
    </w:p>
    <w:sectPr>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r>
        <w:t>1</w:t>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13 — Rate</dc:title>
  <dc:subject>Anatomie, physiologie et applications en ROP</dc:subject>
  <dc:creator/>
  <cp:keywords>rate, anatomie, physiologie, ROP, réflexologie occipito-podale</cp:keywords>
  <dc:description/>
  <cp:lastModifiedBy/>
  <cp:revision>1</cp:revision>
  <dcterms:created xsi:type="dcterms:W3CDTF">2013-12-23T23:15:00Z</dcterms:created>
  <dcterms:modified xsi:type="dcterms:W3CDTF">2013-12-23T23:15:00Z</dcterms:modified>
  <cp:category/>
</cp:coreProperties>
</file>