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2"/>
        <w:widowControl/>
        <w:jc w:val="left"/>
      </w:pPr>
      <w:r>
        <w:t>Fondements neuro-anatomiques de la ROP</w:t>
      </w:r>
    </w:p>
    <w:p>
      <w:pPr>
        <w:pStyle w:val="ROPTechnicalBody"/>
        <w:widowControl/>
      </w:pPr>
      <w:r>
        <w:rPr>
          <w:i w:val="0"/>
        </w:rPr>
        <w:t>Du point réflexe à la porte d’entrée somatique : une architecture fondée sur les afférences périphériques, les convergences spinales et les voies supraspinales.</w:t>
      </w:r>
    </w:p>
    <w:p>
      <w:pPr>
        <w:pStyle w:val="ROPTechnicalBody"/>
        <w:widowControl/>
      </w:pPr>
      <w:r>
        <w:rPr>
          <w:i w:val="0"/>
        </w:rPr>
        <w:t>La ROP ne suppose pas qu'un organe soit matériellement « représenté » dans un point du pied. La proposition de travail est différente : une zone podale constitue d'abord une porte d'entrée sensorielle. La pression déforme la peau et les tissus sous-cutanés, recrute des mécanorécepteurs et d'autres afférences somatiques, puis transmet un message par un nerf périphérique vers la moelle épinière et les centres supérieurs [1-3].</w:t>
      </w:r>
    </w:p>
    <w:p>
      <w:pPr>
        <w:pStyle w:val="ROPTechnicalBody"/>
        <w:widowControl/>
      </w:pPr>
      <w:r>
        <w:rPr>
          <w:i w:val="0"/>
        </w:rPr>
        <w:t>À chacun de ces étages, cette activité peut rencontrer des circuits somatiques, autonomes et viscéraux. Nous conserverons le terme pédagogique de « pont neuro-anatomique » pour désigner chacune de ces possibilités de convergence. Un pont n'est ni une liaison anatomique directe entre un point du pied et un organe, ni la preuve d'une efficacité thérapeutique : c'est un mécanisme plausible par lequel une entrée somatique peut accéder à un réseau susceptible de moduler une fonction viscérale.</w:t>
      </w:r>
    </w:p>
    <w:p>
      <w:pPr>
        <w:pStyle w:val="ROPTechnicalBody"/>
        <w:widowControl/>
      </w:pPr>
      <w:r>
        <w:rPr>
          <w:i w:val="0"/>
        </w:rPr>
        <w:t>La discussion conduit désormais à distinguer deux questions qui ne doivent plus être confondues. La première est celle de l'existence d'une modulation somato-viscérale : une stimulation du pied peut-elle modifier une fonction autonome ou viscérale ? La seconde est celle du ciblage : certaines zones ou certains nerfs offrent-ils un accès plus régional ou plus reproductible que d'autres ? Cette distinction est centrale pour interpréter les données de neuromodulation et pour construire une recherche spécifique à la pression manuelle ROP [13,14,16,17].</w:t>
      </w:r>
    </w:p>
    <w:p>
      <w:pPr>
        <w:pStyle w:val="ROPEditorialNote"/>
        <w:widowControl/>
      </w:pPr>
      <w:r>
        <w:rPr>
          <w:b/>
        </w:rPr>
        <w:t>PRÉCISION MÉTHODOLOGIQUE</w:t>
      </w:r>
      <w:r>
        <w:br/>
        <w:t>Dans ce chapitre, les verbes « atteindre » ou « agir sur » sont à comprendre comme des raccourcis pédagogiques. La formulation scientifique privilégiée est : générer une entrée somatique, recruter un réseau, moduler l'excitabilité d'un circuit ou influencer une fonction. Une activation cérébrale, une réponse autonome ou une convergence médullaire ne démontrent pas à elles seules une correspondance point-organe.</w:t>
      </w:r>
    </w:p>
    <w:p>
      <w:pPr>
        <w:pStyle w:val="Heading3"/>
        <w:widowControl/>
      </w:pPr>
      <w:r>
        <w:t>Lecture rapide : les conclusions essentielles</w:t>
      </w:r>
    </w:p>
    <w:p>
      <w:pPr>
        <w:pStyle w:val="ROPTechnicalBullet"/>
        <w:widowControl/>
      </w:pPr>
      <w:r>
        <w:rPr>
          <w:i w:val="0"/>
        </w:rPr>
        <w:t>Le pied est une interface sensorielle riche. La peau glabre plantaire contient plusieurs classes de mécanorécepteurs à bas seuil, avec des champs récepteurs et des seuils qui varient selon les régions [2,3].</w:t>
      </w:r>
    </w:p>
    <w:p>
      <w:pPr>
        <w:pStyle w:val="ROPTechnicalBullet"/>
        <w:widowControl/>
      </w:pPr>
      <w:r>
        <w:rPr>
          <w:i w:val="0"/>
        </w:rPr>
        <w:t>Quatre grandes portes somatiques peuvent être distinguées au niveau du pied et de la cheville : plantaire/tibiale, latérale/surale, dorsale/fibulaire et médiale/saphène. Elles ne sont pas équivalentes sur le plan périphérique ni radiculaire [1].</w:t>
      </w:r>
    </w:p>
    <w:p>
      <w:pPr>
        <w:pStyle w:val="ROPTechnicalBullet"/>
        <w:widowControl/>
      </w:pPr>
      <w:r>
        <w:rPr>
          <w:i w:val="0"/>
        </w:rPr>
        <w:t>La porte plantaire/tibiale est la mieux documentée pour une stimulation mécanique du pied. Les branches plantaires médiale et latérale et les rameaux calcanéens convergent vers le nerf tibial [2,3,5,6].</w:t>
      </w:r>
    </w:p>
    <w:p>
      <w:pPr>
        <w:pStyle w:val="ROPTechnicalBullet"/>
        <w:widowControl/>
      </w:pPr>
      <w:r>
        <w:rPr>
          <w:i w:val="0"/>
        </w:rPr>
        <w:t>Le nerf tibial est pluriradiculaire, classiquement L4-S3. Son recouvrement possible avec l'organisation sacrée pelvienne S2-S4 concerne surtout S2-S3. Ce recouvrement renforce une hypothèse de ciblage régional pelvien, mais ne crée pas un trajet direct vers un viscère [1,7-10,16].</w:t>
      </w:r>
    </w:p>
    <w:p>
      <w:pPr>
        <w:pStyle w:val="ROPTechnicalBullet"/>
        <w:widowControl/>
      </w:pPr>
      <w:r>
        <w:rPr>
          <w:i w:val="0"/>
        </w:rPr>
        <w:t>Le nerf sural, le système fibulaire et le nerf saphène doivent être considérés non seulement comme des contrôles, mais comme d'autres portes somatiques à comparer. La littérature montre notamment que des stimulations tibiales et fibulaires peuvent produire des réponses cérébrales partiellement communes mais non identiques [13].</w:t>
      </w:r>
    </w:p>
    <w:p>
      <w:pPr>
        <w:pStyle w:val="ROPTechnicalBullet"/>
        <w:widowControl/>
      </w:pPr>
      <w:r>
        <w:rPr>
          <w:i w:val="0"/>
        </w:rPr>
        <w:t>Le deuxième pont est intranerveux : talon, arche et avant-pied ne recrutent pas nécessairement les mêmes branches, les mêmes tissus ni les mêmes populations afférentes, même lorsqu'ils rejoignent finalement le même nerf tibial [2,3,5,6].</w:t>
      </w:r>
    </w:p>
    <w:p>
      <w:pPr>
        <w:pStyle w:val="ROPTechnicalBullet"/>
        <w:widowControl/>
      </w:pPr>
      <w:r>
        <w:rPr>
          <w:i w:val="0"/>
        </w:rPr>
        <w:t>La moelle lombo-sacrée constitue un carrefour d'intégration. Des afférences somatiques, périnéales et viscérales peuvent converger sur des interneurones et des circuits sacrés ; l'effet dépend de l'état du réseau et n'est pas une commande directe du viscère [8-10].</w:t>
      </w:r>
    </w:p>
    <w:p>
      <w:pPr>
        <w:pStyle w:val="ROPTechnicalBullet"/>
        <w:widowControl/>
      </w:pPr>
      <w:r>
        <w:rPr>
          <w:i w:val="0"/>
        </w:rPr>
        <w:t>Les voies supraspinales ajoutent un second niveau d'intégration : l'entrée somatique peut remonter vers le tronc cérébral et des réseaux insulo-cingulaires, préfrontaux et autonomes, puis modifier des commandes descendantes. Plus un mécanisme dépend de ces relais généraux, moins il permet à lui seul d'affirmer une spécificité régionale [7,11-14,17].</w:t>
      </w:r>
    </w:p>
    <w:p>
      <w:pPr>
        <w:pStyle w:val="ROPTechnicalBullet"/>
        <w:widowControl/>
      </w:pPr>
      <w:r>
        <w:rPr>
          <w:i w:val="0"/>
        </w:rPr>
        <w:t>L'absence de recouvrement radiculaire direct n'exclut donc pas une modulation viscérale ; elle diminue surtout la force de l'argument en faveur d'un ciblage segmentaire. Le gradient doit être lu sur deux axes : proximité segmentaire et niveau de preuve expérimentale de modulation.</w:t>
      </w:r>
    </w:p>
    <w:p>
      <w:pPr>
        <w:pStyle w:val="ROPTechnicalBullet"/>
        <w:widowControl/>
      </w:pPr>
      <w:r>
        <w:rPr>
          <w:i w:val="0"/>
        </w:rPr>
        <w:t>Le pelvis reste le meilleur candidat à un ciblage régional depuis le pied, et la vessie le modèle viscéral actuellement le mieux documenté. Le côlon distal et le rectum constituent une extension importante du fait de leurs voies spinales distribuées et des interactions vessie-intestin [15,19-21].</w:t>
      </w:r>
    </w:p>
    <w:p>
      <w:pPr>
        <w:pStyle w:val="Heading3"/>
        <w:widowControl/>
      </w:pPr>
      <w:r>
        <w:t>1. Le pied : une interface sensorielle et quatre portes somatiques</w:t>
      </w:r>
    </w:p>
    <w:p>
      <w:pPr>
        <w:pStyle w:val="Heading4"/>
        <w:widowControl/>
      </w:pPr>
      <w:r>
        <w:t>1.1. De la pression à l’afférence</w:t>
      </w:r>
    </w:p>
    <w:p>
      <w:pPr>
        <w:pStyle w:val="ROPTechnicalBody"/>
        <w:widowControl/>
      </w:pPr>
      <w:r>
        <w:rPr>
          <w:i w:val="0"/>
        </w:rPr>
        <w:t>La peau glabre de la plante n'est pas une surface passive. Les enregistrements microneurographiques humains décrivent quatre grandes classes d'afférences tactiles à bas seuil : unités à adaptation rapide de type I et II et unités à adaptation lente de type I et II. Leurs champs récepteurs se distribuent sur les orteils, les têtes métatarsiennes, les arches et le talon ; leur densité, leur taille et leur seuil ne sont pas uniformes [2,3].</w:t>
      </w:r>
    </w:p>
    <w:p>
      <w:pPr>
        <w:pStyle w:val="ROPTechnicalBody"/>
        <w:widowControl/>
      </w:pPr>
      <w:r>
        <w:rPr>
          <w:i w:val="0"/>
        </w:rPr>
        <w:t>Une pression manuelle ROP est donc susceptible de recruter des populations afférentes différentes selon la zone, la surface de contact, la direction, la vitesse, la durée et la profondeur du geste. Ce point est essentiel : deux zones voisines ne doivent pas être supposées équivalentes, mais leur différence doit être recherchée dans l'innervation réelle, les tissus sollicités et les propriétés des récepteurs, non dans une ressemblance topographique avec un organe.</w:t>
      </w:r>
    </w:p>
    <w:p>
      <w:pPr>
        <w:pStyle w:val="Heading4"/>
        <w:widowControl/>
      </w:pPr>
      <w:r>
        <w:t>1.2. Quatre portes d’entrée à comparer</w:t>
      </w:r>
    </w:p>
    <w:p>
      <w:pPr>
        <w:pStyle w:val="ROPTechnicalBody"/>
        <w:widowControl/>
      </w:pPr>
      <w:r>
        <w:rPr>
          <w:i w:val="0"/>
        </w:rPr>
        <w:t>La discussion conduit à organiser le pied en quatre grandes portes somatiques. Ces territoires se chevauchent et varient selon les individus ; ils doivent être compris comme des régions fonctionnelles, non comme des frontières millimétriques [1].</w:t>
      </w:r>
    </w:p>
    <w:p>
      <w:pPr>
        <w:pStyle w:val="ROPTechnicalBullet"/>
        <w:widowControl/>
      </w:pPr>
      <w:r>
        <w:rPr>
          <w:i w:val="0"/>
        </w:rPr>
        <w:t>Porte plantaire / tibiale : plante du pied, arche, avant-pied et grande partie du talon. Les afférences gagnent les nerfs plantaires médial et latéral et les rameaux calcanéens, puis le nerf tibial. Le nerf tibial reçoit classiquement des fibres de L4 à S3 [1,5,6].</w:t>
      </w:r>
    </w:p>
    <w:p>
      <w:pPr>
        <w:pStyle w:val="ROPTechnicalBullet"/>
        <w:widowControl/>
      </w:pPr>
      <w:r>
        <w:rPr>
          <w:i w:val="0"/>
        </w:rPr>
        <w:t>Porte latérale / surale : bord latéral du pied et région postéro-latérale de la cheville et du talon. Le nerf sural est principalement rattaché à S1-S2 ; il apporte donc une porte sacrée partielle, notamment par S2 [1].</w:t>
      </w:r>
    </w:p>
    <w:p>
      <w:pPr>
        <w:pStyle w:val="ROPTechnicalBullet"/>
        <w:widowControl/>
      </w:pPr>
      <w:r>
        <w:rPr>
          <w:i w:val="0"/>
        </w:rPr>
        <w:t>Porte dorsale / fibulaire : dos du pied par les nerfs fibulaires superficiel et profond, qui rejoignent proximalement le nerf fibulaire commun. Le système fibulaire commun est classiquement rattaché à L4-S2 ; S2 peut donc être présent, sans composante S3 [1].</w:t>
      </w:r>
    </w:p>
    <w:p>
      <w:pPr>
        <w:pStyle w:val="ROPTechnicalBullet"/>
        <w:widowControl/>
      </w:pPr>
      <w:r>
        <w:rPr>
          <w:i w:val="0"/>
        </w:rPr>
        <w:t>Porte médiale / saphène : bord médial de la cheville et portion médiale proximale du pied, en continuité avec la face médiale de la jambe. Le nerf saphène est principalement lombaire, surtout L3-L4, et constitue ainsi une porte sans recouvrement sacré direct évident avec S2-S4 [1].</w:t>
      </w:r>
    </w:p>
    <w:p>
      <w:pPr>
        <w:pStyle w:val="ROPTechnicalBody"/>
        <w:widowControl/>
      </w:pPr>
      <w:r>
        <w:rPr>
          <w:i w:val="0"/>
        </w:rPr>
        <w:t>Ces quatre portes peuvent toutes générer une entrée somatique ascendante. La question scientifique n'est donc pas de savoir si une seule zone « communique avec le cerveau », mais si le nerf d'entrée, la branche périphérique et la population afférente recrutée modifient la nature, l'intensité ou la spécificité de la réponse centrale et viscérale.</w:t>
      </w:r>
    </w:p>
    <w:p>
      <w:pPr>
        <w:pStyle w:val="ROPFigureCaption"/>
        <w:widowControl/>
      </w:pPr>
      <w:r>
        <w:t>Figure 1 - Quatre portes somatiques vers les voies supraspinales : plantaire/tibiale, latérale/surale, dorsale/fibulaire et médiale/saphène.</w:t>
      </w:r>
    </w:p>
    <w:p>
      <w:pPr>
        <w:pStyle w:val="Heading4"/>
        <w:widowControl/>
      </w:pPr>
      <w:r>
        <w:t>1.3. Du pied vers le système nerveux central</w:t>
      </w:r>
    </w:p>
    <w:p>
      <w:pPr>
        <w:pStyle w:val="ROPTechnicalBody"/>
        <w:widowControl/>
      </w:pPr>
      <w:r>
        <w:rPr>
          <w:i w:val="0"/>
        </w:rPr>
        <w:t>Dans une représentation simplifiée, la chaîne fonctionnelle peut être décrite ainsi : pression locale -&gt; mécanorécepteurs et afférences somatiques -&gt; branche périphérique -&gt; nerf principal -&gt; racines spinales -&gt; moelle -&gt; voies ascendantes -&gt; réseaux supraspinaux. Cette chaîne n'est pas un faisceau unique : selon la modalité sensorielle, les messages somatiques empruntent plusieurs systèmes ascendants et plusieurs relais. L'idée importante pour la ROP est qu'une pression locale peut être convertie en une activité nerveuse mesurable qui n'est pas confinée au pied [1-3].</w:t>
      </w:r>
    </w:p>
    <w:p>
      <w:pPr>
        <w:pStyle w:val="ROPTechnicalBody"/>
        <w:widowControl/>
      </w:pPr>
      <w:r>
        <w:rPr>
          <w:i w:val="0"/>
        </w:rPr>
        <w:t>Des données humaines montrent par ailleurs que le feedback mécanorécepteur cutané provenant de la main ou du pied peut modifier l'activité nerveuse sympathique musculaire. Cette observation ne démontre pas une action sur un organe déterminé, mais elle établit un couplage possible entre entrée somatosensorielle et régulation autonome [14].</w:t>
      </w:r>
    </w:p>
    <w:p>
      <w:pPr>
        <w:pStyle w:val="Heading3"/>
        <w:widowControl/>
      </w:pPr>
      <w:r>
        <w:t>2. Le versant viscéral : comment l’information interne rejoint les mêmes systèmes</w:t>
      </w:r>
    </w:p>
    <w:p>
      <w:pPr>
        <w:pStyle w:val="ROPTechnicalBody"/>
        <w:widowControl/>
      </w:pPr>
      <w:r>
        <w:rPr>
          <w:i w:val="0"/>
        </w:rPr>
        <w:t>Un pont neuro-anatomique ne peut pas être décrit uniquement depuis le pied. Il faut également préciser comment les informations issues des viscères atteignent le système nerveux central. Les récepteurs viscéraux renseignent notamment sur la distension, la tension, les contractions, l'état chimique du milieu et, dans certaines conditions, l'inflammation ou la lésion. Les corps cellulaires des neurones sensitifs se trouvent dans les ganglions vagaux ou les ganglions rachidiens [18].</w:t>
      </w:r>
    </w:p>
    <w:p>
      <w:pPr>
        <w:pStyle w:val="ROPTechnicalBody"/>
        <w:widowControl/>
      </w:pPr>
      <w:r>
        <w:rPr>
          <w:i w:val="0"/>
        </w:rPr>
        <w:t>Les afférences vagales, particulièrement importantes pour de nombreux viscères thoraciques et abdominaux, projettent vers le noyau du tractus solitaire dans le tronc cérébral. Les afférences viscérales spinales pénètrent dans la corne dorsale après avoir cheminé avec des voies splanchniques thoraciques ou lombaires, hypogastriques ou pelviennes. Certains viscères, notamment le côlon distal, le rectum et plusieurs organes du petit bassin, possèdent ainsi une organisation afférente distribuée sur plusieurs voies [15,18].</w:t>
      </w:r>
    </w:p>
    <w:p>
      <w:pPr>
        <w:pStyle w:val="ROPTechnicalBody"/>
        <w:widowControl/>
      </w:pPr>
      <w:r>
        <w:rPr>
          <w:i w:val="0"/>
        </w:rPr>
        <w:t>Il convient de distinguer le trajet emprunté de la nature du message. Une fibre sensitive qui accompagne un nerf splanchnique ou un nerf pelvien reste une afférence sensitive ; elle ne doit pas être confondue avec les fibres autonomes efférentes qui quittent le système nerveux central pour contrôler les muscles lisses, les glandes ou les vaisseaux. Dans ce chapitre, nous privilégierons donc les formulations « afférences viscérales cheminant avec les voies splanchniques thoracolombaires » et « afférences viscérales cheminant avec les nerfs pelviens » [18].</w:t>
      </w:r>
    </w:p>
    <w:p>
      <w:pPr>
        <w:pStyle w:val="ROPTechnicalBody"/>
        <w:widowControl/>
      </w:pPr>
      <w:r>
        <w:rPr>
          <w:i w:val="0"/>
        </w:rPr>
        <w:t>Cette double lecture - somatique depuis le pied, viscérale depuis l'organe - permet de rechercher les lieux où les deux systèmes peuvent se rencontrer : même segment spinal, interneurones intersegmentaires, réseaux lombo-sacrés, tronc cérébral ou centres supraspinaux.</w:t>
      </w:r>
    </w:p>
    <w:p>
      <w:pPr>
        <w:pStyle w:val="Heading3"/>
        <w:widowControl/>
      </w:pPr>
      <w:r>
        <w:t>3. Pont 1 - Le recouvrement segmentaire : S2-S3 à travers le nerf tibial</w:t>
      </w:r>
    </w:p>
    <w:p>
      <w:pPr>
        <w:pStyle w:val="ROPTechnicalBody"/>
        <w:widowControl/>
      </w:pPr>
      <w:r>
        <w:rPr>
          <w:i w:val="0"/>
        </w:rPr>
        <w:t>Le nerf tibial reçoit classiquement des fibres issues de L4 à S3. Les circuits sacrés impliqués dans les fonctions pelviennes sont principalement organisés autour de S2-S4, et le contrôle somatique des sphincters et du plancher pelvien implique notamment le nerf pudendal, lui aussi rattaché à S2-S4 [1,7-10]. Si l'on raisonne par recouvrement radiculaire, S2 et S3 constituent donc les niveaux communs possibles entre le nerf tibial et une partie de l'organisation pelvienne.</w:t>
      </w:r>
    </w:p>
    <w:p>
      <w:pPr>
        <w:pStyle w:val="ROPTechnicalBody"/>
        <w:widowControl/>
      </w:pPr>
      <w:r>
        <w:rPr>
          <w:i w:val="0"/>
        </w:rPr>
        <w:t>Ce raisonnement ne signifie pas qu'une zone cutanée plantaire soit un « dermatome S2 » ou « S3 ». Les cartes dermatomériques humaines placent surtout L4, L5 et S1 au niveau du membre inférieur distal et du pied [4]. Un dermatome décrit l'origine radiculaire dominante d'un territoire cutané ; un nerf périphérique mixte contient au contraire des axones provenant de plusieurs racines et destinés à la peau, aux muscles, aux articulations et aux tissus profonds.</w:t>
      </w:r>
    </w:p>
    <w:p>
      <w:pPr>
        <w:pStyle w:val="ROPTechnicalBody"/>
        <w:widowControl/>
      </w:pPr>
      <w:r>
        <w:rPr>
          <w:i w:val="0"/>
        </w:rPr>
        <w:t>Le Pont 1 doit donc être formulé avec précision : une stimulation d'un territoire tibial peut introduire une activité afférente dans un ensemble lombo-sacré contenant S2-S3 et communiquant avec les circuits pelviens. Elle ne sélectionne pas automatiquement S2 ou S3, ne rejoint pas directement un organe et ne garantit pas une réponse viscérale. Elle apporte cependant un argument de proximité segmentaire plus dense que celui de certaines portes somatiques plus lombaires.</w:t>
      </w:r>
    </w:p>
    <w:p>
      <w:pPr>
        <w:pStyle w:val="ROPEditorialNote"/>
        <w:widowControl/>
      </w:pPr>
      <w:r>
        <w:rPr>
          <w:b/>
        </w:rPr>
        <w:t>CONSÉQUENCE POUR LE GRADIENT</w:t>
      </w:r>
      <w:r>
        <w:br/>
        <w:t>Le recouvrement segmentaire doit être interprété comme un facteur de ciblage régional, non comme une condition nécessaire à tout effet viscéral. Une porte sans recouvrement S2-S4 peut encore agir par des relais intersegmentaires ou supraspinaux ; elle apporte simplement moins d'arguments en faveur d'une spécificité pelvienne.</w:t>
      </w:r>
    </w:p>
    <w:p>
      <w:pPr>
        <w:pStyle w:val="Heading3"/>
        <w:widowControl/>
      </w:pPr>
      <w:r>
        <w:t>4. Pont 2 - De la zone podale au nerf tibial : quelles afférences sont réellement recrutées ?</w:t>
      </w:r>
    </w:p>
    <w:p>
      <w:pPr>
        <w:pStyle w:val="ROPTechnicalBody"/>
        <w:widowControl/>
      </w:pPr>
      <w:r>
        <w:rPr>
          <w:i w:val="0"/>
        </w:rPr>
        <w:t>Le territoire tibial n'est pas homogène. Le nerf plantaire médial, le nerf plantaire latéral et les rameaux calcanéens transportent des informations provenant de régions et de tissus différents. Leurs trajectoires, leur séparabilité fasciculaire et leurs territoires présentent des variations anatomiques [5,6]. Les propriétés des mécanorécepteurs varient également selon les régions plantaires [2,3].</w:t>
      </w:r>
    </w:p>
    <w:p>
      <w:pPr>
        <w:pStyle w:val="ROPTechnicalBody"/>
        <w:widowControl/>
      </w:pPr>
      <w:r>
        <w:rPr>
          <w:i w:val="0"/>
        </w:rPr>
        <w:t>Cette organisation donne au Pont 2 une fonction précise : faire le lien entre la pression manuelle ROP et les données de neuromodulation du nerf tibial. Une stimulation électrique appliquée à proximité d'un tronc nerveux et une pression locale sur le pied ne recrutent pas nécessairement les mêmes fibres. Pour transposer prudemment les connaissances issues de la neuromodulation, il faut donc demander quelle branche périphérique et quelle population afférente sont réellement sollicitées par le geste manuel [16].</w:t>
      </w:r>
    </w:p>
    <w:p>
      <w:pPr>
        <w:pStyle w:val="ROPTechnicalBullet"/>
        <w:widowControl/>
      </w:pPr>
      <w:r>
        <w:rPr>
          <w:i w:val="0"/>
        </w:rPr>
        <w:t>Talon : recrutement préférentiel possible des rameaux calcanéens et des afférences des tissus superficiels et profonds du coussinet adipeux.</w:t>
      </w:r>
    </w:p>
    <w:p>
      <w:pPr>
        <w:pStyle w:val="ROPTechnicalBullet"/>
        <w:widowControl/>
      </w:pPr>
      <w:r>
        <w:rPr>
          <w:i w:val="0"/>
        </w:rPr>
        <w:t>Arche : recrutement plus important des branches plantaires, avec des différences possibles entre versants médial et latéral.</w:t>
      </w:r>
    </w:p>
    <w:p>
      <w:pPr>
        <w:pStyle w:val="ROPTechnicalBullet"/>
        <w:widowControl/>
      </w:pPr>
      <w:r>
        <w:rPr>
          <w:i w:val="0"/>
        </w:rPr>
        <w:t>Avant-pied : densité sensorielle élevée dans plusieurs zones et recrutement de branches digitales issues des nerfs plantaires.</w:t>
      </w:r>
    </w:p>
    <w:p>
      <w:pPr>
        <w:pStyle w:val="ROPTechnicalBody"/>
        <w:widowControl/>
      </w:pPr>
      <w:r>
        <w:rPr>
          <w:i w:val="0"/>
        </w:rPr>
        <w:t>La question expérimentale devient alors : deux zones appartenant au même nerf tibial produisent-elles la même modulation ? Si talon, arche et avant-pied produisent des réponses comparables sous stimulation contrôlée, l'effet pourrait dépendre principalement de l'accès général au système tibial. Si les réponses diffèrent de façon reproductible, il faudra rechercher la contribution de la branche, du tissu, de la profondeur, du profil mécanorécepteur et de l'organisation fasciculaire.</w:t>
      </w:r>
    </w:p>
    <w:p>
      <w:pPr>
        <w:pStyle w:val="ROPFigureCaption"/>
        <w:widowControl/>
      </w:pPr>
      <w:r>
        <w:t>Figure 2 - Pont 2 : de la zone podale au nerf tibial. Talon, arche et avant-pied comme portes sensorielles à comparer au sein d’un même tronc nerveux.</w:t>
      </w:r>
    </w:p>
    <w:p>
      <w:pPr>
        <w:pStyle w:val="Heading3"/>
        <w:widowControl/>
      </w:pPr>
      <w:r>
        <w:t>5. Pont 3 - Les autres portes somatiques : sural, fibulaire et saphène</w:t>
      </w:r>
    </w:p>
    <w:p>
      <w:pPr>
        <w:pStyle w:val="ROPTechnicalBody"/>
        <w:widowControl/>
      </w:pPr>
      <w:r>
        <w:rPr>
          <w:i w:val="0"/>
        </w:rPr>
        <w:t>Le nerf tibial n'est pas la seule porte d'entrée possible. Le bord latéral du pied dépend largement du nerf sural ; le dos du pied dépend principalement des nerfs fibulaires superficiel et profond ; le versant médial de la cheville et une partie du pied proximal peuvent recevoir le nerf saphène [1]. Ces voies rejoignent la moelle par des combinaisons radiculaires différentes et peuvent ensuite accéder à des réseaux spinaux ou supraspinaux communs.</w:t>
      </w:r>
    </w:p>
    <w:p>
      <w:pPr>
        <w:pStyle w:val="ROPTechnicalBody"/>
        <w:widowControl/>
      </w:pPr>
      <w:r>
        <w:rPr>
          <w:i w:val="0"/>
        </w:rPr>
        <w:t>La comparaison devient particulièrement informative lorsque l'on met en regard leurs racines principales. Le tibial L4-S3 offre le recouvrement sacré S2-S3 le plus large ; le sural S1-S2 et le système fibulaire L4-S2 disposent d'une composante S2 possible ; le saphène, surtout L3-L4, ne possède pas de recouvrement sacré direct évident avec S2-S4 [1]. Ces distributions sont des plages anatomiques et non des codes exclusifs : une pression locale ne sélectionne pas une racine isolée.</w:t>
      </w:r>
    </w:p>
    <w:p>
      <w:pPr>
        <w:pStyle w:val="ROPTechnicalBody"/>
        <w:widowControl/>
      </w:pPr>
      <w:r>
        <w:rPr>
          <w:i w:val="0"/>
        </w:rPr>
        <w:t>Des données d'imagerie et de neuromodulation montrent que des stimulations tibiales et fibulaires peuvent recruter des réponses cérébrales partiellement communes mais non identiques [13]. Cette observation soutient l'idée que le choix de la porte somatique peut modifier le profil central de la stimulation. Elle ne démontre toutefois pas que les mêmes différences existent sous pression manuelle, ni qu'elles correspondent à des effets viscéraux spécifiques.</w:t>
      </w:r>
    </w:p>
    <w:p>
      <w:pPr>
        <w:pStyle w:val="ROPTechnicalBody"/>
        <w:widowControl/>
      </w:pPr>
      <w:r>
        <w:rPr>
          <w:i w:val="0"/>
        </w:rPr>
        <w:t>Le Pont 3 ne doit donc plus être conçu comme une simple opposition « tibial actif versus nerfs contrôles ». Le sural, le fibulaire et le saphène sont eux-mêmes des portes somatiques candidates. Leur comparaison permet de tester plusieurs modèles : un gradient tibial &gt; sural/fibulaire &gt; saphène serait compatible avec une contribution segmentaire sacrée ; des réponses comparables entre toutes les portes orienteraient davantage vers une modulation somato-autonome générale ; des profils différents sans relation simple avec les racines suggéreraient une organisation plus complexe, intersegmentaire ou supraspinale.</w:t>
      </w:r>
    </w:p>
    <w:p>
      <w:pPr>
        <w:pStyle w:val="ROPFigureCaption"/>
        <w:widowControl/>
      </w:pPr>
      <w:r>
        <w:t>Figure 3 - Pont 3 : autres portes somatiques du pied. Comparaison sural, fibulaire commun et saphène avec la porte tibiale.</w:t>
      </w:r>
    </w:p>
    <w:p>
      <w:pPr>
        <w:pStyle w:val="Heading3"/>
        <w:widowControl/>
      </w:pPr>
      <w:r>
        <w:t>6. Pont 4 - Les réseaux lombo-sacrés : un carrefour d’intégration spinale</w:t>
      </w:r>
    </w:p>
    <w:p>
      <w:pPr>
        <w:pStyle w:val="ROPTechnicalBody"/>
        <w:widowControl/>
      </w:pPr>
      <w:r>
        <w:rPr>
          <w:i w:val="0"/>
        </w:rPr>
        <w:t>Le maillon central du modèle pelvien est la moelle lombo-sacrée. Les afférences qui y pénètrent ne restent pas enfermées dans un segment isolé. Elles se distribuent à des interneurones excitateurs et inhibiteurs, à des neurones de projection et à des circuits reliant plusieurs niveaux. Dans les circuits pelviens, ces réseaux reçoivent des informations viscérales, périnéales et somatiques et sont simultanément soumis aux commandes descendantes du cerveau [8-10].</w:t>
      </w:r>
    </w:p>
    <w:p>
      <w:pPr>
        <w:pStyle w:val="ROPTechnicalBody"/>
        <w:widowControl/>
      </w:pPr>
      <w:r>
        <w:rPr>
          <w:i w:val="0"/>
        </w:rPr>
        <w:t>Des travaux expérimentaux sur la fonction vésicale montrent que des afférences tibiales et pudendales peuvent agir à travers des mécanismes interneuronaux spinaux et modifier les réflexes de la vessie [10]. Ce résultat fournit un exemple particulièrement important pour la ROP : une entrée somatique n'a pas besoin d'un trajet direct vers le viscère pour influencer un circuit autonome. Elle peut modifier l'excitabilité du réseau dans lequel l'information viscérale est traitée.</w:t>
      </w:r>
    </w:p>
    <w:p>
      <w:pPr>
        <w:pStyle w:val="ROPTechnicalBody"/>
        <w:widowControl/>
      </w:pPr>
      <w:r>
        <w:rPr>
          <w:i w:val="0"/>
        </w:rPr>
        <w:t>La réponse dépend de l'état du système. Fréquence, intensité, durée de stimulation, fibres recrutées et état fonctionnel du viscère peuvent modifier le sens de la réponse. Dans les modèles vésicaux, le degré de remplissage constitue par exemple une variable importante [7-10,16]. Une même porte périphérique peut donc être facilitatrice, inhibitrice ou sans effet selon les conditions.</w:t>
      </w:r>
    </w:p>
    <w:p>
      <w:pPr>
        <w:pStyle w:val="ROPTechnicalBody"/>
        <w:widowControl/>
      </w:pPr>
      <w:r>
        <w:rPr>
          <w:i w:val="0"/>
        </w:rPr>
        <w:t>Le petit bassin lui-même forme un réseau intégré plutôt qu'une juxtaposition d'organes indépendants. Les interactions entre vessie, côlon distal et rectum sont documentées à plusieurs niveaux, depuis certaines afférences primaires jusqu'aux réseaux spinaux et aux phénomènes de sensibilisation croisée [19-21]. Ces données justifient de parler d'abord de ciblage régional pelvien avant d'affirmer un ciblage d'organe isolé.</w:t>
      </w:r>
    </w:p>
    <w:p>
      <w:pPr>
        <w:pStyle w:val="ROPEditorialNote"/>
        <w:widowControl/>
      </w:pPr>
      <w:r>
        <w:rPr>
          <w:b/>
        </w:rPr>
        <w:t>POURQUOI LE PONT 4 EST CENTRAL</w:t>
      </w:r>
      <w:r>
        <w:br/>
        <w:t>Il explique pourquoi plusieurs portes somatiques peuvent influencer un même réseau pelvien. Il renforce l'idée d'un ciblage régional sans valider un point-organe exclusif. Il constitue aussi le relais naturel entre les ponts périphériques et les voies supraspinales.</w:t>
      </w:r>
    </w:p>
    <w:p>
      <w:pPr>
        <w:pStyle w:val="ROPFigureCaption"/>
        <w:widowControl/>
      </w:pPr>
      <w:r>
        <w:t>Figure 4 - Pont 4 : convergence somatique, périnéale et viscérale dans les réseaux lombo-sacrés, puis modulation des circuits autonomes et sphinctériens pelviens.</w:t>
      </w:r>
    </w:p>
    <w:p>
      <w:pPr>
        <w:pStyle w:val="Heading3"/>
        <w:widowControl/>
      </w:pPr>
      <w:r>
        <w:t>7. Pont 5 - Les voies supraspinales : une voie d’accès aux fonctions viscérales à distance</w:t>
      </w:r>
    </w:p>
    <w:p>
      <w:pPr>
        <w:pStyle w:val="ROPTechnicalBody"/>
        <w:widowControl/>
      </w:pPr>
      <w:r>
        <w:rPr>
          <w:i w:val="0"/>
        </w:rPr>
        <w:t>Le cinquième pont élargit le modèle au-delà des recouvrements segmentaires. Une entrée somatique issue du pied peut remonter vers les centres supérieurs, participer à l'activité de réseaux cérébraux, puis modifier des commandes descendantes vers la moelle et les circuits autonomes. La littérature expérimentale sur les réflexes somato-autonomes montre de façon générale que l'entrée somatosensorielle peut influencer des fonctions autonomes par des mécanismes spinaux et supraspinaux [17].</w:t>
      </w:r>
    </w:p>
    <w:p>
      <w:pPr>
        <w:pStyle w:val="ROPTechnicalBody"/>
        <w:widowControl/>
      </w:pPr>
      <w:r>
        <w:rPr>
          <w:i w:val="0"/>
        </w:rPr>
        <w:t>Pour la vessie, ce contrôle central est particulièrement bien décrit. Les informations viscérales et somatiques sont intégrées à plusieurs niveaux impliquant la substance grise périaqueducale, des centres pontiques, l'insula, le cortex cingulaire et les régions préfrontales ; ces réseaux participent à la perception de l'état viscéral, à l'attention, au contexte, à la décision et à la coordination des réponses autonomes et sphinctériennes [7,11,12].</w:t>
      </w:r>
    </w:p>
    <w:p>
      <w:pPr>
        <w:pStyle w:val="ROPTechnicalBody"/>
        <w:widowControl/>
      </w:pPr>
      <w:r>
        <w:rPr>
          <w:i w:val="0"/>
        </w:rPr>
        <w:t>Il est donc raisonnable de considérer le tronc cérébral et les réseaux insulo-cingulaires et préfrontaux comme des niveaux susceptibles d'être influencés indirectement par une entrée somatique du pied. Le terme « cerveau limbique » doit toutefois être utilisé avec prudence : il est préférable de nommer les structures ou les réseaux concernés plutôt que de suggérer l'existence d'un centre limbique unique de la ROP.</w:t>
      </w:r>
    </w:p>
    <w:p>
      <w:pPr>
        <w:pStyle w:val="ROPTechnicalBody"/>
        <w:widowControl/>
      </w:pPr>
      <w:r>
        <w:rPr>
          <w:i w:val="0"/>
        </w:rPr>
        <w:t>Les réponses cérébrales observées lors de stimulations transcutanées tibiales et fibulaires ne sont pas identiques [13]. Cela indique que plusieurs portes périphériques peuvent atteindre des réseaux centraux partiellement communs tout en conservant des profils différents. Encore une fois, ces données portent sur la neuromodulation électrique et ne suffisent pas à établir l'équivalence avec une pression manuelle ROP.</w:t>
      </w:r>
    </w:p>
    <w:p>
      <w:pPr>
        <w:pStyle w:val="ROPTechnicalBody"/>
        <w:widowControl/>
      </w:pPr>
      <w:r>
        <w:rPr>
          <w:i w:val="0"/>
        </w:rPr>
        <w:t>Le schéma fonctionnel peut être résumé ainsi : pied -&gt; moelle -&gt; tronc cérébral et réseaux centraux -&gt; réseaux insulo-cingulaires/préfrontaux et autonomes -&gt; commandes descendantes -&gt; circuits spinaux/autonomes -&gt; modification possible d'une fonction viscérale. Il s'agit d'une architecture fonctionnelle simplifiée, et non d'une voie anatomique unique où chaque étape serait nécessairement un relais séquentiel obligatoire.</w:t>
      </w:r>
    </w:p>
    <w:p>
      <w:pPr>
        <w:pStyle w:val="ROPTechnicalBody"/>
        <w:widowControl/>
      </w:pPr>
      <w:r>
        <w:rPr>
          <w:i w:val="0"/>
        </w:rPr>
        <w:t>Le principal enseignement du Pont 5 est méthodologique : l'absence de recouvrement radiculaire direct ne suffit pas à exclure un effet viscéral. En revanche, plus l'hypothèse dépend exclusivement de relais supraspinaux généraux, moins elle permet d'affirmer une spécificité régionale ou une correspondance point-organe.</w:t>
      </w:r>
    </w:p>
    <w:p>
      <w:pPr>
        <w:pStyle w:val="ROPFigureCaption"/>
        <w:widowControl/>
      </w:pPr>
      <w:r>
        <w:t>Figure 5 - Pont 5 : pied -&gt; moelle -&gt; tronc cérébral -&gt; réseaux insulo-cingulaires et préfrontaux -&gt; commandes descendantes autonomes et somatiques.</w:t>
      </w:r>
    </w:p>
    <w:p>
      <w:pPr>
        <w:pStyle w:val="Heading3"/>
        <w:widowControl/>
      </w:pPr>
      <w:r>
        <w:t>8. Un gradient de ciblage neuro-anatomique à deux axes</w:t>
      </w:r>
    </w:p>
    <w:p>
      <w:pPr>
        <w:pStyle w:val="ROPTechnicalBody"/>
        <w:widowControl/>
      </w:pPr>
      <w:r>
        <w:rPr>
          <w:i w:val="0"/>
        </w:rPr>
        <w:t>La première version du gradient classait principalement les zones selon la densité des arguments anatomiques reliant le pied à une région viscérale. La discussion conduit à le faire évoluer vers une lecture à deux axes, afin de ne pas confondre proximité anatomique et preuve expérimentale.</w:t>
      </w:r>
    </w:p>
    <w:p>
      <w:pPr>
        <w:pStyle w:val="Heading4"/>
        <w:widowControl/>
      </w:pPr>
      <w:r>
        <w:t>8.1. Axe horizontal : proximité segmentaire et densité des ponts régionaux</w:t>
      </w:r>
    </w:p>
    <w:p>
      <w:pPr>
        <w:pStyle w:val="ROPTechnicalBody"/>
        <w:widowControl/>
      </w:pPr>
      <w:r>
        <w:rPr>
          <w:i w:val="0"/>
        </w:rPr>
        <w:t>Cet axe répond à la question : combien d'arguments anatomiques convergent vers une même région ? Il prend en compte le nerf périphérique, les racines probables, la présence ou non d'un recouvrement avec les voies viscérales, la convergence spinale régionale et l'intégration fonctionnelle locale. Sur cet axe, les territoires tibiaux associés aux réseaux pelviens sont les candidats les plus forts, car ils combinent une porte périphérique identifiable, des composantes S2-S3 et une convergence lombo-sacrée documentée [7-10,16].</w:t>
      </w:r>
    </w:p>
    <w:p>
      <w:pPr>
        <w:pStyle w:val="Heading4"/>
        <w:widowControl/>
      </w:pPr>
      <w:r>
        <w:t>8.2. Axe vertical : niveau de preuve de modulation somato-viscérale</w:t>
      </w:r>
    </w:p>
    <w:p>
      <w:pPr>
        <w:pStyle w:val="ROPTechnicalBody"/>
        <w:widowControl/>
      </w:pPr>
      <w:r>
        <w:rPr>
          <w:i w:val="0"/>
        </w:rPr>
        <w:t>Cet axe répond à une autre question : existe-t-il des données expérimentales ou cliniques montrant qu'une stimulation somatique de cette voie modifie effectivement une fonction viscérale ? La vessie se situe actuellement haut sur cet axe, en raison de la littérature consacrée à la neuromodulation tibiale et aux mécanismes spinaux et supraspinaux du contrôle urinaire [7-12,16]. Pour d'autres viscères, la preuve peut être beaucoup plus faible ou indirecte dans la bibliographie retenue.</w:t>
      </w:r>
    </w:p>
    <w:p>
      <w:pPr>
        <w:pStyle w:val="ROPTechnicalBody"/>
        <w:widowControl/>
      </w:pPr>
      <w:r>
        <w:rPr>
          <w:i w:val="0"/>
        </w:rPr>
        <w:t>L'intérêt de cette séparation est majeur : une cible peut être anatomiquement éloignée du pied et rester modulable par des mécanismes intersegmentaires ou supraspinaux [17]. Inversement, un recouvrement segmentaire favorable n'est pas une preuve d'efficacité thérapeutique. Le gradient ne doit donc jamais être lu comme une échelle de puissance clinique.</w:t>
      </w:r>
    </w:p>
    <w:p>
      <w:pPr>
        <w:pStyle w:val="Heading4"/>
        <w:widowControl/>
      </w:pPr>
      <w:r>
        <w:t>8.3. Application provisoire aux principales cibles</w:t>
      </w:r>
    </w:p>
    <w:p>
      <w:pPr>
        <w:pStyle w:val="ROPTechnicalBullet"/>
        <w:widowControl/>
      </w:pPr>
      <w:r>
        <w:rPr>
          <w:i w:val="0"/>
        </w:rPr>
        <w:t>Vessie et fonctions urinaires basses : meilleur modèle actuel. Recouvrement S2-S3/S2-S4, convergence sacrée et littérature spécifique de neuromodulation. Ciblage régional plausible ; spécificité point-organe non démontrée [7-12,16].</w:t>
      </w:r>
    </w:p>
    <w:p>
      <w:pPr>
        <w:pStyle w:val="ROPTechnicalBullet"/>
        <w:widowControl/>
      </w:pPr>
      <w:r>
        <w:rPr>
          <w:i w:val="0"/>
        </w:rPr>
        <w:t>Rectum et côlon distal : cible régionale importante. Les afférences spinales du côlon et du rectum sont distribuées, et les interactions vessie-intestin montrent des convergences pelviennes et des phénomènes de sensibilisation croisée [15,19-21].</w:t>
      </w:r>
    </w:p>
    <w:p>
      <w:pPr>
        <w:pStyle w:val="ROPTechnicalBullet"/>
        <w:widowControl/>
      </w:pPr>
      <w:r>
        <w:rPr>
          <w:i w:val="0"/>
        </w:rPr>
        <w:t>Autres organes pelviens : l'organisation S2-S4 et les réseaux pelviens rendent un accès régional plausible, mais la présente bibliographie ne fournit pas pour chaque organe le même niveau de preuve expérimentale que pour la vessie. Ils doivent donc être considérés comme des cibles candidates à documenter plutôt que comme des équivalents démontrés.</w:t>
      </w:r>
    </w:p>
    <w:p>
      <w:pPr>
        <w:pStyle w:val="ROPTechnicalBullet"/>
        <w:widowControl/>
      </w:pPr>
      <w:r>
        <w:rPr>
          <w:i w:val="0"/>
        </w:rPr>
        <w:t>Viscères abdominaux hauts - notamment estomac, rein, rate et glandes surrénales : leurs voies afférentes principales sont globalement plus éloignées des entrées somatiques distales du pied. Une influence somato-autonome reste physiologiquement concevable par les relais intersegmentaires et supraspinaux [17,18], mais la bibliographie retenue ici ne permet pas d'affirmer une modulation spécifique de chacun de ces viscères par une pression podale ROP.</w:t>
      </w:r>
    </w:p>
    <w:p>
      <w:pPr>
        <w:pStyle w:val="ROPTechnicalBullet"/>
        <w:widowControl/>
      </w:pPr>
      <w:r>
        <w:rPr>
          <w:i w:val="0"/>
        </w:rPr>
        <w:t>Intestin grêle : même prudence. Son organisation afférente ne fournit pas un recouvrement sacré direct comparable à celui du petit bassin ; toute hypothèse de ciblage podal doit donc reposer davantage sur les relais intersegmentaires ou supraspinaux que sur la proximité radiculaire [17,18].</w:t>
      </w:r>
    </w:p>
    <w:p>
      <w:pPr>
        <w:pStyle w:val="ROPTechnicalBullet"/>
        <w:widowControl/>
      </w:pPr>
      <w:r>
        <w:rPr>
          <w:i w:val="0"/>
        </w:rPr>
        <w:t>Diaphragme : il doit être traité séparément. Il s'agit principalement d'un muscle strié sous contrôle phrénique cervical, et non d'un viscère au sens de ce gradient. Une influence depuis le pied relèverait d'une modulation centrale, respiratoire ou somatique, pas d'un pont viscéral segmentaire sacré [1].</w:t>
      </w:r>
    </w:p>
    <w:p>
      <w:pPr>
        <w:pStyle w:val="ROPFigureCaption"/>
        <w:widowControl/>
      </w:pPr>
      <w:r>
        <w:t>Figure 6 - Gradient à deux axes : proximité segmentaire/régionale d’une part, niveau de preuve expérimentale de modulation somato-viscérale d’autre part.</w:t>
      </w:r>
    </w:p>
    <w:p>
      <w:pPr>
        <w:pStyle w:val="ROPEditorialNote"/>
        <w:widowControl/>
      </w:pPr>
      <w:r>
        <w:rPr>
          <w:b/>
        </w:rPr>
        <w:t>MESSAGE CLÉ DU GRADIENT</w:t>
      </w:r>
      <w:r>
        <w:br/>
        <w:t>L'absence de recouvrement radiculaire n'exclut pas un effet viscéral ; elle rend surtout le ciblage régional moins spécifique. À l'inverse, un recouvrement segmentaire dense augmente la plausibilité anatomique d'un ciblage régional sans démontrer l'efficacité d'un point ROP.</w:t>
      </w:r>
    </w:p>
    <w:p>
      <w:pPr>
        <w:pStyle w:val="Heading3"/>
        <w:widowControl/>
      </w:pPr>
      <w:r>
        <w:t>9. Transformer la cartographie ROP en hypothèse expérimentale</w:t>
      </w:r>
    </w:p>
    <w:p>
      <w:pPr>
        <w:pStyle w:val="ROPTechnicalBody"/>
        <w:widowControl/>
      </w:pPr>
      <w:r>
        <w:rPr>
          <w:i w:val="0"/>
        </w:rPr>
        <w:t>L'intérêt principal de cette architecture n'est pas de fournir une justification rétrospective à chaque point de la cartographie. Il est de transformer cette cartographie en une série d'hypothèses vérifiables. Chaque zone peut être décrite par une chaîne explicite : tissu stimulé -&gt; population réceptrice -&gt; branche nerveuse -&gt; nerf principal -&gt; racines probables -&gt; réseau spinal -&gt; relais supraspinaux -&gt; fonction mesurée.</w:t>
      </w:r>
    </w:p>
    <w:p>
      <w:pPr>
        <w:pStyle w:val="Heading4"/>
        <w:widowControl/>
      </w:pPr>
      <w:r>
        <w:t>9.1. Comparaison intratibiale : tester le Pont 2</w:t>
      </w:r>
    </w:p>
    <w:p>
      <w:pPr>
        <w:pStyle w:val="ROPTechnicalBody"/>
        <w:widowControl/>
      </w:pPr>
      <w:r>
        <w:rPr>
          <w:i w:val="0"/>
        </w:rPr>
        <w:t>Comparer, avec un geste aussi standardisé que possible, plusieurs zones appartenant toutes au système tibial - par exemple talon, arche médiale, arche latérale et avant-pied. Si les réponses sont identiques, la branche périphérique pourrait jouer un rôle limité. Si elles diffèrent, la distribution des afférences, la profondeur, les tissus stimulés et l'organisation fasciculaire deviennent des variables explicatives prioritaires [2,3,5,6].</w:t>
      </w:r>
    </w:p>
    <w:p>
      <w:pPr>
        <w:pStyle w:val="Heading4"/>
        <w:widowControl/>
      </w:pPr>
      <w:r>
        <w:t>9.2. Comparaison entre nerfs : tester le Pont 3</w:t>
      </w:r>
    </w:p>
    <w:p>
      <w:pPr>
        <w:pStyle w:val="ROPTechnicalBody"/>
        <w:widowControl/>
      </w:pPr>
      <w:r>
        <w:rPr>
          <w:i w:val="0"/>
        </w:rPr>
        <w:t>Comparer les quatre portes somatiques : tibiale, surale, fibulaire et saphène. Cette comparaison permet de tester si le degré de recouvrement sacré prédit la réponse. Une gradation tibial &gt; sural/fibulaire &gt; saphène serait compatible avec une contribution segmentaire ; une réponse similaire des quatre portes orienterait vers une modulation plus générale ; des profils différents pourraient révéler une organisation centrale dépendant du nerf d'entrée [1,13].</w:t>
      </w:r>
    </w:p>
    <w:p>
      <w:pPr>
        <w:pStyle w:val="Heading4"/>
        <w:widowControl/>
      </w:pPr>
      <w:r>
        <w:t>9.3. Comparaison entre cibles viscérales : tester le gradient</w:t>
      </w:r>
    </w:p>
    <w:p>
      <w:pPr>
        <w:pStyle w:val="ROPTechnicalBody"/>
        <w:widowControl/>
      </w:pPr>
      <w:r>
        <w:rPr>
          <w:i w:val="0"/>
        </w:rPr>
        <w:t>Le pelvis doit constituer le premier terrain de validation, car il possède la densité de ponts la plus forte et parce que la vessie fournit un modèle fonctionnel déjà largement étudié [7-12,16]. Le côlon distal et le rectum représentent une seconde cible logique en raison de leurs afférences distribuées et des interactions pelviennes croisées [15,19-21]. Les viscères abdominaux plus hauts permettent ensuite de tester la part des mécanismes intersegmentaires et supraspinaux.</w:t>
      </w:r>
    </w:p>
    <w:p>
      <w:pPr>
        <w:pStyle w:val="Heading4"/>
        <w:widowControl/>
      </w:pPr>
      <w:r>
        <w:t>9.4. Distinguer neuromodulation électrique et pression manuelle</w:t>
      </w:r>
    </w:p>
    <w:p>
      <w:pPr>
        <w:pStyle w:val="ROPTechnicalBody"/>
        <w:widowControl/>
      </w:pPr>
      <w:r>
        <w:rPr>
          <w:i w:val="0"/>
        </w:rPr>
        <w:t>Une grande partie des données mécanistiques disponibles concerne la stimulation électrique transcutanée ou percutanée. Elle démontre qu'un nerf périphérique peut être utilisé comme porte de neuromodulation, mais elle ne prouve pas qu'une pression manuelle recrute les mêmes fibres, avec la même synchronisation ni la même intensité [13,16]. Le programme de recherche ROP doit donc intégrer cette différence au lieu de la masquer.</w:t>
      </w:r>
    </w:p>
    <w:p>
      <w:pPr>
        <w:pStyle w:val="ROPTechnicalBody"/>
        <w:widowControl/>
      </w:pPr>
      <w:r>
        <w:rPr>
          <w:i w:val="0"/>
        </w:rPr>
        <w:t>La question spécifique à la ROP devient : une pression manuelle reproductible sur un territoire anatomiquement défini produit-elle une activité afférente suffisante pour modifier un marqueur neurophysiologique, autonome ou viscéral ? Ce n'est qu'après cette étape qu'il devient pertinent de tester la spécificité de la zone.</w:t>
      </w:r>
    </w:p>
    <w:p>
      <w:pPr>
        <w:pStyle w:val="Heading4"/>
        <w:widowControl/>
      </w:pPr>
      <w:r>
        <w:t>9.5. Variables à documenter</w:t>
      </w:r>
    </w:p>
    <w:p>
      <w:pPr>
        <w:pStyle w:val="ROPTechnicalBullet"/>
        <w:widowControl/>
      </w:pPr>
      <w:r>
        <w:rPr>
          <w:i w:val="0"/>
        </w:rPr>
        <w:t>Localisation anatomique exacte de la zone, côté stimulé et territoire nerveux probable.</w:t>
      </w:r>
    </w:p>
    <w:p>
      <w:pPr>
        <w:pStyle w:val="ROPTechnicalBullet"/>
        <w:widowControl/>
      </w:pPr>
      <w:r>
        <w:rPr>
          <w:i w:val="0"/>
        </w:rPr>
        <w:t>Caractéristiques du geste : surface de contact, direction, profondeur, intensité, durée et répétition.</w:t>
      </w:r>
    </w:p>
    <w:p>
      <w:pPr>
        <w:pStyle w:val="ROPTechnicalBullet"/>
        <w:widowControl/>
      </w:pPr>
      <w:r>
        <w:rPr>
          <w:i w:val="0"/>
        </w:rPr>
        <w:t>État fonctionnel du système au moment du test, particulièrement important pour les circuits viscéraux dépendants de l'état du réseau.</w:t>
      </w:r>
    </w:p>
    <w:p>
      <w:pPr>
        <w:pStyle w:val="ROPTechnicalBullet"/>
        <w:widowControl/>
      </w:pPr>
      <w:r>
        <w:rPr>
          <w:i w:val="0"/>
        </w:rPr>
        <w:t>Comparateur : autre zone du même nerf, autre nerf du pied, stimulation sham ou absence de stimulation selon le protocole.</w:t>
      </w:r>
    </w:p>
    <w:p>
      <w:pPr>
        <w:pStyle w:val="ROPTechnicalBullet"/>
        <w:widowControl/>
      </w:pPr>
      <w:r>
        <w:rPr>
          <w:i w:val="0"/>
        </w:rPr>
        <w:t>Mesure de sortie : marqueur sensoriel, autonome, neurophysiologique, d'imagerie ou fonctionnel adapté à la question étudiée.</w:t>
      </w:r>
    </w:p>
    <w:p>
      <w:pPr>
        <w:pStyle w:val="ROPTechnicalBullet"/>
        <w:widowControl/>
      </w:pPr>
      <w:r>
        <w:rPr>
          <w:i w:val="0"/>
        </w:rPr>
        <w:t>Distinction explicite entre effet général, effet régional et effet attribué à un organe particulier.</w:t>
      </w:r>
    </w:p>
    <w:p>
      <w:pPr>
        <w:pStyle w:val="Heading3"/>
        <w:widowControl/>
      </w:pPr>
      <w:r>
        <w:t>10. Portée et limites de la proposition</w:t>
      </w:r>
    </w:p>
    <w:p>
      <w:pPr>
        <w:pStyle w:val="ROPTechnicalBody"/>
        <w:widowControl/>
      </w:pPr>
      <w:r>
        <w:rPr>
          <w:i w:val="0"/>
        </w:rPr>
        <w:t>Cette lecture ne cherche pas à démontrer ici l'efficacité de la réflexothérapie. Elle propose une architecture de travail. Une zone ROP est considérée comme anatomiquement mieux fondée lorsqu'elle réunit plusieurs éléments concordants : porte périphérique identifiable, profil afférent plausible, compatibilité radiculaire, convergence spinale régionale et, idéalement, données expérimentales de modulation. Une zone est moins ciblée lorsque le lien repose principalement sur des relais centraux généraux ou sur une correspondance cartographique traditionnelle.</w:t>
      </w:r>
    </w:p>
    <w:p>
      <w:pPr>
        <w:pStyle w:val="ROPTechnicalBody"/>
        <w:widowControl/>
      </w:pPr>
      <w:r>
        <w:rPr>
          <w:i w:val="0"/>
        </w:rPr>
        <w:t>La présence d'une réponse autonome ne doit pas être confondue avec une preuve de ciblage viscéral. L'étude montrant que le feedback mécanorécepteur du pied peut moduler l'activité sympathique musculaire soutient l'existence d'un couplage somato-autonome [14], mais ne permet pas d'attribuer cette réponse à un organe. De même, l'activation de réseaux cérébraux après stimulation tibiale ou fibulaire [13] établit une entrée centrale, pas une correspondance point-organe.</w:t>
      </w:r>
    </w:p>
    <w:p>
      <w:pPr>
        <w:pStyle w:val="ROPTechnicalBody"/>
        <w:widowControl/>
      </w:pPr>
      <w:r>
        <w:rPr>
          <w:i w:val="0"/>
        </w:rPr>
        <w:t>La bibliographie utilisée ici soutient particulièrement la plante du pied, l'anatomie du nerf tibial et de ses branches, la neuromodulation vésicale, les réseaux sacrés, les interactions vessie-intestin et les mécanismes généraux somato-autonomes. Elle ne fournit pas le même niveau de preuve pour chaque viscère évoqué au cours de la discussion. Les propositions concernant l'estomac, le rein, la rate, les glandes surrénales ou l'intestin grêle doivent donc rester formulées comme des hypothèses de modulation à distance à documenter, non comme des effets spécifiques déjà établis.</w:t>
      </w:r>
    </w:p>
    <w:p>
      <w:pPr>
        <w:pStyle w:val="Heading3"/>
        <w:widowControl/>
      </w:pPr>
      <w:r>
        <w:t>11. Synthèse : des portes, des ponts et un gradient</w:t>
      </w:r>
    </w:p>
    <w:p>
      <w:pPr>
        <w:pStyle w:val="ROPTechnicalBody"/>
        <w:widowControl/>
      </w:pPr>
      <w:r>
        <w:rPr>
          <w:i w:val="0"/>
        </w:rPr>
        <w:t>Le pied ne contient pas les organes ; il contient des portes d'entrée somatiques. Ces portes n'ont probablement ni la même densité sensorielle, ni la même organisation périphérique, ni la même proximité avec les réseaux spinaux. La porte plantaire/tibiale possède une base anatomique particulièrement riche pour le pelvis, mais elle n'est ni unique ni exclusive.</w:t>
      </w:r>
    </w:p>
    <w:p>
      <w:pPr>
        <w:pStyle w:val="ROPTechnicalBody"/>
        <w:widowControl/>
      </w:pPr>
      <w:r>
        <w:rPr>
          <w:i w:val="0"/>
        </w:rPr>
        <w:t>Le modèle révisé s'organise autour de cinq ponts complémentaires. Le Pont 1 examine la proximité segmentaire du tibial avec les réseaux sacrés. Le Pont 2 descend au niveau des branches plantaires et calcanéennes pour comprendre ce que la pression manuelle recrute réellement. Le Pont 3 compare les autres portes somatiques - surale, fibulaire et saphène. Le Pont 4 situe leur convergence dans les réseaux lombo-sacrés. Le Pont 5 explique comment une entrée du pied peut accéder à des réseaux supraspinaux et, par des commandes descendantes, moduler des fonctions plus éloignées.</w:t>
      </w:r>
    </w:p>
    <w:p>
      <w:pPr>
        <w:pStyle w:val="ROPTechnicalBody"/>
        <w:widowControl/>
      </w:pPr>
      <w:r>
        <w:rPr>
          <w:i w:val="0"/>
        </w:rPr>
        <w:t>Cette architecture conduit à une règle simple : plus une hypothèse associe une branche périphérique identifiable, une proximité radiculaire et une convergence spinale régionale, plus le ciblage anatomique est plausible. Plus elle dépend de relais intersegmentaires et supraspinaux généraux, plus une modulation reste possible mais moins l'anatomie permet de soutenir une spécificité régionale. La preuve expérimentale constitue un axe distinct et doit être évaluée séparément.</w:t>
      </w:r>
    </w:p>
    <w:p>
      <w:pPr>
        <w:pStyle w:val="ROPTechnicalBody"/>
        <w:widowControl/>
      </w:pPr>
      <w:r>
        <w:rPr>
          <w:i w:val="0"/>
        </w:rPr>
        <w:t>La ROP peut ainsi être reformulée comme un programme de recherche neuro-anatomique : identifier les portes, caractériser les afférences recrutées, comparer les nerfs, mesurer la réponse des réseaux et déterminer jusqu'où cette organisation explique les effets cliniques observés. La cartographie n'est plus une représentation figée du corps sur le pied ; elle devient une hypothèse anatomique et neurofonctionnelle à tester.</w:t>
      </w:r>
    </w:p>
    <w:p>
      <w:pPr>
        <w:pStyle w:val="Heading3"/>
        <w:widowControl/>
      </w:pPr>
      <w:r>
        <w:t>Terminologie retenue</w:t>
      </w:r>
    </w:p>
    <w:p>
      <w:pPr>
        <w:pStyle w:val="ROPTechnicalBullet"/>
        <w:widowControl/>
      </w:pPr>
      <w:r>
        <w:rPr>
          <w:i w:val="0"/>
        </w:rPr>
        <w:t>Pont neuro-anatomique : possibilité de convergence ou de relais entre une entrée somatique et un réseau susceptible de participer à une fonction viscérale.</w:t>
      </w:r>
    </w:p>
    <w:p>
      <w:pPr>
        <w:pStyle w:val="ROPTechnicalBullet"/>
        <w:widowControl/>
      </w:pPr>
      <w:r>
        <w:rPr>
          <w:i w:val="0"/>
        </w:rPr>
        <w:t>Porte d'entrée somatique : territoire périphérique dont la stimulation génère une activité afférente par un nerf identifiable.</w:t>
      </w:r>
    </w:p>
    <w:p>
      <w:pPr>
        <w:pStyle w:val="ROPTechnicalBullet"/>
        <w:widowControl/>
      </w:pPr>
      <w:r>
        <w:rPr>
          <w:i w:val="0"/>
        </w:rPr>
        <w:t>Afférences viscérales cheminant avec les voies splanchniques thoracolombaires / avec les nerfs pelviens : formulations préférées à « afférences sympathiques » ou « parasympathiques » lorsque l'on décrit un message sensitif.</w:t>
      </w:r>
    </w:p>
    <w:p>
      <w:pPr>
        <w:pStyle w:val="ROPTechnicalBullet"/>
        <w:widowControl/>
      </w:pPr>
      <w:r>
        <w:rPr>
          <w:i w:val="0"/>
        </w:rPr>
        <w:t>Ciblage régional : plausibilité anatomique qu'une porte somatique accède préférentiellement à un réseau régional ; ne signifie ni efficacité clinique ni spécificité point-organe.</w:t>
      </w:r>
    </w:p>
    <w:p>
      <w:pPr>
        <w:pStyle w:val="ROPTechnicalBullet"/>
        <w:widowControl/>
      </w:pPr>
      <w:r>
        <w:rPr>
          <w:i w:val="0"/>
        </w:rPr>
        <w:t>Modulation viscérale : modification mesurable d'une fonction ou d'un circuit viscéral ; terme préféré à « action directe sur l'organe ».</w:t>
      </w:r>
    </w:p>
    <w:p>
      <w:pPr>
        <w:pStyle w:val="ROPTechnicalBullet"/>
        <w:widowControl/>
      </w:pPr>
      <w:r>
        <w:rPr>
          <w:i w:val="0"/>
        </w:rPr>
        <w:t>Voie supraspinale : participation de centres situés au-dessus de la moelle à l'intégration de l'entrée somatique et aux commandes descendantes.</w:t>
      </w:r>
    </w:p>
    <w:p>
      <w:pPr>
        <w:pStyle w:val="ROPTechnicalBullet"/>
        <w:widowControl/>
      </w:pPr>
      <w:r>
        <w:rPr>
          <w:i w:val="0"/>
        </w:rPr>
        <w:t>Dorsalement, ventralement, latéralement, médialement, céphaliquement, caudalement, frontalement et sagittalement : terminologie directionnelle privilégiée dans l'ouvrage.</w:t>
      </w:r>
    </w:p>
    <w:p>
      <w:pPr>
        <w:pStyle w:val="Heading3"/>
        <w:widowControl/>
      </w:pPr>
      <w:r>
        <w:t>Bibliographie</w:t>
      </w:r>
    </w:p>
    <w:p>
      <w:pPr>
        <w:pStyle w:val="ROPBibliography"/>
        <w:widowControl/>
      </w:pPr>
      <w:r>
        <w:t>1. Standring S, ed. Gray’s Anatomy: The Anatomical Basis of Clinical Practice. 42nd ed. Elsevier; 2020.</w:t>
      </w:r>
    </w:p>
    <w:p>
      <w:pPr>
        <w:pStyle w:val="ROPBibliography"/>
        <w:widowControl/>
      </w:pPr>
      <w:r>
        <w:t>2. Kennedy PM, Inglis JT. Distribution and behaviour of glabrous cutaneous receptors in the human foot sole. J Physiol. 2002;538(Pt 3):995–1002. doi:10.1113/jphysiol.2001.013087.</w:t>
      </w:r>
    </w:p>
    <w:p>
      <w:pPr>
        <w:pStyle w:val="ROPBibliography"/>
        <w:widowControl/>
      </w:pPr>
      <w:r>
        <w:t>3. Strzalkowski NDJ, Peters RM, Inglis JT, Bent LR. Cutaneous afferent innervation of the human foot sole: what can we learn from single-unit recordings? J Neurophysiol. 2018;120(3):1233–1246. doi:10.1152/jn.00848.2017.</w:t>
      </w:r>
    </w:p>
    <w:p>
      <w:pPr>
        <w:pStyle w:val="ROPBibliography"/>
        <w:widowControl/>
      </w:pPr>
      <w:r>
        <w:t>4. de Souza Faleiros AT, de Lima Resende LA, Zanini MA, de Lima Castro HA, Colichio Gabarra R. L4-L5-S1 human dermatomes: a clinical, electromyographical, imaging and surgical findings. Arq Neuropsiquiatr. 2009;67(2A):265–267. doi:10.1590/S0004-282X2009000200017.</w:t>
      </w:r>
    </w:p>
    <w:p>
      <w:pPr>
        <w:pStyle w:val="ROPBibliography"/>
        <w:widowControl/>
      </w:pPr>
      <w:r>
        <w:t>5. Deniel C, Guenoun D, Guillin R, Moraux A, Champsaur P, Le Corroller T. Anatomical study of the medial calcaneal nerve using high-resolution ultrasound. Eur Radiol. 2023;33(10):7330–7337. doi:10.1007/s00330-023-09699-6.</w:t>
      </w:r>
    </w:p>
    <w:p>
      <w:pPr>
        <w:pStyle w:val="ROPBibliography"/>
        <w:widowControl/>
      </w:pPr>
      <w:r>
        <w:t>6. Andreasen Struijk LNS, Birn H, Teglbjærg PS, Haase J, Struijk JJ. Size and separability of the calcaneal and the medial and lateral plantar nerves in the distal tibial nerve. Anat Sci Int. 2010;85(1):13–22. doi:10.1007/s12565-009-0045-y.</w:t>
      </w:r>
    </w:p>
    <w:p>
      <w:pPr>
        <w:pStyle w:val="ROPBibliography"/>
        <w:widowControl/>
      </w:pPr>
      <w:r>
        <w:t>7. Fowler CJ, Griffiths D, de Groat WC. The neural control of micturition. Nat Rev Neurosci. 2008;9(6):453–466. doi:10.1038/nrn2401.</w:t>
      </w:r>
    </w:p>
    <w:p>
      <w:pPr>
        <w:pStyle w:val="ROPBibliography"/>
        <w:widowControl/>
      </w:pPr>
      <w:r>
        <w:t>8. Shefchyk SJ. Spinal cord neural organization controlling the urinary bladder and striated sphincter. Prog Brain Res. 2002;137:71–82. doi:10.1016/S0079-6123(02)37008-0.</w:t>
      </w:r>
    </w:p>
    <w:p>
      <w:pPr>
        <w:pStyle w:val="ROPBibliography"/>
        <w:widowControl/>
      </w:pPr>
      <w:r>
        <w:t>9. de Groat WC, Vizzard MA, Araki I, Roppolo J. Spinal interneurons and preganglionic neurons in sacral autonomic reflex pathways. Prog Brain Res. 1996;107:97–111. doi:10.1016/S0079-6123(08)61860-9.</w:t>
      </w:r>
    </w:p>
    <w:p>
      <w:pPr>
        <w:pStyle w:val="ROPBibliography"/>
        <w:widowControl/>
      </w:pPr>
      <w:r>
        <w:t>10. Yecies T, Li S, Zhang Y, Cai H, Shen B, Wang J, et al. Spinal interneuronal mechanisms underlying pudendal and tibial neuromodulation of bladder function in cats. Exp Neurol. 2018;308:100–110. doi:10.1016/j.expneurol.2018.06.015.</w:t>
      </w:r>
    </w:p>
    <w:p>
      <w:pPr>
        <w:pStyle w:val="ROPBibliography"/>
        <w:widowControl/>
      </w:pPr>
      <w:r>
        <w:t>11. Griffiths D. Neural control of micturition in humans: a working model. Nat Rev Urol. 2015;12(12):695–705. doi:10.1038/nrurol.2015.266.</w:t>
      </w:r>
    </w:p>
    <w:p>
      <w:pPr>
        <w:pStyle w:val="ROPBibliography"/>
        <w:widowControl/>
      </w:pPr>
      <w:r>
        <w:t>12. de Rijk MM, Fernández Chadily S, Knops A, Schoutens Y, Verstegen AMJ. The periaqueductal gray and its role in the neural control of lower urinary tract function. Auton Neurosci. 2026;265:103413. doi:10.1016/j.autneu.2026.103413.</w:t>
      </w:r>
    </w:p>
    <w:p>
      <w:pPr>
        <w:pStyle w:val="ROPBibliography"/>
        <w:widowControl/>
      </w:pPr>
      <w:r>
        <w:t>13. Krhut J, Tintěra J, Rejchrt M, Skugarevská B, Zachoval R, Zvara P, et al. Differences between brain responses to peroneal electrical transcutaneous neuromodulation and transcutaneous tibial nerve stimulation, two treatments for overactive bladder. Neurourol Urodyn. 2023;42(6):1352–1361. doi:10.1002/nau.25197.</w:t>
      </w:r>
    </w:p>
    <w:p>
      <w:pPr>
        <w:pStyle w:val="ROPBibliography"/>
        <w:widowControl/>
      </w:pPr>
      <w:r>
        <w:t>14. Strzalkowski NDJ, Incognito AV, Bent LR, Millar PJ. Cutaneous mechanoreceptor feedback from the hand and foot can modulate muscle sympathetic nerve activity. Front Neurosci. 2016;10:568. doi:10.3389/fnins.2016.00568.</w:t>
      </w:r>
    </w:p>
    <w:p>
      <w:pPr>
        <w:pStyle w:val="ROPBibliography"/>
        <w:widowControl/>
      </w:pPr>
      <w:r>
        <w:t>15. Brierley SM, Hibberd TJ, Spencer NJ. Spinal afferent innervation of the colon and rectum. Front Cell Neurosci. 2018;12:467. doi:10.3389/fncel.2018.00467.</w:t>
      </w:r>
    </w:p>
    <w:p>
      <w:pPr>
        <w:pStyle w:val="ROPBibliography"/>
        <w:widowControl/>
      </w:pPr>
      <w:r>
        <w:t>16. Li X, Li X, Liao L. Mechanism of action of tibial nerve stimulation in the treatment of lower urinary tract dysfunction. Neuromodulation. 2024;27(2):256–266. doi:10.1016/j.neurom.2023.03.017.</w:t>
      </w:r>
    </w:p>
    <w:p>
      <w:pPr>
        <w:pStyle w:val="ROPBibliography"/>
        <w:widowControl/>
      </w:pPr>
      <w:r>
        <w:t>17. Sato A, Sato Y, Schmidt RF. The impact of somatosensory input on autonomic functions. Rev Physiol Biochem Pharmacol. 1997;130:1–328. doi:10.1007/BFb0046598.</w:t>
      </w:r>
    </w:p>
    <w:p>
      <w:pPr>
        <w:pStyle w:val="ROPBibliography"/>
        <w:widowControl/>
      </w:pPr>
      <w:r>
        <w:t>18. Jänig W. Neurobiology of visceral afferent neurons: neuroanatomy, functions, organ regulations and sensations. Biol Psychol. 1996;42(1–2):29–51. doi:10.1016/0301-0511(95)05145-7.</w:t>
      </w:r>
    </w:p>
    <w:p>
      <w:pPr>
        <w:pStyle w:val="ROPBibliography"/>
        <w:widowControl/>
      </w:pPr>
      <w:r>
        <w:t>19. Panicker JN, Marcelissen T, von Gontard A, Vrijens D, Abrams P, Wyndaele M. Bladder-bowel interactions: do we understand pelvic organ cross-sensitization? International Consultation on Incontinence Research Society (ICI-RS) 2018. Neurourol Urodyn. 2019;38(Suppl 5):S25–S34. doi:10.1002/nau.24111.</w:t>
      </w:r>
    </w:p>
    <w:p>
      <w:pPr>
        <w:pStyle w:val="ROPBibliography"/>
        <w:widowControl/>
      </w:pPr>
      <w:r>
        <w:t>20. Malykhina AP. Neural mechanisms of pelvic organ cross-sensitization. Neuroscience. 2007;149(3):660–672. doi:10.1016/j.neuroscience.2007.07.053.</w:t>
      </w:r>
    </w:p>
    <w:p>
      <w:pPr>
        <w:pStyle w:val="ROPBibliography"/>
        <w:widowControl/>
      </w:pPr>
      <w:r>
        <w:t>21. Christianson JA, Liang R, Ustinova EE, Davis BM, Fraser MO, Pezzone MA. Convergence of bladder and colon sensory innervation occurs at the primary afferent level. Pain. 2007;128(3):235–243. doi:10.1016/j.pain.2006.09.023.</w:t>
      </w:r>
    </w:p>
    <w:p>
      <w:pPr>
        <w:pStyle w:val="ROPEditorialNote"/>
        <w:widowControl/>
      </w:pPr>
      <w:r>
        <w:rPr>
          <w:i w:val="0"/>
        </w:rPr>
        <w:t>Note : cette bibliographie soutient l'architecture neuro-anatomique présentée ici. Elle n'a pas pour objet de constituer une revue systématique de l'efficacité clinique de la réflexothérapie ni de documenter avec le même niveau de détail chaque viscère évoqué.</w:t>
      </w:r>
    </w:p>
    <w:sectPr w:rsidR="00E13183" w:rsidRPr="002D4AAA" w:rsidSect="004652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82E5A26"/>
    <w:lvl w:ilvl="0">
      <w:start w:val="1"/>
      <w:numFmt w:val="bullet"/>
      <w:pStyle w:val="ListBullet"/>
      <w:lvlText w:val=""/>
      <w:lvlJc w:val="left"/>
      <w:pPr>
        <w:tabs>
          <w:tab w:val="num" w:pos="360"/>
        </w:tabs>
        <w:ind w:left="360" w:hanging="360"/>
      </w:pPr>
      <w:rPr>
        <w:rFonts w:ascii="Symbol" w:hAnsi="Symbol" w:hint="default"/>
      </w:rPr>
    </w:lvl>
  </w:abstractNum>
  <w:num w:numId="1" w16cid:durableId="1502961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26E"/>
    <w:rsid w:val="001349E7"/>
    <w:rsid w:val="002423D9"/>
    <w:rsid w:val="002D4AAA"/>
    <w:rsid w:val="004120C0"/>
    <w:rsid w:val="0046526E"/>
    <w:rsid w:val="004C7AF8"/>
    <w:rsid w:val="00550483"/>
    <w:rsid w:val="00765253"/>
    <w:rsid w:val="008847FE"/>
    <w:rsid w:val="00A311EF"/>
    <w:rsid w:val="00B63B87"/>
    <w:rsid w:val="00C1050C"/>
    <w:rsid w:val="00E04BB1"/>
    <w:rsid w:val="00E13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5E7FF"/>
  <w15:chartTrackingRefBased/>
  <w15:docId w15:val="{8FE4098C-0D16-4558-8418-0EBDFA7A3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26E"/>
  </w:style>
  <w:style w:type="paragraph" w:styleId="Heading1">
    <w:name w:val="heading 1"/>
    <w:basedOn w:val="Normal"/>
    <w:next w:val="Normal"/>
    <w:link w:val="Heading1Char"/>
    <w:uiPriority w:val="9"/>
    <w:qFormat/>
    <w:rsid w:val="004652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52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526E"/>
    <w:pPr>
      <w:keepNext/>
      <w:keepLines/>
      <w:spacing w:before="160" w:after="60"/>
      <w:outlineLvl w:val="2"/>
    </w:pPr>
    <w:rPr>
      <w:rFonts w:ascii="Calibri" w:eastAsiaTheme="majorEastAsia" w:hAnsi="Calibri" w:cstheme="majorBidi"/>
      <w:b/>
      <w:color w:val="2F5496"/>
      <w:sz w:val="25"/>
      <w:szCs w:val="28"/>
    </w:rPr>
  </w:style>
  <w:style w:type="paragraph" w:styleId="Heading4">
    <w:name w:val="heading 4"/>
    <w:basedOn w:val="Normal"/>
    <w:next w:val="Normal"/>
    <w:link w:val="Heading4Char"/>
    <w:uiPriority w:val="9"/>
    <w:semiHidden/>
    <w:unhideWhenUsed/>
    <w:qFormat/>
    <w:rsid w:val="004652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52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5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2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52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52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52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52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5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26E"/>
    <w:rPr>
      <w:rFonts w:eastAsiaTheme="majorEastAsia" w:cstheme="majorBidi"/>
      <w:color w:val="272727" w:themeColor="text1" w:themeTint="D8"/>
    </w:rPr>
  </w:style>
  <w:style w:type="paragraph" w:styleId="Title">
    <w:name w:val="Title"/>
    <w:basedOn w:val="Normal"/>
    <w:next w:val="Normal"/>
    <w:link w:val="TitleChar"/>
    <w:uiPriority w:val="10"/>
    <w:qFormat/>
    <w:rsid w:val="00465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26E"/>
    <w:pPr>
      <w:spacing w:before="160"/>
      <w:jc w:val="center"/>
    </w:pPr>
    <w:rPr>
      <w:i/>
      <w:iCs/>
      <w:color w:val="404040" w:themeColor="text1" w:themeTint="BF"/>
    </w:rPr>
  </w:style>
  <w:style w:type="character" w:customStyle="1" w:styleId="QuoteChar">
    <w:name w:val="Quote Char"/>
    <w:basedOn w:val="DefaultParagraphFont"/>
    <w:link w:val="Quote"/>
    <w:uiPriority w:val="29"/>
    <w:rsid w:val="0046526E"/>
    <w:rPr>
      <w:i/>
      <w:iCs/>
      <w:color w:val="404040" w:themeColor="text1" w:themeTint="BF"/>
    </w:rPr>
  </w:style>
  <w:style w:type="paragraph" w:styleId="ListParagraph">
    <w:name w:val="List Paragraph"/>
    <w:basedOn w:val="Normal"/>
    <w:uiPriority w:val="34"/>
    <w:qFormat/>
    <w:rsid w:val="0046526E"/>
    <w:pPr>
      <w:ind w:left="720"/>
      <w:contextualSpacing/>
    </w:pPr>
  </w:style>
  <w:style w:type="character" w:styleId="IntenseEmphasis">
    <w:name w:val="Intense Emphasis"/>
    <w:basedOn w:val="DefaultParagraphFont"/>
    <w:uiPriority w:val="21"/>
    <w:qFormat/>
    <w:rsid w:val="0046526E"/>
    <w:rPr>
      <w:i/>
      <w:iCs/>
      <w:color w:val="2F5496" w:themeColor="accent1" w:themeShade="BF"/>
    </w:rPr>
  </w:style>
  <w:style w:type="paragraph" w:styleId="IntenseQuote">
    <w:name w:val="Intense Quote"/>
    <w:basedOn w:val="Normal"/>
    <w:next w:val="Normal"/>
    <w:link w:val="IntenseQuoteChar"/>
    <w:uiPriority w:val="30"/>
    <w:qFormat/>
    <w:rsid w:val="004652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526E"/>
    <w:rPr>
      <w:i/>
      <w:iCs/>
      <w:color w:val="2F5496" w:themeColor="accent1" w:themeShade="BF"/>
    </w:rPr>
  </w:style>
  <w:style w:type="character" w:styleId="IntenseReference">
    <w:name w:val="Intense Reference"/>
    <w:basedOn w:val="DefaultParagraphFont"/>
    <w:uiPriority w:val="32"/>
    <w:qFormat/>
    <w:rsid w:val="0046526E"/>
    <w:rPr>
      <w:b/>
      <w:bCs/>
      <w:smallCaps/>
      <w:color w:val="2F5496" w:themeColor="accent1" w:themeShade="BF"/>
      <w:spacing w:val="5"/>
    </w:rPr>
  </w:style>
  <w:style w:type="paragraph" w:styleId="ListBullet">
    <w:name w:val="List Bullet"/>
    <w:basedOn w:val="Normal"/>
    <w:uiPriority w:val="99"/>
    <w:unhideWhenUsed/>
    <w:rsid w:val="0046526E"/>
    <w:pPr>
      <w:numPr>
        <w:numId w:val="1"/>
      </w:numPr>
      <w:tabs>
        <w:tab w:val="clear" w:pos="360"/>
      </w:tabs>
      <w:spacing w:after="120" w:line="276" w:lineRule="auto"/>
      <w:ind w:left="0" w:firstLine="0"/>
      <w:contextualSpacing/>
    </w:pPr>
    <w:rPr>
      <w:rFonts w:ascii="Calibri" w:eastAsiaTheme="minorEastAsia" w:hAnsi="Calibri"/>
      <w:kern w:val="0"/>
      <w:sz w:val="22"/>
      <w:szCs w:val="22"/>
      <w14:ligatures w14:val="none"/>
    </w:rPr>
  </w:style>
  <w:style w:type="paragraph" w:customStyle="1" w:styleId="ROPTechnicalBody">
    <w:name w:val="ROP Technical Body"/>
    <w:basedOn w:val="Normal"/>
    <w:pPr>
      <w:spacing w:after="70" w:line="259" w:lineRule="auto"/>
    </w:pPr>
    <w:rPr>
      <w:rFonts w:ascii="Calibri" w:hAnsi="Calibri"/>
      <w:sz w:val="20"/>
    </w:rPr>
  </w:style>
  <w:style w:type="paragraph" w:customStyle="1" w:styleId="ROPTechnicalBullet">
    <w:name w:val="ROP Technical Bullet"/>
    <w:basedOn w:val="ListBullet"/>
    <w:pPr>
      <w:spacing w:after="50" w:line="250" w:lineRule="auto"/>
    </w:pPr>
    <w:rPr>
      <w:sz w:val="20"/>
    </w:rPr>
  </w:style>
  <w:style w:type="paragraph" w:customStyle="1" w:styleId="ROPBibliography">
    <w:name w:val="ROP Bibliography"/>
    <w:basedOn w:val="Normal"/>
    <w:pPr>
      <w:spacing w:after="30" w:line="240" w:lineRule="auto"/>
      <w:ind w:left="259" w:hanging="259"/>
    </w:pPr>
    <w:rPr>
      <w:rFonts w:ascii="Calibri" w:hAnsi="Calibri"/>
      <w:sz w:val="17"/>
    </w:rPr>
  </w:style>
  <w:style w:type="paragraph" w:customStyle="1" w:styleId="ROPEditorialNote">
    <w:name w:val="ROP Editorial Note"/>
    <w:pPr>
      <w:keepLines/>
      <w:spacing w:before="80" w:after="100" w:line="245" w:lineRule="auto"/>
      <w:ind w:left="198" w:right="85"/>
    </w:pPr>
    <w:rPr>
      <w:rFonts w:ascii="Calibri" w:hAnsi="Calibri"/>
      <w:i/>
      <w:color w:val="483E34"/>
      <w:sz w:val="18"/>
    </w:rPr>
  </w:style>
  <w:style w:type="paragraph" w:customStyle="1" w:styleId="ROPTableText">
    <w:name w:val="ROP Table Text"/>
    <w:pPr>
      <w:spacing w:after="0" w:line="240" w:lineRule="auto"/>
    </w:pPr>
    <w:rPr>
      <w:rFonts w:ascii="Calibri" w:hAnsi="Calibri"/>
      <w:sz w:val="17"/>
    </w:rPr>
  </w:style>
  <w:style w:type="paragraph" w:customStyle="1" w:styleId="ROPFigureCaption">
    <w:name w:val="ROP Figure Caption"/>
    <w:pPr>
      <w:keepNext/>
      <w:spacing w:before="80" w:after="160"/>
      <w:jc w:val="center"/>
    </w:pPr>
    <w:rPr>
      <w:rFonts w:ascii="Calibri" w:hAnsi="Calibri"/>
      <w:i/>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4413</Words>
  <Characters>25157</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Chapitre 0 — Fondements neuro-anatomiques de la ROP viscérale</vt:lpstr>
    </vt:vector>
  </TitlesOfParts>
  <Company/>
  <LinksUpToDate>false</LinksUpToDate>
  <CharactersWithSpaces>29511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Fondements neuro-anatomiques de la ROP - version révisée</dc:title>
  <dc:subject>Architecture neuro-anatomique des portes somatiques, convergences spinales et voies supraspinales</dc:subject>
  <dc:creator/>
  <cp:keywords>ROP, neuro-anatomie, pied, pelvis, ponts neuro-anatomiques, afférences viscérales</cp:keywords>
  <dc:description/>
  <cp:lastModifiedBy/>
  <cp:revision>3</cp:revision>
  <dcterms:created xsi:type="dcterms:W3CDTF">2026-07-29T14:46:00Z</dcterms:created>
  <dcterms:modified xsi:type="dcterms:W3CDTF">2026-07-29T15:15:00Z</dcterms:modified>
</cp:coreProperties>
</file>