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Capítulo 14 Intestino delgado</w:t>
      </w:r>
    </w:p>
    <w:p>
      <w:pPr>
        <w:spacing w:after="320"/>
        <w:jc w:val="center"/>
      </w:pPr>
      <w:r>
        <w:rPr>
          <w:i/>
          <w:sz w:val="23"/>
        </w:rPr>
        <w:t>Anatomía, fisiología, patologías frecuentes y zonas reflejas ROP</w:t>
      </w:r>
    </w:p>
    <w:p>
      <w:pPr>
        <w:pStyle w:val="Heading1"/>
      </w:pPr>
      <w:r>
        <w:t>1. Presentación</w:t>
      </w:r>
    </w:p>
    <w:p>
      <w:pPr>
        <w:pStyle w:val="BodyTextES"/>
        <w:ind w:left="0" w:right="0" w:firstLine="0"/>
      </w:pPr>
      <w:r>
        <w:t>El intestino delgado, también llamado intestino tenue, es la víscera abdominal más larga del cuerpo: en el cadáver mide alrededor de 6 a 7 metros, mientras que en el ser vivo su longitud es claramente menor debido al tono muscular. Está constituido por dos partes:</w:t>
      </w:r>
    </w:p>
    <w:p>
      <w:pPr>
        <w:pStyle w:val="ListBullet"/>
      </w:pPr>
      <w:r>
        <w:t>El duodeno.</w:t>
      </w:r>
    </w:p>
    <w:p>
      <w:pPr>
        <w:pStyle w:val="ListBullet"/>
      </w:pPr>
      <w:r>
        <w:t>El yeyuno-íleon.</w:t>
      </w:r>
    </w:p>
    <w:p>
      <w:pPr>
        <w:pStyle w:val="BodyTextES"/>
        <w:ind w:left="0" w:right="0" w:firstLine="0"/>
      </w:pPr>
      <w:r>
        <w:t>Se extienden desde el píloro hasta la válvula ileocecal y desempeñan un papel fundamental en la digestión y la absorción. Aunque forma parte del intestino delgado, el duodeno se estudia en un capítulo independiente debido a sus particularidades anatómicas y fisiológicas.</w:t>
      </w:r>
    </w:p>
    <w:p>
      <w:pPr>
        <w:pStyle w:val="CrossReference"/>
      </w:pPr>
      <w:r>
        <w:t>Referencia cruzada: Véase la referencia del capítulo 10 — Duodeno: presentación anatómica y fisiológica.</w:t>
      </w:r>
    </w:p>
    <w:p>
      <w:pPr>
        <w:pStyle w:val="BodyTextES"/>
        <w:ind w:left="0" w:right="0" w:firstLine="0"/>
      </w:pPr>
      <w:r>
        <w:t>El yeyuno-íleon se distingue del duodeno por:</w:t>
      </w:r>
    </w:p>
    <w:p>
      <w:pPr>
        <w:pStyle w:val="ListBullet"/>
      </w:pPr>
      <w:r>
        <w:t>Una pared fina, lisa, completamente peritonizada y muy móvil. Su luz mide únicamente de 2 a 3 cm de diámetro.</w:t>
      </w:r>
    </w:p>
    <w:p>
      <w:pPr>
        <w:pStyle w:val="ListBullet"/>
      </w:pPr>
      <w:r>
        <w:t>Un papel fundamental en la digestión mediante la interacción de la mucosa, las secreciones intestinales y la microbiota, también llamada flora intestinal.</w:t>
      </w:r>
    </w:p>
    <w:p>
      <w:pPr>
        <w:pStyle w:val="ListBullet"/>
      </w:pPr>
      <w:r>
        <w:t>Un papel importante en el metabolismo y la inmunidad.</w:t>
      </w:r>
    </w:p>
    <w:p>
      <w:pPr>
        <w:pStyle w:val="ListBullet"/>
      </w:pPr>
      <w:r>
        <w:t>Un sistema nervioso intrínseco especialmente desarrollado.</w:t>
      </w:r>
    </w:p>
    <w:p>
      <w:pPr>
        <w:pStyle w:val="ListBullet"/>
      </w:pPr>
      <w:r>
        <w:t>Interacciones estrechas con el eje intestino-cerebro, que pueden acompañarse de efectos en la esfera emocional.</w:t>
      </w:r>
    </w:p>
    <w:p>
      <w:pPr>
        <w:pStyle w:val="ListBullet"/>
      </w:pPr>
      <w:r>
        <w:t>Desde el punto de vista funcional, el intestino delgado y el colon son interdependientes.</w:t>
      </w:r>
    </w:p>
    <w:p>
      <w:pPr>
        <w:pStyle w:val="Heading1"/>
      </w:pPr>
      <w:r>
        <w:t>2. Situación</w:t>
      </w:r>
    </w:p>
    <w:p>
      <w:pPr>
        <w:pStyle w:val="BodyTextES"/>
        <w:ind w:left="0" w:right="0" w:firstLine="0"/>
      </w:pPr>
      <w:r>
        <w:t>El yeyuno-íleon ocupa gran parte de la cavidad abdominal, con mayor frecuencia a la izquierda que a la derecha, dentro del marco cólico. El yeyuno se localiza preferentemente en el cuadrante superior izquierdo del abdomen. El íleon se localiza preferentemente en el cuadrante inferior derecho del abdomen.</w:t>
      </w:r>
    </w:p>
    <w:p>
      <w:pPr>
        <w:pStyle w:val="Heading1"/>
      </w:pPr>
      <w:r>
        <w:t>3. Anatomía</w:t>
      </w:r>
    </w:p>
    <w:p>
      <w:pPr>
        <w:pStyle w:val="LeadES"/>
      </w:pPr>
      <w:r>
        <w:rPr>
          <w:b/>
        </w:rPr>
        <w:t>3.1. Yeyuno-íleon</w:t>
      </w:r>
      <w:r>
        <w:t>: comprende entre 15 y 16 asas intestinales en forma de U, dispuestas en dos grupos. Un grupo superior izquierdo, el yeyuno, más desarrollado que el íleon, cuyas asas y sistema vascular presentan una orientación principalmente horizontal. Un grupo inferior derecho, el íleon, cuyas asas y sistema vascular presentan una orientación principalmente vertical.</w:t>
      </w:r>
    </w:p>
    <w:p>
      <w:pPr>
        <w:pStyle w:val="LeadES"/>
      </w:pPr>
      <w:r>
        <w:rPr>
          <w:b/>
        </w:rPr>
        <w:t>3.2. Mesenterio</w:t>
      </w:r>
      <w:r>
        <w:t>: es un meso, es decir, una reflexión de doble hoja del peritoneo. Envuelve el yeyuno-íleon y lo une a la pared posterior del abdomen mediante la raíz del mesenterio.</w:t>
      </w:r>
    </w:p>
    <w:p>
      <w:pPr>
        <w:pStyle w:val="LeadES"/>
      </w:pPr>
      <w:r>
        <w:rPr>
          <w:b/>
        </w:rPr>
        <w:t>3.3. Raíz del mesenterio</w:t>
      </w:r>
      <w:r>
        <w:t>: constituye la línea de inserción del mesenterio y contribuye a estabilizar el intestino delgado, que por lo demás es muy móvil. Mide de 16 a 18 cm. Se extiende desde la unión duodenoyeyunal hasta la unión ileocecal y cruza el eje medio del abdomen a la altura del ombligo, frente al disco L3-L4.</w:t>
      </w:r>
    </w:p>
    <w:p>
      <w:pPr>
        <w:pStyle w:val="BodyTextES"/>
        <w:ind w:left="0" w:right="0" w:firstLine="0"/>
      </w:pPr>
      <w:r>
        <w:t>La unión duodenoyeyunal se mantiene mediante el músculo de Treitz, cuyas fibras lisas se insertan en el pilar derecho del diafragma.</w:t>
      </w:r>
    </w:p>
    <w:p>
      <w:pPr>
        <w:pStyle w:val="LeadES"/>
      </w:pPr>
      <w:r>
        <w:rPr>
          <w:b/>
        </w:rPr>
        <w:t>Músculo de Treitz</w:t>
      </w:r>
      <w:r>
        <w:t>: contribuye a mantener el ángulo duodenoyeyunal mediante su contracción, que desplaza la raíz del mesenterio hacia arriba y hacia la izquierda.</w:t>
      </w:r>
    </w:p>
    <w:p>
      <w:pPr>
        <w:pStyle w:val="BodyTextES"/>
        <w:ind w:left="0" w:right="0" w:firstLine="0"/>
      </w:pPr>
      <w:r>
        <w:t>Al favorecer una tensión longitudinal, contribuye al vaciamiento del contenido duodenal hacia el yeyuno. La raíz del mesenterio aporta la vascularización y la inervación del intestino delgado.</w:t>
      </w:r>
    </w:p>
    <w:p>
      <w:pPr>
        <w:pStyle w:val="ROPES"/>
      </w:pPr>
      <w:r>
        <w:rPr>
          <w:b/>
        </w:rPr>
        <w:t>Interés en ROP</w:t>
      </w:r>
      <w:r>
        <w:t>: El síndrome de la arteria mesentérica superior consiste en la compresión de la tercera porción del duodeno entre la aorta y la arteria mesentérica superior. El síndrome del cascanueces afecta a la vena renal izquierda; son entidades distintas que pueden coexistir. No se ha establecido que la pérdida de tensión longitudinal de la raíz del mesenterio cause estos síndromes. Ambos requieren evaluación médica.</w:t>
      </w:r>
    </w:p>
    <w:p>
      <w:pPr>
        <w:pStyle w:val="ROPES"/>
      </w:pPr>
      <w:r>
        <w:rPr>
          <w:b/>
        </w:rPr>
        <w:t>Interés en ROP</w:t>
      </w:r>
      <w:r>
        <w:t>: La abundante red vasculonerviosa y linfática de la raíz del mesenterio es altamente reflexógena. La estimulación de su zona refleja pretende facilitar una respuesta funcional del yeyuno-íleon.</w:t>
      </w:r>
    </w:p>
    <w:p>
      <w:pPr>
        <w:pStyle w:val="Heading1"/>
      </w:pPr>
      <w:r>
        <w:t>4. Relaciones anatómicas</w:t>
      </w:r>
    </w:p>
    <w:p>
      <w:pPr>
        <w:pStyle w:val="ListBullet"/>
      </w:pPr>
      <w:r>
        <w:t>El intestino delgado es intraperitoneal.</w:t>
      </w:r>
    </w:p>
    <w:p>
      <w:pPr>
        <w:pStyle w:val="ListBullet"/>
      </w:pPr>
      <w:r>
        <w:t>A la izquierda, el yeyuno recubre el colon descendente.</w:t>
      </w:r>
    </w:p>
    <w:p>
      <w:pPr>
        <w:pStyle w:val="ListBullet"/>
      </w:pPr>
      <w:r>
        <w:t>A la derecha, el íleon deja libre el colon ascendente.</w:t>
      </w:r>
    </w:p>
    <w:p>
      <w:pPr>
        <w:pStyle w:val="ListBullet"/>
      </w:pPr>
      <w:r>
        <w:t>Dorsalmente, el intestino delgado se relaciona con la pared abdominal posterior y con los órganos retroperitoneales, en particular la porción supramesocólica del duodeno, los riñones, los uréteres y los segmentos ascendente y descendente del colon.</w:t>
      </w:r>
    </w:p>
    <w:p>
      <w:pPr>
        <w:pStyle w:val="ListBullet"/>
      </w:pPr>
      <w:r>
        <w:t>Ventralmente: el omento mayor, antes denominado epiplón mayor.</w:t>
      </w:r>
    </w:p>
    <w:p>
      <w:pPr>
        <w:pStyle w:val="ListBullet"/>
      </w:pPr>
      <w:r>
        <w:t>Caudalmente: los órganos pélvicos, especialmente la vejiga.</w:t>
      </w:r>
    </w:p>
    <w:p>
      <w:pPr>
        <w:pStyle w:val="ListBullet"/>
      </w:pPr>
      <w:r>
        <w:t>Cefálicamente: el mesocolon transverso.</w:t>
      </w:r>
    </w:p>
    <w:p>
      <w:pPr>
        <w:pStyle w:val="Heading1"/>
      </w:pPr>
      <w:r>
        <w:t>5. Vascularización</w:t>
      </w:r>
    </w:p>
    <w:p>
      <w:pPr>
        <w:pStyle w:val="BodyTextES"/>
        <w:ind w:left="0" w:right="0" w:firstLine="0"/>
      </w:pPr>
      <w:r>
        <w:t>El intestino delgado necesita una importante irrigación vascular y linfática para cumplir sus funciones digestivas, de absorción e inmunitarias.</w:t>
      </w:r>
    </w:p>
    <w:p>
      <w:pPr>
        <w:pStyle w:val="LeadES"/>
      </w:pPr>
      <w:r>
        <w:rPr>
          <w:b/>
        </w:rPr>
        <w:t>5.1. Vascularización arterial — arteria mesentérica superior</w:t>
      </w:r>
      <w:r>
        <w:t>: constituye el eje arterial principal del intestino delgado. Es una rama de la aorta abdominal. Se origina 1 cm por debajo del tronco celíaco, frente al disco intervertebral T12-L1. Primero discurre por detrás del páncreas y después por delante de la tercera porción del duodeno, entre las dos hojas del mesenterio. Emite numerosas ramas colaterales. Irriga todo el intestino delgado, el colon ascendente y los dos tercios proximales del colon transverso.</w:t>
      </w:r>
    </w:p>
    <w:p>
      <w:pPr>
        <w:pStyle w:val="BodyTextES"/>
        <w:ind w:left="0" w:right="0" w:firstLine="0"/>
      </w:pPr>
      <w:r>
        <w:t>Su pulso, perceptible a la altura de la tercera porción del duodeno, a la derecha del ombligo, puede constituir una referencia vascular clínica, sin permitir por sí solo valorar el funcionamiento intestinal.</w:t>
      </w:r>
    </w:p>
    <w:p>
      <w:pPr>
        <w:pStyle w:val="LeadES"/>
      </w:pPr>
      <w:r>
        <w:rPr>
          <w:b/>
        </w:rPr>
        <w:t>5.2. Drenaje venoso — vena mesentérica superior</w:t>
      </w:r>
      <w:r>
        <w:t>: situada a la derecha de la arteria mesentérica superior, forma parte del sistema porta. Drena hacia el hígado la sangre venosa cargada de los nutrientes absorbidos en el intestino delgado.</w:t>
      </w:r>
    </w:p>
    <w:p>
      <w:pPr>
        <w:pStyle w:val="LeadES"/>
      </w:pPr>
      <w:r>
        <w:rPr>
          <w:b/>
        </w:rPr>
        <w:t>5.3. Drenaje linfático</w:t>
      </w:r>
      <w:r>
        <w:t>: el intestino delgado posee una red linfática desarrollada que participa en el sistema inmunitario. Los enterocitos reesterifican los ácidos grasos de cadena larga y los monoglicéridos y los incorporan, junto con colesterol y vitaminas liposolubles A, D, E y K, a quilomicrones que pasan a los vasos quilíferos. La linfa intestinal alcanza el ángulo yugulosubclavio izquierdo a través de la cisterna del quilo y el conducto torácico.</w:t>
      </w:r>
    </w:p>
    <w:p>
      <w:pPr>
        <w:pStyle w:val="Heading1"/>
      </w:pPr>
      <w:r>
        <w:t>6. Inervación</w:t>
      </w:r>
    </w:p>
    <w:p>
      <w:pPr>
        <w:pStyle w:val="Heading2"/>
      </w:pPr>
      <w:r>
        <w:t>6.1. Inervación del peritoneo</w:t>
      </w:r>
    </w:p>
    <w:p>
      <w:pPr>
        <w:pStyle w:val="BodyTextES"/>
        <w:ind w:left="0" w:right="0" w:firstLine="0"/>
      </w:pPr>
      <w:r>
        <w:t>El peritoneo recibe una doble inervación, somática y autónoma.</w:t>
      </w:r>
    </w:p>
    <w:p>
      <w:pPr>
        <w:pStyle w:val="LeadES"/>
      </w:pPr>
      <w:r>
        <w:rPr>
          <w:b/>
        </w:rPr>
        <w:t>6.1.1. Peritoneo parietal</w:t>
      </w:r>
      <w:r>
        <w:t>: recibe una inervación somática compartida con la pared abdominal a través de los nervios frénicos, los seis últimos nervios intercostales y los nervios del plexo lumbar. Contiene numerosas terminaciones sensibles a la temperatura, la presión y el dolor. Esta inervación compartida con la pared abdominal ayuda a comprender la proyección de dolores cervicales, escapulares, abdominales y lumbares de origen peritoneal y visceral hacia el sistema osteomusculoarticular a través de las fibras somáticas de la hoja parietal.</w:t>
      </w:r>
    </w:p>
    <w:p>
      <w:pPr>
        <w:pStyle w:val="LeadES"/>
      </w:pPr>
      <w:r>
        <w:rPr>
          <w:b/>
        </w:rPr>
        <w:t>6.1.2. Peritoneo visceral</w:t>
      </w:r>
      <w:r>
        <w:t>: recibe una inervación autónoma extrínseca compartida con las vísceras. Simpático: sus raíces proceden de T8 a T11. Alcanzan los plexos prevertebrales celíaco y mesentérico superior a través de los nervios esplácnicos mayor y menor.</w:t>
      </w:r>
    </w:p>
    <w:p>
      <w:pPr>
        <w:pStyle w:val="Heading2"/>
      </w:pPr>
      <w:r>
        <w:t>Nervio vago y sistema nervioso simpático</w:t>
      </w:r>
    </w:p>
    <w:p>
      <w:pPr>
        <w:pStyle w:val="ListBullet"/>
      </w:pPr>
      <w:r>
        <w:rPr>
          <w:b/>
        </w:rPr>
        <w:t xml:space="preserve">Sensibilidad visceral: </w:t>
      </w:r>
      <w:r>
        <w:t>el peritoneo visceral es poco sensible al tacto, a las variaciones térmicas y a la sección quirúrgica. La sensibilidad visceral depende del sistema simpático, estimulado por el estiramiento del intestino y por sustancias químicas.</w:t>
      </w:r>
    </w:p>
    <w:p>
      <w:pPr>
        <w:pStyle w:val="ListBullet"/>
      </w:pPr>
      <w:r>
        <w:rPr>
          <w:b/>
        </w:rPr>
        <w:t xml:space="preserve">Motricidad simpática: </w:t>
      </w:r>
      <w:r>
        <w:t>el sistema simpático disminuye el peristaltismo y las secreciones intestinales, especialmente en situaciones de estrés, ansiedad, miedo o esfuerzo.</w:t>
      </w:r>
    </w:p>
    <w:p>
      <w:pPr>
        <w:pStyle w:val="ListBullet"/>
      </w:pPr>
      <w:r>
        <w:rPr>
          <w:b/>
        </w:rPr>
        <w:t xml:space="preserve">Nervio vago — motricidad: </w:t>
      </w:r>
      <w:r>
        <w:t>es globalmente antagonista del sistema simpático. Favorece el peristaltismo, las secreciones intestinales y la permeabilidad intestinal para facilitar la absorción.</w:t>
      </w:r>
    </w:p>
    <w:p>
      <w:pPr>
        <w:pStyle w:val="ListBullet"/>
      </w:pPr>
      <w:r>
        <w:rPr>
          <w:b/>
        </w:rPr>
        <w:t xml:space="preserve">Nervio vago — sensibilidad: </w:t>
      </w:r>
      <w:r>
        <w:t>el nervio vago contiene entre un 70 y un 80 % de fibras sensitivas que informan continuamente al cerebro sobre el estado de las vísceras. Está conectado con el sistema nervioso intrínseco.</w:t>
      </w:r>
    </w:p>
    <w:p>
      <w:pPr>
        <w:pStyle w:val="Heading2"/>
      </w:pPr>
      <w:r>
        <w:t>6.2. Sistema nervioso intrínseco o entérico (SNE)</w:t>
      </w:r>
    </w:p>
    <w:p>
      <w:pPr>
        <w:pStyle w:val="BodyTextES"/>
        <w:ind w:left="0" w:right="0" w:firstLine="0"/>
      </w:pPr>
      <w:r>
        <w:t>El sistema nervioso intrínseco o entérico (SNE) se denomina a menudo segundo cerebro o cerebro abdominal. Está constituido por plexos intramurales situados en la propia pared del intestino delgado: el plexo mientérico de Auerbach y el plexo submucoso de Meissner.</w:t>
      </w:r>
    </w:p>
    <w:p>
      <w:pPr>
        <w:pStyle w:val="ListBullet"/>
      </w:pPr>
      <w:r>
        <w:t>El SNE es sensible a las señales neurohormonales y a la composición química del contenido intestinal.</w:t>
      </w:r>
    </w:p>
    <w:p>
      <w:pPr>
        <w:pStyle w:val="ListBullet"/>
      </w:pPr>
      <w:r>
        <w:t>Puede funcionar en gran medida de forma autónoma con respecto al cerebro y la médula espinal, siempre que las condiciones fisiológicas lo permitan.</w:t>
      </w:r>
    </w:p>
    <w:p>
      <w:pPr>
        <w:pStyle w:val="ListBullet"/>
      </w:pPr>
      <w:r>
        <w:t>Participa de forma importante en la producción de mediadores neuroquímicos, entre ellos una gran parte de la serotonina, la acetilcolina, la noradrenalina y el GABA.</w:t>
      </w:r>
    </w:p>
    <w:p>
      <w:pPr>
        <w:pStyle w:val="ListBullet"/>
      </w:pPr>
      <w:r>
        <w:t>Marcapasos intestinal: la pared del intestino delgado también contiene células de Cajal, situadas en las capas musculares longitudinal y circular. Estas células originan ondas lentas y participan en la coordinación de la motricidad intestinal.</w:t>
      </w:r>
    </w:p>
    <w:p>
      <w:pPr>
        <w:pStyle w:val="Heading1"/>
      </w:pPr>
      <w:r>
        <w:t>7. Fisiología</w:t>
      </w:r>
    </w:p>
    <w:p>
      <w:pPr>
        <w:pStyle w:val="Heading2"/>
      </w:pPr>
      <w:r>
        <w:t>7.1. Motricidad</w:t>
      </w:r>
    </w:p>
    <w:p>
      <w:pPr>
        <w:pStyle w:val="BodyTextES"/>
        <w:ind w:left="0" w:right="0" w:firstLine="0"/>
      </w:pPr>
      <w:r>
        <w:t>Se desencadena mediante tres grandes tipos de mecanismos:</w:t>
      </w:r>
    </w:p>
    <w:p>
      <w:pPr>
        <w:pStyle w:val="ListBullet"/>
      </w:pPr>
      <w:r>
        <w:t>Mecánico: por el estiramiento de la pared intestinal durante el paso del quimo.</w:t>
      </w:r>
    </w:p>
    <w:p>
      <w:pPr>
        <w:pStyle w:val="ListBullet"/>
      </w:pPr>
      <w:r>
        <w:t>Neurológico: por la acción del nervio vago, influida por señales cefálicas como la vista, el olfato, el gusto y el tacto de los alimentos, así como por los mecanorreceptores intestinales.</w:t>
      </w:r>
    </w:p>
    <w:p>
      <w:pPr>
        <w:pStyle w:val="ListBullet"/>
      </w:pPr>
      <w:r>
        <w:t>Hormonoquímico: por las secreciones gástricas, duodenales, hepatobiliares y pancreáticas.</w:t>
      </w:r>
    </w:p>
    <w:p>
      <w:pPr>
        <w:pStyle w:val="BodyTextES"/>
        <w:ind w:left="0" w:right="0" w:firstLine="0"/>
      </w:pPr>
      <w:r>
        <w:t>El intestino delgado presenta contracciones rítmicas, movimientos de vaivén y segmentación que aseguran la homogeneización del quimo, así como movimientos peristálticos que permiten su progresión.</w:t>
      </w:r>
    </w:p>
    <w:p>
      <w:pPr>
        <w:pStyle w:val="Heading2"/>
      </w:pPr>
      <w:r>
        <w:t>7.2. Ecosistema intestinal</w:t>
      </w:r>
    </w:p>
    <w:p>
      <w:pPr>
        <w:pStyle w:val="BodyTextES"/>
        <w:ind w:left="0" w:right="0" w:firstLine="0"/>
      </w:pPr>
      <w:r>
        <w:t>El intestino delgado constituye un ecosistema formado por la mucosa intestinal, el sistema inmunitario y la microbiota intestinal.</w:t>
      </w:r>
    </w:p>
    <w:p>
      <w:pPr>
        <w:pStyle w:val="LeadES"/>
      </w:pPr>
      <w:r>
        <w:rPr>
          <w:b/>
        </w:rPr>
        <w:t>7.2.1. Mucosa intestinal</w:t>
      </w:r>
      <w:r>
        <w:t>: constituye la interfaz entre el medio interno del organismo y el contenido de la luz digestiva. Actúa como una barrera selectiva que permite la digestión y la absorción.</w:t>
      </w:r>
    </w:p>
    <w:p>
      <w:pPr>
        <w:pStyle w:val="LeadES"/>
      </w:pPr>
      <w:r>
        <w:rPr>
          <w:b/>
        </w:rPr>
        <w:t>Digestión</w:t>
      </w:r>
      <w:r>
        <w:t>: corresponde a la transformación de los alimentos en moléculas simples que posteriormente pueden absorberse. Las células caliciformes producen un moco protector. Las células de Lieberkühn participan en la secreción intestinal ligeramente alcalina y en funciones enzimáticas y antimicrobianas. La barrera epitelial depende de los enterocitos, el moco y los complejos de unión intercelular. Las uniones estrechas regulan principalmente la permeabilidad paracelular; las uniones adherentes y los desmosomas contribuyen a la cohesión mecánica del epitelio.</w:t>
      </w:r>
    </w:p>
    <w:p>
      <w:pPr>
        <w:pStyle w:val="LeadES"/>
      </w:pPr>
      <w:r>
        <w:rPr>
          <w:b/>
        </w:rPr>
        <w:t>Absorción</w:t>
      </w:r>
      <w:r>
        <w:t>: la mucosa intestinal está recubierta de vellosidades con forma de expansiones digitiformes, cuyo eje central contiene células musculares lisas y una red sanguínea y linfática. A su vez, las vellosidades están recubiertas de microvellosidades que forman un borde en cepillo, lo que multiplica considerablemente la superficie de intercambio. Si se extendiera, el intestino delgado tendría una superficie equivalente a una pista de tenis.</w:t>
      </w:r>
    </w:p>
    <w:p>
      <w:pPr>
        <w:pStyle w:val="ListBullet"/>
      </w:pPr>
      <w:r>
        <w:rPr>
          <w:b/>
        </w:rPr>
        <w:t xml:space="preserve">Vía sanguínea: </w:t>
      </w:r>
      <w:r>
        <w:t>los capilares sanguíneos absorben agua, sales minerales, azúcares simples, aminoácidos, ácidos grasos de cadena corta y vitaminas hidrosolubles. Estos nutrientes son transportados al hígado por el sistema porta.</w:t>
      </w:r>
    </w:p>
    <w:p>
      <w:pPr>
        <w:pStyle w:val="ListBullet"/>
      </w:pPr>
      <w:r>
        <w:rPr>
          <w:b/>
        </w:rPr>
        <w:t>Vía linfática</w:t>
      </w:r>
      <w:r>
        <w:t>: los vasos quilíferos reciben principalmente quilomicrones formados en los enterocitos a partir de lípidos de cadena larga, junto con colesterol y vitaminas liposolubles A, D, E y K. La linfa pasa por la red linfática, la cisterna del quilo y el conducto torácico antes de desembocar en el ángulo yugulosubclavio izquierdo.</w:t>
      </w:r>
    </w:p>
    <w:p>
      <w:pPr>
        <w:pStyle w:val="ROPES"/>
      </w:pPr>
      <w:r>
        <w:rPr>
          <w:b/>
        </w:rPr>
        <w:t>Interés en ROP</w:t>
      </w:r>
      <w:r>
        <w:t>: La acción refleja sobre la motricidad intestinal pretende apoyar la digestión y la absorción.</w:t>
      </w:r>
    </w:p>
    <w:p>
      <w:pPr>
        <w:pStyle w:val="ROPES"/>
      </w:pPr>
      <w:r>
        <w:rPr>
          <w:b/>
        </w:rPr>
        <w:t>Interés en ROP</w:t>
      </w:r>
      <w:r>
        <w:t>: La acción refleja sobre el hígado y el sistema linfático pretende apoyar la calidad de la absorción y las funciones inmunitarias.</w:t>
      </w:r>
    </w:p>
    <w:p>
      <w:pPr>
        <w:pStyle w:val="LeadES"/>
      </w:pPr>
      <w:r>
        <w:rPr>
          <w:b/>
        </w:rPr>
        <w:t>7.2.2. Sistema inmunitario intestinal</w:t>
      </w:r>
      <w:r>
        <w:t>: unos receptores situados en la superficie del intestino identifican determinados agentes patógenos o sustancias potencialmente nocivas y los presentan a las células inmunitarias intestinales: mastocitos, implicados en las respuestas alérgicas e inflamatorias; células de Paneth, que liberan péptidos antimicrobianos; y tejido linfoide asociado al tubo digestivo (GALT), compuesto por linfocitos aislados o agrupados en placas de Peyer.</w:t>
      </w:r>
    </w:p>
    <w:p>
      <w:pPr>
        <w:pStyle w:val="LeadES"/>
      </w:pPr>
      <w:r>
        <w:rPr>
          <w:b/>
        </w:rPr>
        <w:t>Microbiota intestinal</w:t>
      </w:r>
      <w:r>
        <w:t>: es el conjunto de bacterias, hongos, levaduras, virus y protozoos que viven en interacción con su huésped. Se ha estimado un total aproximado de 3,8 × 10¹³ bacterias en un adulto de referencia, con variaciones individuales; la mayor parte de este recuento corresponde al colon. Cada persona posee una firma propia de la microbiota. La microbiota constituye un determinante importante de la salud: participa en la inmunidad, la digestión y la absorción e interactúa con las funciones cerebrales y emocionales mediante el eje intestino-cerebro.</w:t>
      </w:r>
    </w:p>
    <w:p>
      <w:pPr>
        <w:pStyle w:val="Heading1"/>
      </w:pPr>
      <w:r>
        <w:t>8. Patologías frecuentes</w:t>
      </w:r>
    </w:p>
    <w:p>
      <w:pPr>
        <w:pStyle w:val="BodyTextES"/>
        <w:ind w:left="0" w:right="0" w:firstLine="0"/>
      </w:pPr>
      <w:r>
        <w:t>La hiperpermeabilidad intestinal y la disbiosis se describen a menudo como fenómenos asociados, capaces de favorecerse mutuamente.</w:t>
      </w:r>
    </w:p>
    <w:p>
      <w:pPr>
        <w:pStyle w:val="LeadES"/>
      </w:pPr>
      <w:r>
        <w:rPr>
          <w:b/>
        </w:rPr>
        <w:t>8.1. Hiperpermeabilidad intestinal</w:t>
      </w:r>
      <w:r>
        <w:t>: cuando se alteran las uniones intercelulares entre los enterocitos, la permeabilidad intestinal puede aumentar. Esto puede acompañarse de un mayor paso de macromoléculas luminales insuficientemente degradadas, con la consiguiente activación inmunitaria o inflamatoria.</w:t>
      </w:r>
    </w:p>
    <w:p>
      <w:pPr>
        <w:pStyle w:val="Heading2"/>
      </w:pPr>
      <w:r>
        <w:t>Causas</w:t>
      </w:r>
    </w:p>
    <w:p>
      <w:pPr>
        <w:pStyle w:val="ListBullet"/>
      </w:pPr>
      <w:r>
        <w:t>Agentes infecciosos: estafilococos, estreptococos, colibacilos, salmonela y Candida albicans, que liberan toxinas.</w:t>
      </w:r>
    </w:p>
    <w:p>
      <w:pPr>
        <w:pStyle w:val="ListBullet"/>
      </w:pPr>
      <w:r>
        <w:t>Estrés crónico: el exceso de actividad simpática y de hormonas del estrés, como la adrenalina y el cortisol, provoca vasoconstricción y fragilidad de la mucosa.</w:t>
      </w:r>
    </w:p>
    <w:p>
      <w:pPr>
        <w:pStyle w:val="ListBullet"/>
      </w:pPr>
      <w:r>
        <w:t>Alimentos altamente procesados o refinados, con un índice glucémico elevado, ácidos grasos saturados y exceso de leche de vaca, gluten y carne.</w:t>
      </w:r>
    </w:p>
    <w:p>
      <w:pPr>
        <w:pStyle w:val="ListBullet"/>
      </w:pPr>
      <w:r>
        <w:t>Actividades deportivas prolongadas, como las carreras de larga distancia: pueden reducir transitoriamente la perfusión esplácnica.</w:t>
      </w:r>
    </w:p>
    <w:p>
      <w:pPr>
        <w:pStyle w:val="ListBullet"/>
      </w:pPr>
      <w:r>
        <w:t>Medicamentos: antiinflamatorios no esteroideos, salicilatos, corticoides, antibióticos y quimioterapia.</w:t>
      </w:r>
    </w:p>
    <w:p>
      <w:pPr>
        <w:pStyle w:val="Heading2"/>
      </w:pPr>
      <w:r>
        <w:t>Consecuencias</w:t>
      </w:r>
    </w:p>
    <w:p>
      <w:pPr>
        <w:pStyle w:val="ListBullet"/>
      </w:pPr>
      <w:r>
        <w:t>Alergias alimentarias: la alteración de la barrera intestinal puede favorecer una mayor exposición del sistema inmunitario a determinados antígenos alimentarios.</w:t>
      </w:r>
    </w:p>
    <w:p>
      <w:pPr>
        <w:pStyle w:val="ListBullet"/>
      </w:pPr>
      <w:r>
        <w:rPr>
          <w:b/>
        </w:rPr>
        <w:t>Enfermedades autoinmunes</w:t>
      </w:r>
      <w:r>
        <w:t>: la alteración de la barrera intestinal se ha asociado con determinadas enfermedades inmunomediadas. La relación es compleja y no demuestra que el paso de proteínas alimentarias a través de la mucosa cause por sí solo la destrucción de tejidos.</w:t>
      </w:r>
    </w:p>
    <w:p>
      <w:pPr>
        <w:pStyle w:val="ListBullet"/>
      </w:pPr>
      <w:r>
        <w:t>Carencias de micronutrientes: la absorción deficiente puede ocasionar carencias de vitaminas, minerales y ácidos grasos esenciales.</w:t>
      </w:r>
    </w:p>
    <w:p>
      <w:pPr>
        <w:pStyle w:val="ListBullet"/>
      </w:pPr>
      <w:r>
        <w:t>Sobrecarga hepática: el aumento de sustancias procedentes de la luz intestinal en el sistema porta puede incrementar el trabajo de desintoxicación hepática.</w:t>
      </w:r>
    </w:p>
    <w:p>
      <w:pPr>
        <w:pStyle w:val="ROPES"/>
      </w:pPr>
      <w:r>
        <w:rPr>
          <w:b/>
        </w:rPr>
        <w:t>Interés en ROP</w:t>
      </w:r>
      <w:r>
        <w:t>: Ante la presencia de dolor y fijaciones osteomusculoarticulares, especialmente cuando no existe un antecedente evidente de traumatismo o sobrecarga, el enfoque ROP invita a investigar una posible relación con disfunciones viscerales.</w:t>
      </w:r>
    </w:p>
    <w:p>
      <w:pPr>
        <w:pStyle w:val="LeadES"/>
      </w:pPr>
      <w:r>
        <w:rPr>
          <w:b/>
        </w:rPr>
        <w:t>8.2. Disbiosis</w:t>
      </w:r>
      <w:r>
        <w:t>: corresponde a una alteración de la microbiota. Cuando cambia la composición de la microbiota, con una disminución de la diversidad o un desequilibrio entre especies comensales y especies potencialmente patógenas, puede alterarse la protección de la mucosa.</w:t>
      </w:r>
    </w:p>
    <w:p>
      <w:pPr>
        <w:pStyle w:val="LeadES"/>
      </w:pPr>
      <w:r>
        <w:rPr>
          <w:b/>
        </w:rPr>
        <w:t>Causas de disbiosis</w:t>
      </w:r>
      <w:r>
        <w:t>: el estrés, la inflamación, las infecciones, un estilo de vida inadecuado o un desequilibrio alimentario, como el abuso de alcohol, azúcar y proteínas o la ausencia de fibra; los tratamientos antibióticos; determinadas exposiciones ambientales; y las fijaciones vertebrales y fibrosis del intestino y sus inserciones.</w:t>
      </w:r>
    </w:p>
    <w:p>
      <w:pPr>
        <w:pStyle w:val="BodyTextES"/>
        <w:ind w:left="0" w:right="0" w:firstLine="0"/>
      </w:pPr>
      <w:r>
        <w:t>La disbiosis se considera un factor asociado en numerosas patologías, entre ellas la rectocolitis hemorrágica, la tiroiditis, el asma, la sinusitis, las alergias, las artralgias, incluidas las lumbalgias, la fibromialgia, la cistitis y algunas formas depresivas. Algunos autores proponen que enfermedades neurodegenerativas como la enfermedad de Parkinson, la esclerosis múltiple o la enfermedad de Alzheimer podrían estar relacionadas con el sistema nervioso entérico a través del nervio vago.</w:t>
      </w:r>
    </w:p>
    <w:p>
      <w:pPr>
        <w:pStyle w:val="LeadES"/>
      </w:pPr>
      <w:r>
        <w:rPr>
          <w:b/>
        </w:rPr>
        <w:t>Signos precursores</w:t>
      </w:r>
      <w:r>
        <w:t>: halitosis, eructos, aerocolia, emisión de gases malolientes, estreñimiento o diarrea, pirosis y atracción exagerada por el azúcar y la carne cruda.</w:t>
      </w:r>
    </w:p>
    <w:p>
      <w:pPr>
        <w:pStyle w:val="LeadES"/>
      </w:pPr>
      <w:r>
        <w:rPr>
          <w:b/>
        </w:rPr>
        <w:t>8.3. Diagnóstico de exclusión</w:t>
      </w:r>
      <w:r>
        <w:t>: determinados síntomas deben motivar la derivación del paciente a un médico: fiebre, sangre roja o negra en las heces, deshidratación importante, pérdida de peso significativa e inexplicada, alternancia entre estreñimiento y diarrea, vómitos, dolor cólico en la región umbilical, meteorismo, obstrucción intestinal, ya sea íleo mecánico o paralítico, hernia inguinal estrangulada, ganglio de Troisier con sospecha de cáncer y signos de derrame intraabdominal.</w:t>
      </w:r>
    </w:p>
    <w:p>
      <w:pPr>
        <w:pStyle w:val="Heading2"/>
      </w:pPr>
      <w:r>
        <w:t>8.4. Indicaciones y límites de la ROP</w:t>
      </w:r>
    </w:p>
    <w:p>
      <w:pPr>
        <w:pStyle w:val="ROPES"/>
      </w:pPr>
      <w:r>
        <w:t>Las indicaciones funcionales consideradas en este capítulo son la disbiosis, las secuelas de gastroenteritis y la enteroptosis, entendida en el modelo ROP como una tensión anormal del intestino delgado asociada a vasoconstricción, estasis venosa y linfática y espasmos de los plexos nerviosos perivasculares. El íleo paralítico no debe presentarse como una indicación funcional ordinaria de ROP: requiere evaluación, diagnóstico diferencial y tratamiento médicos. Cualquier posible acompañamiento posterior con ROP solo puede plantearse después de la estabilización clínica y no sustituye la atención médica.</w:t>
      </w:r>
    </w:p>
    <w:p>
      <w:pPr>
        <w:pStyle w:val="Heading2"/>
      </w:pPr>
      <w:r>
        <w:t>8.5. Enfermedad de Crohn</w:t>
      </w:r>
    </w:p>
    <w:p>
      <w:pPr>
        <w:pStyle w:val="BodyTextES"/>
        <w:ind w:left="0" w:right="0" w:firstLine="0"/>
      </w:pPr>
      <w:r>
        <w:t>Esta enfermedad afecta principalmente al íleon y al colon. Se asocian varios factores: genética, disbiosis, entorno y factores emocionales como moduladores de la vivencia de la enfermedad y, en ocasiones, de los brotes.</w:t>
      </w:r>
    </w:p>
    <w:p>
      <w:pPr>
        <w:pStyle w:val="LeadES"/>
      </w:pPr>
      <w:r>
        <w:rPr>
          <w:b/>
        </w:rPr>
        <w:t>Síntomas</w:t>
      </w:r>
      <w:r>
        <w:t>: diarrea relacionada con la inflamación de la pared intestinal, dolor abdominopélvico, adelgazamiento, astenia, aftas bucales, lumbalgia, eritema nudoso en las extremidades, afectación pancreática y síndrome depresivo.</w:t>
      </w:r>
    </w:p>
    <w:p>
      <w:pPr>
        <w:pStyle w:val="LeadES"/>
      </w:pPr>
      <w:r>
        <w:rPr>
          <w:b/>
        </w:rPr>
        <w:t>Evolución</w:t>
      </w:r>
      <w:r>
        <w:t>: cronicidad y mayor riesgo de cáncer colorrectal según la extensión y la duración de la enfermedad. Estos pacientes se ven a menudo obligados a adoptar una dieta estricta con poca fibra.</w:t>
      </w:r>
    </w:p>
    <w:p>
      <w:pPr>
        <w:pStyle w:val="ROPES"/>
      </w:pPr>
      <w:r>
        <w:rPr>
          <w:b/>
        </w:rPr>
        <w:t>Interés en ROP</w:t>
      </w:r>
      <w:r>
        <w:t>: Nuestra experiencia clínica ha mostrado que el enfoque ROP puede contribuir a aliviar determinados dolores abdominopélvicos asociados a la enfermedad de Crohn y a favorecer un mejor tránsito intestinal.</w:t>
      </w:r>
    </w:p>
    <w:p>
      <w:pPr>
        <w:pStyle w:val="Heading1"/>
      </w:pPr>
      <w:r>
        <w:t>9–11. Relaciones y recomendaciones</w:t>
      </w:r>
    </w:p>
    <w:p>
      <w:pPr>
        <w:pStyle w:val="Heading2"/>
      </w:pPr>
      <w:r>
        <w:t>9. Relaciones viscerosomáticas</w:t>
      </w:r>
    </w:p>
    <w:p>
      <w:pPr>
        <w:pStyle w:val="ListBullet"/>
      </w:pPr>
      <w:r>
        <w:t>Fijación vertebral de T10 a T12 y de sus costillas.</w:t>
      </w:r>
    </w:p>
    <w:p>
      <w:pPr>
        <w:pStyle w:val="ListBullet"/>
      </w:pPr>
      <w:r>
        <w:t>L1 y L2.</w:t>
      </w:r>
    </w:p>
    <w:p>
      <w:pPr>
        <w:pStyle w:val="Heading2"/>
      </w:pPr>
      <w:r>
        <w:t>10. Relaciones visceroemocionales</w:t>
      </w:r>
    </w:p>
    <w:p>
      <w:pPr>
        <w:pStyle w:val="BodyTextES"/>
        <w:ind w:left="0" w:right="0" w:firstLine="0"/>
      </w:pPr>
      <w:r>
        <w:t>El abdomen puede constituir un lugar de expresión somática de las tensiones emocionales. Mediante el eje intestino-cerebro, el estrés puede modular la motricidad, las secreciones y la sensibilidad visceral. Por tanto, una mayor activación simpática, asociada a una menor regulación vagal, puede contribuir a la aparición o al agravamiento de determinados síntomas digestivos.</w:t>
      </w:r>
    </w:p>
    <w:p>
      <w:pPr>
        <w:pStyle w:val="BodyTextES"/>
        <w:ind w:left="0" w:right="0" w:firstLine="0"/>
      </w:pPr>
      <w:r>
        <w:t>Desde el punto de vista clínico, suele ser difícil distinguir con claridad las manifestaciones funcionales propias del intestino delgado de las del colon. La mucosa, el sistema inmunitario intestinal y el sistema nervioso entérico forman una interfaz neuroinmunoendocrina en comunicación permanente con el cerebro.</w:t>
      </w:r>
    </w:p>
    <w:p>
      <w:pPr>
        <w:pStyle w:val="BodyTextES"/>
        <w:ind w:left="0" w:right="0" w:firstLine="0"/>
      </w:pPr>
      <w:r>
        <w:t>Algunas personas con trastornos digestivos crónicos también refieren fatiga, ansiedad, irritabilidad, trastornos del sueño o hipersensibilidad corporal. Estas manifestaciones son variables e inespecíficas. No definen una personalidad propia del intestino y deben situarse en el contexto médico, emocional y social de cada persona.</w:t>
      </w:r>
    </w:p>
    <w:p>
      <w:pPr>
        <w:pStyle w:val="BodyTextES"/>
        <w:ind w:left="0" w:right="0" w:firstLine="0"/>
      </w:pPr>
      <w:r>
        <w:t>En el enfoque ROP, la exploración de las tensiones emocionales puede complementar la evaluación funcional, sin atribuir automáticamente los síntomas digestivos a un origen psicológico y sin sustituir el diagnóstico médico.</w:t>
      </w:r>
    </w:p>
    <w:p>
      <w:pPr>
        <w:pStyle w:val="Heading2"/>
      </w:pPr>
      <w:r>
        <w:t>11. Recomendaciones</w:t>
      </w:r>
    </w:p>
    <w:p>
      <w:pPr>
        <w:pStyle w:val="BodyTextES"/>
        <w:ind w:left="0" w:right="0" w:firstLine="0"/>
      </w:pPr>
      <w:r>
        <w:t>El estrés y otros factores emocionales pueden modular la motricidad, las secreciones y la sensibilidad intestinales. Una asociación temporal entre síntomas digestivos y dolor lumbar no demuestra que un espasmo intestinal fije la columna; ambos requieren evaluación clínica y diagnóstico diferencial. Se recomienda una alimentación variada y equilibrada, adaptada a la situación individual. La actividad física moderada después de comer no está contraindicada de forma general; el ejercicio intenso o prolongado debe ajustarse a la tolerancia, la hidratación y el contexto clínico.</w:t>
      </w:r>
    </w:p>
    <w:p>
      <w:pPr>
        <w:pStyle w:val="Heading1"/>
      </w:pPr>
      <w:r>
        <w:t>12. Zonas reflejas ROP</w:t>
      </w:r>
    </w:p>
    <w:p>
      <w:pPr>
        <w:pStyle w:val="Heading2"/>
      </w:pPr>
      <w:r>
        <w:t>12.1. Referencias específicas del intestino delgado</w:t>
      </w:r>
    </w:p>
    <w:p>
      <w:pPr>
        <w:pStyle w:val="BodyTextES"/>
        <w:ind w:left="0" w:right="0" w:firstLine="0"/>
      </w:pPr>
      <w:r>
        <w:t>La evaluación local se centra principalmente en el yeyuno, el íleon, la unión ileocecal, el mesenterio y su raíz. La raíz del mesenterio constituye una referencia regional especialmente importante: une el yeyuno-íleon a la pared posterior del abdomen y transporta parte de sus elementos vasculonerviosos y linfáticos.</w:t>
      </w:r>
    </w:p>
    <w:p>
      <w:pPr>
        <w:pStyle w:val="ROPES"/>
      </w:pPr>
      <w:r>
        <w:rPr>
          <w:b/>
        </w:rPr>
        <w:t>Interés en ROP</w:t>
      </w:r>
      <w:r>
        <w:t>: La raíz del mesenterio complementa la zona refleja del intestino cuando las pruebas lo indican; no sustituye a la zona propia del órgano.</w:t>
      </w:r>
    </w:p>
    <w:p>
      <w:pPr>
        <w:pStyle w:val="CrossReference"/>
      </w:pPr>
      <w:r>
        <w:t>Referencia cruzada: Véase el capítulo 7 — Base regional abdominal y peritoneal.</w:t>
      </w:r>
    </w:p>
    <w:p>
      <w:pPr>
        <w:pStyle w:val="Heading2"/>
      </w:pPr>
      <w:r>
        <w:t>12.2. Nivel 1 — Regulación de los centros superiores</w:t>
      </w:r>
    </w:p>
    <w:p>
      <w:pPr>
        <w:pStyle w:val="BodyTextES"/>
        <w:ind w:left="0" w:right="0" w:firstLine="0"/>
      </w:pPr>
      <w:r>
        <w:t>El Nivel 1 no es sistemático. Adquiere mayor interés cuando el cuadro incluye estrés crónico, hipersensibilidad digestiva, hipervigilancia corporal, trastornos del sueño o una interacción marcada entre los síntomas digestivos y el contexto emocional.</w:t>
      </w:r>
    </w:p>
    <w:p>
      <w:pPr>
        <w:pStyle w:val="ListBullet"/>
      </w:pPr>
      <w:r>
        <w:t>Zonas reflejas occipitales.</w:t>
      </w:r>
    </w:p>
    <w:p>
      <w:pPr>
        <w:pStyle w:val="ListBullet"/>
      </w:pPr>
      <w:r>
        <w:t>Tronco encefálico y centros de integración.</w:t>
      </w:r>
    </w:p>
    <w:p>
      <w:pPr>
        <w:pStyle w:val="ListBullet"/>
      </w:pPr>
      <w:r>
        <w:t>Diencéfalo, especialmente el hipotálamo.</w:t>
      </w:r>
    </w:p>
    <w:p>
      <w:pPr>
        <w:pStyle w:val="ListBullet"/>
      </w:pPr>
      <w:r>
        <w:t>Eje hipotálamo-hipofisario.</w:t>
      </w:r>
    </w:p>
    <w:p>
      <w:pPr>
        <w:pStyle w:val="ListBullet"/>
      </w:pPr>
      <w:r>
        <w:t>Entorno neuromeníngeo dentro del modelo ROP.</w:t>
      </w:r>
    </w:p>
    <w:p>
      <w:pPr>
        <w:pStyle w:val="CrossReference"/>
      </w:pPr>
      <w:r>
        <w:t>Referencia cruzada: Véase el capítulo 3 — Sistema nervioso central.</w:t>
      </w:r>
    </w:p>
    <w:p>
      <w:pPr>
        <w:pStyle w:val="ROPES"/>
      </w:pPr>
      <w:r>
        <w:rPr>
          <w:b/>
        </w:rPr>
        <w:t>Interés en ROP</w:t>
      </w:r>
      <w:r>
        <w:t>: El Nivel 1 sitúa los síntomas intestinales dentro de su integración central.</w:t>
      </w:r>
    </w:p>
    <w:p>
      <w:pPr>
        <w:pStyle w:val="Heading2"/>
      </w:pPr>
      <w:r>
        <w:t>12.3. Nivel 2 — Regulación neurovegetativa y adaptación</w:t>
      </w:r>
    </w:p>
    <w:p>
      <w:pPr>
        <w:pStyle w:val="BodyTextES"/>
        <w:ind w:left="0" w:right="0" w:firstLine="0"/>
      </w:pPr>
      <w:r>
        <w:t>El Nivel 2 es fundamental para el intestino delgado. Asocia las vías autónomas extrínsecas con el sistema nervioso entérico y con las interfaces funcionales de la digestión.</w:t>
      </w:r>
    </w:p>
    <w:p>
      <w:pPr>
        <w:pStyle w:val="ListBullet"/>
      </w:pPr>
      <w:r>
        <w:t>Nervio vago.</w:t>
      </w:r>
    </w:p>
    <w:p>
      <w:pPr>
        <w:pStyle w:val="ListBullet"/>
      </w:pPr>
      <w:r>
        <w:t>Sistema simpático toracolumbar y nervios esplácnicos.</w:t>
      </w:r>
    </w:p>
    <w:p>
      <w:pPr>
        <w:pStyle w:val="ListBullet"/>
      </w:pPr>
      <w:r>
        <w:t>Plexo celíaco.</w:t>
      </w:r>
    </w:p>
    <w:p>
      <w:pPr>
        <w:pStyle w:val="ListBullet"/>
      </w:pPr>
      <w:r>
        <w:t>Plexo mesentérico superior.</w:t>
      </w:r>
    </w:p>
    <w:p>
      <w:pPr>
        <w:pStyle w:val="ListBullet"/>
      </w:pPr>
      <w:r>
        <w:t>Interfaz SNA-SNE: plexos de Auerbach y Meissner.</w:t>
      </w:r>
    </w:p>
    <w:p>
      <w:pPr>
        <w:pStyle w:val="ListBullet"/>
      </w:pPr>
      <w:r>
        <w:t>Diafragma como interfaz funcional.</w:t>
      </w:r>
    </w:p>
    <w:p>
      <w:pPr>
        <w:pStyle w:val="BodyTextES"/>
        <w:ind w:left="0" w:right="0" w:firstLine="0"/>
      </w:pPr>
      <w:r>
        <w:t>Según las pruebas, pueden asociarse apoyos funcionales: hígado y sistema porta, páncreas, duodeno y, en determinados contextos de adaptación, glándulas suprarrenales. No constituyen etapas obligatorias del tratamiento del intestino delgado.</w:t>
      </w:r>
    </w:p>
    <w:p>
      <w:pPr>
        <w:pStyle w:val="CrossReference"/>
      </w:pPr>
      <w:r>
        <w:t>Referencia cruzada: Véase el capítulo 4 — Sistema nervioso autónomo.</w:t>
      </w:r>
    </w:p>
    <w:p>
      <w:pPr>
        <w:pStyle w:val="CrossReference"/>
      </w:pPr>
      <w:r>
        <w:t>Referencia cruzada: Véase el capítulo 8 — Diafragma.</w:t>
      </w:r>
    </w:p>
    <w:p>
      <w:pPr>
        <w:pStyle w:val="ROPES"/>
      </w:pPr>
      <w:r>
        <w:rPr>
          <w:b/>
        </w:rPr>
        <w:t>Interés en ROP</w:t>
      </w:r>
      <w:r>
        <w:t>: El Nivel 2 pretende coordinar la regulación neurovegetativa y entérica de la motricidad, las secreciones y la adaptación digestiva. El trabajo sobre el hígado, el sistema porta o el páncreas constituye un apoyo funcional seleccionado según el contexto clínico.</w:t>
      </w:r>
    </w:p>
    <w:p>
      <w:pPr>
        <w:pStyle w:val="Heading2"/>
      </w:pPr>
      <w:r>
        <w:t>12.4. Nivel 3 — Regulación visceral locorregional</w:t>
      </w:r>
    </w:p>
    <w:p>
      <w:pPr>
        <w:pStyle w:val="BodyTextES"/>
        <w:ind w:left="0" w:right="0" w:firstLine="0"/>
      </w:pPr>
      <w:r>
        <w:t>El Nivel 3 constituye el núcleo anatómico del protocolo intestinal. Asocia la zona propia del intestino únicamente con los componentes regionales pertinentes.</w:t>
      </w:r>
    </w:p>
    <w:p>
      <w:pPr>
        <w:pStyle w:val="ListBullet"/>
      </w:pPr>
      <w:r>
        <w:t>Asas yeyunales e ileales.</w:t>
      </w:r>
    </w:p>
    <w:p>
      <w:pPr>
        <w:pStyle w:val="ListBullet"/>
      </w:pPr>
      <w:r>
        <w:t>Mesenterio.</w:t>
      </w:r>
    </w:p>
    <w:p>
      <w:pPr>
        <w:pStyle w:val="ListBullet"/>
      </w:pPr>
      <w:r>
        <w:t>Raíz del mesenterio.</w:t>
      </w:r>
    </w:p>
    <w:p>
      <w:pPr>
        <w:pStyle w:val="ListBullet"/>
      </w:pPr>
      <w:r>
        <w:t>Peritoneo y deslizamiento intervisceral.</w:t>
      </w:r>
    </w:p>
    <w:p>
      <w:pPr>
        <w:pStyle w:val="ListBullet"/>
      </w:pPr>
      <w:r>
        <w:t>Unión duodenoyeyunal.</w:t>
      </w:r>
    </w:p>
    <w:p>
      <w:pPr>
        <w:pStyle w:val="ListBullet"/>
      </w:pPr>
      <w:r>
        <w:t>Unión ileocecal.</w:t>
      </w:r>
    </w:p>
    <w:p>
      <w:pPr>
        <w:pStyle w:val="ListBullet"/>
      </w:pPr>
      <w:r>
        <w:t>Relaciones con el colon, los riñones, los uréteres y, caudalmente, los órganos pélvicos.</w:t>
      </w:r>
    </w:p>
    <w:p>
      <w:pPr>
        <w:pStyle w:val="ListBullet"/>
      </w:pPr>
      <w:r>
        <w:t>Vascularización mesentérica cuando el contexto regional lo justifique.</w:t>
      </w:r>
    </w:p>
    <w:p>
      <w:pPr>
        <w:pStyle w:val="VisualCaption"/>
      </w:pPr>
      <w:r>
        <w:t>Foto: raíz del mesenterio — desde la unión duodenoyeyunal hasta el ombligo.</w:t>
      </w:r>
    </w:p>
    <w:p>
      <w:pPr>
        <w:pStyle w:val="VisualCaption"/>
      </w:pPr>
      <w:r>
        <w:t>Foto: raíz del mesenterio — desde la válvula ileocecal hasta el ombligo.</w:t>
      </w:r>
    </w:p>
    <w:p>
      <w:pPr>
        <w:pStyle w:val="VisualCaption"/>
      </w:pPr>
      <w:r>
        <w:t>Foto: yeyuno — límites superior e inferior.</w:t>
      </w:r>
    </w:p>
    <w:p>
      <w:pPr>
        <w:pStyle w:val="VisualCaption"/>
      </w:pPr>
      <w:r>
        <w:t>Foto: íleon — límites superior e inferior.</w:t>
      </w:r>
    </w:p>
    <w:p>
      <w:pPr>
        <w:pStyle w:val="CrossReference"/>
      </w:pPr>
      <w:r>
        <w:t>Referencia cruzada: Véase el capítulo 7 — Base regional abdominal y peritoneal.</w:t>
      </w:r>
    </w:p>
    <w:p>
      <w:pPr>
        <w:pStyle w:val="ROPES"/>
      </w:pPr>
      <w:r>
        <w:rPr>
          <w:b/>
        </w:rPr>
        <w:t>Interés en ROP</w:t>
      </w:r>
      <w:r>
        <w:t>: El Nivel 3 sitúa el intestino dentro de su entorno mesentérico y peritoneal. No se trabaja sistemáticamente toda la cavidad abdominal ni toda la raíz del mesenterio.</w:t>
      </w:r>
    </w:p>
    <w:p>
      <w:pPr>
        <w:pStyle w:val="Heading2"/>
      </w:pPr>
      <w:r>
        <w:t>12.5. Nivel 4 — Integración viscerosomática y eje cerebro-intestino</w:t>
      </w:r>
    </w:p>
    <w:p>
      <w:pPr>
        <w:pStyle w:val="BodyTextES"/>
        <w:ind w:left="0" w:right="0" w:firstLine="0"/>
      </w:pPr>
      <w:r>
        <w:t>Componente viscerosomático. Según las pruebas, la evaluación puede integrar la charnela toracolumbar, los territorios segmentarios T9-T11 con predominio de T10, la pared abdominal, la región lumbar, el psoas, el cuadrado lumbar y la pelvis cuando el cuadro se extiende hacia la región abdominopélvica.</w:t>
      </w:r>
    </w:p>
    <w:p>
      <w:pPr>
        <w:pStyle w:val="BodyTextES"/>
        <w:ind w:left="0" w:right="0" w:firstLine="0"/>
      </w:pPr>
      <w:r>
        <w:t>Eje cerebro-intestino. El estrés, la atención prestada a las sensaciones digestivas, la hipersensibilidad visceral, la motricidad, el sueño y la vivencia emocional pueden influirse mutuamente. Esta interpretación sustituye cualquier tipología de «personalidad intestinal».</w:t>
      </w:r>
    </w:p>
    <w:p>
      <w:pPr>
        <w:pStyle w:val="VisualCaption"/>
      </w:pPr>
      <w:r>
        <w:t>Foto: equilibrio visceroemocional — intestino delgado.</w:t>
      </w:r>
    </w:p>
    <w:p>
      <w:pPr>
        <w:pStyle w:val="CrossReference"/>
      </w:pPr>
      <w:r>
        <w:t>Referencia cruzada: Véase el capítulo 3 — Sistema nervioso central.</w:t>
      </w:r>
    </w:p>
    <w:p>
      <w:pPr>
        <w:pStyle w:val="CrossReference"/>
      </w:pPr>
      <w:r>
        <w:t>Referencia cruzada: Véase el capítulo 5 — Mecanismo del estrés.</w:t>
      </w:r>
    </w:p>
    <w:p>
      <w:pPr>
        <w:pStyle w:val="ROPES"/>
      </w:pPr>
      <w:r>
        <w:rPr>
          <w:b/>
        </w:rPr>
        <w:t>Interés en ROP</w:t>
      </w:r>
      <w:r>
        <w:t>: El Nivel 4 integra las convergencias somáticas y el contexto emocional sin atribuir automáticamente un trastorno digestivo a un origen psicológico.</w:t>
      </w:r>
    </w:p>
    <w:p>
      <w:pPr>
        <w:pStyle w:val="Heading2"/>
      </w:pPr>
      <w:r>
        <w:t>12.6. Apoyos asociados según las pruebas</w:t>
      </w:r>
    </w:p>
    <w:p>
      <w:pPr>
        <w:pStyle w:val="ListBullet"/>
      </w:pPr>
      <w:r>
        <w:t>Duodeno: continuidad digestiva proximal.</w:t>
      </w:r>
    </w:p>
    <w:p>
      <w:pPr>
        <w:pStyle w:val="ListBullet"/>
      </w:pPr>
      <w:r>
        <w:t>Hígado y sistema porta: absorción y circulación portal.</w:t>
      </w:r>
    </w:p>
    <w:p>
      <w:pPr>
        <w:pStyle w:val="ListBullet"/>
      </w:pPr>
      <w:r>
        <w:t>Páncreas: participación en la digestión.</w:t>
      </w:r>
    </w:p>
    <w:p>
      <w:pPr>
        <w:pStyle w:val="ListBullet"/>
      </w:pPr>
      <w:r>
        <w:t>Colon: continuidad funcional y unión ileocecal.</w:t>
      </w:r>
    </w:p>
    <w:p>
      <w:pPr>
        <w:pStyle w:val="ListBullet"/>
      </w:pPr>
      <w:r>
        <w:t>Diafragma: dinámica abdominal.</w:t>
      </w:r>
    </w:p>
    <w:p>
      <w:pPr>
        <w:pStyle w:val="ListBullet"/>
      </w:pPr>
      <w:r>
        <w:t>Pelvis: únicamente cuando el cuadro se extiende hacia la esfera pélvica.</w:t>
      </w:r>
    </w:p>
    <w:p>
      <w:pPr>
        <w:pStyle w:val="BodyTextES"/>
        <w:ind w:left="0" w:right="0" w:firstLine="0"/>
      </w:pPr>
      <w:r>
        <w:t>Estos territorios constituyen apoyos asociados y no una lista sistemática.</w:t>
      </w:r>
    </w:p>
    <w:p>
      <w:pPr>
        <w:pStyle w:val="Heading2"/>
      </w:pPr>
      <w:r>
        <w:t>12.7. Interpretación clínica</w:t>
      </w:r>
    </w:p>
    <w:p>
      <w:pPr>
        <w:pStyle w:val="ListBullet"/>
      </w:pPr>
      <w:r>
        <w:t>Trastornos funcionales del tránsito o distensión abdominal: Nivel 2 más la zona intestinal del Nivel 3 y el eje cerebro-intestino según el contexto.</w:t>
      </w:r>
    </w:p>
    <w:p>
      <w:pPr>
        <w:pStyle w:val="ListBullet"/>
      </w:pPr>
      <w:r>
        <w:t>Secuelas abdominales, adherencias o pérdida de movilidad regional después de una exclusión médica: intestino más mesenterio o raíz, base regional del capítulo 7 y componente somático del Nivel 4 si fuera necesario.</w:t>
      </w:r>
    </w:p>
    <w:p>
      <w:pPr>
        <w:pStyle w:val="ListBullet"/>
      </w:pPr>
      <w:r>
        <w:t>Enfermedad de Crohn u otra enfermedad inflamatoria diagnosticada: intervención únicamente como acompañamiento sintomático, con prioridad para el seguimiento médico y una selección prudente de los niveles según los síntomas y el terreno.</w:t>
      </w:r>
    </w:p>
    <w:p>
      <w:pPr>
        <w:pStyle w:val="ROPES"/>
      </w:pPr>
      <w:r>
        <w:rPr>
          <w:b/>
        </w:rPr>
        <w:t>Principio de seguridad</w:t>
      </w:r>
      <w:r>
        <w:t>: Una zona refleja sensible o una modificación palpatoria no constituye una prueba diagnóstica de obstrucción, infección, enfermedad inflamatoria, tumor u otra patología intestinal. La fiebre, la sangre en las heces, los vómitos persistentes, el adelgazamiento inexplicado, la deshidratación, el dolor intenso o la interrupción de la evacuación de heces y gases requieren una evaluación médica.</w:t>
      </w:r>
    </w:p>
    <w:p>
      <w:r>
        <w:br w:type="page"/>
      </w:r>
    </w:p>
    <w:p>
      <w:pPr>
        <w:pStyle w:val="Heading1"/>
      </w:pPr>
      <w:r>
        <w:t>13. Caso clínico — Enfermedad de Crohn y espondiloartritis</w:t>
      </w:r>
    </w:p>
    <w:p>
      <w:pPr>
        <w:pStyle w:val="BodyTextES"/>
        <w:ind w:left="0" w:right="0" w:firstLine="0"/>
      </w:pPr>
      <w:r>
        <w:t>Terreno inflamatorio digestivo, inmunitario y articular. Ilustración clínica de una interpretación global del terreno en ROP.</w:t>
      </w:r>
    </w:p>
    <w:p>
      <w:pPr>
        <w:pStyle w:val="Heading2"/>
      </w:pPr>
      <w:r>
        <w:t>Pregunta clínica</w:t>
      </w:r>
    </w:p>
    <w:p>
      <w:r>
        <w:t>Un profesional consulta a Guy sobre una persona que presenta:</w:t>
      </w:r>
    </w:p>
    <w:p>
      <w:pPr>
        <w:pStyle w:val="ListBullet"/>
      </w:pPr>
      <w:r>
        <w:t>Enfermedad de Crohn asociada a espondiloartritis.</w:t>
      </w:r>
    </w:p>
    <w:p>
      <w:pPr>
        <w:pStyle w:val="ListBullet"/>
      </w:pPr>
      <w:r>
        <w:t>Dolor abdominal y alteraciones del tránsito intestinal.</w:t>
      </w:r>
    </w:p>
    <w:p>
      <w:pPr>
        <w:pStyle w:val="ListBullet"/>
      </w:pPr>
      <w:r>
        <w:t>Fatiga y terreno inflamatorio crónico.</w:t>
      </w:r>
    </w:p>
    <w:p>
      <w:pPr>
        <w:pStyle w:val="ListBullet"/>
      </w:pPr>
      <w:r>
        <w:t>Dolor en la columna vertebral, la pelvis o las articulaciones sacroilíacas.</w:t>
      </w:r>
    </w:p>
    <w:p>
      <w:pPr>
        <w:pStyle w:val="BodyTextES"/>
        <w:ind w:left="0" w:right="0" w:firstLine="0"/>
      </w:pPr>
      <w:r>
        <w:t>La pregunta es doble: ¿se puede actuar mediante la ROP sobre un terreno inflamatorio crónico? ¿Debe interpretarse este caso como digestivo, articular, inmunitario o neurovegetativo?</w:t>
      </w:r>
    </w:p>
    <w:p>
      <w:pPr>
        <w:pStyle w:val="Heading2"/>
      </w:pPr>
      <w:r>
        <w:t>Interpretación de Guy</w:t>
      </w:r>
    </w:p>
    <w:p>
      <w:pPr>
        <w:pStyle w:val="ListBullet"/>
      </w:pPr>
      <w:r>
        <w:t>Este cuadro remite a un terreno inflamatorio crónico en el que el intestino desempeña un papel central.</w:t>
      </w:r>
    </w:p>
    <w:p>
      <w:pPr>
        <w:pStyle w:val="ListBullet"/>
      </w:pPr>
      <w:r>
        <w:t>La enfermedad de Crohn afecta con frecuencia al íleon y al colon, con un componente inflamatorio e inmunitario y, en ocasiones, lumbar o depresivo.</w:t>
      </w:r>
    </w:p>
    <w:p>
      <w:pPr>
        <w:pStyle w:val="ListBullet"/>
      </w:pPr>
      <w:r>
        <w:t>La espondiloartritis no está aislada: puede ser la expresión osteoarticular de un terreno digestivo-inmunitario mantenido por el intestino, la microbiota, el hígado, el sistema nervioso autónomo y el estrés.</w:t>
      </w:r>
    </w:p>
    <w:p>
      <w:pPr>
        <w:pStyle w:val="ListBullet"/>
      </w:pPr>
      <w:r>
        <w:t>La interpretación de la ROP es global y no se limita al dolor local ni únicamente al intestino.</w:t>
      </w:r>
    </w:p>
    <w:p>
      <w:pPr>
        <w:pStyle w:val="Heading2"/>
      </w:pPr>
      <w:r>
        <w:t>Relación con el capítulo 14</w:t>
      </w:r>
    </w:p>
    <w:p>
      <w:pPr>
        <w:pStyle w:val="ListBullet"/>
      </w:pPr>
      <w:r>
        <w:t>Intestino delgado, íleon y microbiota.</w:t>
      </w:r>
    </w:p>
    <w:p>
      <w:pPr>
        <w:pStyle w:val="ListBullet"/>
      </w:pPr>
      <w:r>
        <w:t>Inmunidad intestinal y sistema nervioso entérico.</w:t>
      </w:r>
    </w:p>
    <w:p>
      <w:pPr>
        <w:pStyle w:val="ListBullet"/>
      </w:pPr>
      <w:r>
        <w:t>Relaciones viscerosomáticas y eje intestino-cerebro.</w:t>
      </w:r>
    </w:p>
    <w:p>
      <w:pPr>
        <w:pStyle w:val="BodyTextES"/>
        <w:ind w:left="0" w:right="0" w:firstLine="0"/>
      </w:pPr>
      <w:r>
        <w:t>Interpretación funcional: digestión, absorción, inmunidad, sistema nervioso autónomo, hígado y terreno inflamatorio.</w:t>
      </w:r>
    </w:p>
    <w:p>
      <w:pPr>
        <w:pStyle w:val="Heading2"/>
      </w:pPr>
      <w:r>
        <w:t>Lógica del caso</w:t>
      </w:r>
    </w:p>
    <w:p>
      <w:pPr>
        <w:pStyle w:val="ListBullet"/>
      </w:pPr>
      <w:r>
        <w:t>Intestino inflamado.</w:t>
      </w:r>
    </w:p>
    <w:p>
      <w:pPr>
        <w:pStyle w:val="ListBullet"/>
      </w:pPr>
      <w:r>
        <w:t>Desregulación inmunitaria.</w:t>
      </w:r>
    </w:p>
    <w:p>
      <w:pPr>
        <w:pStyle w:val="ListBullet"/>
      </w:pPr>
      <w:r>
        <w:t>Carga neurovegetativa.</w:t>
      </w:r>
    </w:p>
    <w:p>
      <w:pPr>
        <w:pStyle w:val="ListBullet"/>
      </w:pPr>
      <w:r>
        <w:t>Repercusiones vertebrales.</w:t>
      </w:r>
    </w:p>
    <w:p>
      <w:pPr>
        <w:pStyle w:val="ListBullet"/>
      </w:pPr>
      <w:r>
        <w:t>Afectación del íleon y del colon.</w:t>
      </w:r>
    </w:p>
    <w:p>
      <w:pPr>
        <w:pStyle w:val="ListBullet"/>
      </w:pPr>
      <w:r>
        <w:t>Papel de la microbiota y del hígado.</w:t>
      </w:r>
    </w:p>
    <w:p>
      <w:pPr>
        <w:pStyle w:val="ListBullet"/>
      </w:pPr>
      <w:r>
        <w:t>Participación del sistema nervioso autónomo y del nervio vago.</w:t>
      </w:r>
    </w:p>
    <w:p>
      <w:pPr>
        <w:pStyle w:val="ListBullet"/>
      </w:pPr>
      <w:r>
        <w:t>Integración del dolor lumbar y sacroilíaco.</w:t>
      </w:r>
    </w:p>
    <w:p>
      <w:pPr>
        <w:pStyle w:val="BodyTextES"/>
        <w:ind w:left="0" w:right="0" w:firstLine="0"/>
      </w:pPr>
      <w:r>
        <w:t>Mensaje clínico: la asociación entre enfermedad de Crohn y espondiloartritis se interpreta como un sistema inflamatorio digestivo, inmunitario y articular.</w:t>
      </w:r>
    </w:p>
    <w:p>
      <w:pPr>
        <w:pStyle w:val="BodyTextES"/>
        <w:ind w:left="0" w:right="0" w:firstLine="0"/>
      </w:pPr>
      <w:r>
        <w:t>Prioridades consideradas en este caso: sistema nervioso autónomo, nervio vago e intestino; el Nivel 1, el hígado y otros apoyos se seleccionan únicamente si las pruebas y el contexto clínico los justifican.</w:t>
      </w:r>
    </w:p>
    <w:p>
      <w:pPr>
        <w:pStyle w:val="Heading2"/>
      </w:pPr>
      <w:r>
        <w:t>Orden de tratamiento propuesto en ROP</w:t>
      </w:r>
    </w:p>
    <w:p>
      <w:pPr/>
      <w:r>
        <w:t>Secuencia orientativa para este caso, sujeta a la evaluación individual. El Nivel 1 y las zonas reflejas occipitales no son sistemáticos; el hígado es un apoyo asociado y no un paso obligatorio.</w:t>
      </w:r>
    </w:p>
    <w:p>
      <w:pPr/>
      <w:r>
        <w:t>1. Si está indicado, Nivel 1: MRP, diencéfalo, hipófisis, tronco encefálico y zonas reflejas occipitales.</w:t>
      </w:r>
    </w:p>
    <w:p>
      <w:pPr/>
      <w:r>
        <w:t>2. Nivel 2: sistema nervioso autónomo y nervio vago.</w:t>
      </w:r>
    </w:p>
    <w:p>
      <w:pPr/>
      <w:r>
        <w:t>3. Apoyo asociado según las pruebas: hígado, drenaje y metabolismo hepático.</w:t>
      </w:r>
    </w:p>
    <w:p>
      <w:pPr/>
      <w:r>
        <w:t>4. Nivel 3: intestino delgado, íleon, colon y microbiota.</w:t>
      </w:r>
    </w:p>
    <w:p>
      <w:pPr/>
      <w:r>
        <w:t>5. Si está indicado, Nivel 4: columna vertebral, pelvis, articulaciones sacroilíacas y zonas asociadas.</w:t>
      </w:r>
    </w:p>
    <w:p>
      <w:pPr>
        <w:pStyle w:val="Heading2"/>
      </w:pPr>
      <w:r>
        <w:t>Interés en ROP</w:t>
      </w:r>
    </w:p>
    <w:p>
      <w:pPr>
        <w:pStyle w:val="ListBullet"/>
      </w:pPr>
      <w:r>
        <w:t>Situar el síntoma dentro de una interpretación global del terreno.</w:t>
      </w:r>
    </w:p>
    <w:p>
      <w:pPr>
        <w:pStyle w:val="ListBullet"/>
      </w:pPr>
      <w:r>
        <w:t>Apoyar la regulación neurovegetativa e inmunitaria.</w:t>
      </w:r>
    </w:p>
    <w:p>
      <w:pPr>
        <w:pStyle w:val="ListBullet"/>
      </w:pPr>
      <w:r>
        <w:t>Acompañar el tránsito intestinal, el dolor abdominopélvico y las repercusiones osteoarticulares.</w:t>
      </w:r>
    </w:p>
    <w:p>
      <w:pPr>
        <w:pStyle w:val="ListBullet"/>
      </w:pPr>
      <w:r>
        <w:t>Intervenir como complemento del seguimiento médico, sin sustituirlo.</w:t>
      </w:r>
    </w:p>
    <w:p>
      <w:pPr>
        <w:pStyle w:val="BodyTextES"/>
        <w:ind w:left="0" w:right="0" w:firstLine="0"/>
      </w:pPr>
      <w:r>
        <w:t>La ROP pretende apoyar la capacidad de regulación de un terreno inflamatorio crónico. No trata la lesión médica en sí, sino que acompaña el terreno con prudencia y de forma progresiva.</w:t>
      </w:r>
    </w:p>
    <w:p>
      <w:pPr>
        <w:pStyle w:val="VisualCaption"/>
      </w:pPr>
      <w:r>
        <w:t>Ilustración clínica simplificada de un cuadro de enfermedad de Crohn y espondiloartritis, relacionado con el intestino delgado y con el enfoque propuesto en ROP.</w:t>
      </w:r>
    </w:p>
    <w:sectPr w:rsidR="00FC693F" w:rsidRPr="0006063C" w:rsidSect="00034616">
      <w:footerReference w:type="default" r:id="rId9"/>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0606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ind w:left="0" w:right="0" w:firstLine="0"/>
    </w:pPr>
    <w:rPr>
      <w:rFonts w:ascii="Aptos" w:hAnsi="Aptos"/>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60" w:line="240" w:lineRule="auto" w:before="0"/>
      <w:contextualSpacing/>
      <w:jc w:val="center"/>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60"/>
      <w:ind w:left="403" w:hanging="259"/>
      <w:contextualSpacing/>
    </w:pPr>
    <w:rPr>
      <w:rFonts w:ascii="Aptos" w:hAnsi="Aptos"/>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rossReference">
    <w:name w:val="Cross Reference"/>
    <w:basedOn w:val="Normal"/>
    <w:pPr>
      <w:spacing w:after="120"/>
      <w:ind w:left="288"/>
    </w:pPr>
    <w:rPr>
      <w:rFonts w:ascii="Aptos" w:hAnsi="Aptos"/>
      <w:i/>
      <w:color w:val="404040"/>
      <w:sz w:val="21"/>
    </w:rPr>
  </w:style>
  <w:style w:type="paragraph" w:customStyle="1" w:styleId="VisualCaption">
    <w:name w:val="Visual Caption"/>
    <w:basedOn w:val="Normal"/>
    <w:pPr>
      <w:spacing w:before="80" w:after="160"/>
    </w:pPr>
    <w:rPr>
      <w:rFonts w:ascii="Aptos" w:hAnsi="Aptos"/>
      <w:i/>
      <w:color w:val="404040"/>
      <w:sz w:val="19"/>
    </w:rPr>
  </w:style>
  <w:style w:type="paragraph" w:customStyle="1" w:styleId="BodyTextES">
    <w:name w:val="Body Text ES"/>
    <w:basedOn w:val="Normal"/>
    <w:pPr>
      <w:spacing w:after="120" w:line="269" w:lineRule="auto"/>
      <w:ind w:left="0" w:right="0" w:firstLine="0"/>
    </w:pPr>
    <w:rPr>
      <w:rFonts w:ascii="Aptos" w:hAnsi="Aptos"/>
      <w:color w:val="000000"/>
      <w:sz w:val="23"/>
    </w:rPr>
  </w:style>
  <w:style w:type="paragraph" w:customStyle="1" w:styleId="LeadES">
    <w:name w:val="Lead ES"/>
    <w:basedOn w:val="Normal"/>
    <w:pPr>
      <w:spacing w:after="120" w:line="269" w:lineRule="auto"/>
      <w:ind w:left="0" w:right="0" w:firstLine="0"/>
    </w:pPr>
    <w:rPr>
      <w:rFonts w:ascii="Aptos" w:hAnsi="Aptos"/>
      <w:color w:val="000000"/>
      <w:sz w:val="23"/>
    </w:rPr>
  </w:style>
  <w:style w:type="paragraph" w:customStyle="1" w:styleId="ROPES">
    <w:name w:val="ROP ES"/>
    <w:basedOn w:val="Normal"/>
    <w:pPr>
      <w:spacing w:after="120" w:line="269" w:lineRule="auto"/>
      <w:ind w:left="0" w:right="0" w:firstLine="0"/>
    </w:pPr>
    <w:rPr>
      <w:rFonts w:ascii="Aptos" w:hAnsi="Aptos"/>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14 Intestino delgado</dc:title>
  <dc:subject>Manuscrito médico en español para publicación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