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Liberation Sans" w:hAnsi="Liberation Sans"/>
        </w:rPr>
        <w:t>Introduction</w:t>
      </w:r>
    </w:p>
    <w:p>
      <w:pPr>
        <w:jc w:val="center"/>
      </w:pPr>
      <w:r>
        <w:rPr>
          <w:rFonts w:ascii="Liberation Serif" w:hAnsi="Liberation Serif"/>
          <w:i/>
          <w:sz w:val="21"/>
        </w:rPr>
        <w:t>Medical English translation — ROP terminology preserved</w:t>
      </w:r>
    </w:p>
    <w:p>
      <w:r>
        <w:t>This third volume on Réflexothérapie Occipito-Podale — ROP is the natural continuation of the two preceding volumes. After the osteo-musculo-articular system in Volume 1 and the neuromeningeal system in Volume 2, we now turn to the field of the abdomino-pelvic viscera, the autonomic nervous system, and the mechanisms of stress.</w:t>
      </w:r>
    </w:p>
    <w:p>
      <w:r>
        <w:t>The ambition remains the same: to provide a coherent mapping, aligned with anatomy and physiology, conceived three-dimensionally, with the body represented as an infant in the fetal position within the foot, and articulated with the occipital reflex zones.</w:t>
      </w:r>
    </w:p>
    <w:p>
      <w:pPr>
        <w:pStyle w:val="Heading1"/>
      </w:pPr>
      <w:r>
        <w:t>In brief: what this book offers</w:t>
      </w:r>
    </w:p>
    <w:p>
      <w:pPr>
        <w:pStyle w:val="ListBullet"/>
      </w:pPr>
      <w:r>
        <w:t>A clear interpretation of viscero-somatic relationships: how visceral dysfunction may affect the locomotor system, and how locomotor disorders may, in turn, influence visceral function.</w:t>
      </w:r>
    </w:p>
    <w:p>
      <w:pPr>
        <w:pStyle w:val="ListBullet"/>
      </w:pPr>
      <w:r>
        <w:t>Clinical landmarks and a palpatory rationale for locating reflex zones, despite the limited bony landmarks available on the plantar surface.</w:t>
      </w:r>
    </w:p>
    <w:p>
      <w:pPr>
        <w:pStyle w:val="ListBullet"/>
      </w:pPr>
      <w:r>
        <w:t>Maps adjusted according to key anatomical reference points, including the diaphragm, and interpreted in relation to the patient’s history as well as medical and surgical reports.</w:t>
      </w:r>
    </w:p>
    <w:p>
      <w:pPr>
        <w:pStyle w:val="ListBullet"/>
      </w:pPr>
      <w:r>
        <w:t>A global approach designed to interrupt pathological reflex loops — neurological, visceral, somatic, and emotional — stimulate the body’s intrinsic regulatory capacities, and support vitality.</w:t>
      </w:r>
    </w:p>
    <w:p>
      <w:pPr>
        <w:pStyle w:val="Heading1"/>
      </w:pPr>
      <w:r>
        <w:t>Why the visceral system is essential</w:t>
      </w:r>
    </w:p>
    <w:p>
      <w:r>
        <w:t>The visceral system is responsible for the body’s core logistical functions: nutrition, elimination, and internal homeostasis. In this context, many musculoskeletal pain syndromes may arise as a consequence of visceral dysfunction — and the converse is also true. Treating one system while ignoring the other often leads to incomplete results.</w:t>
      </w:r>
    </w:p>
    <w:p>
      <w:pPr>
        <w:pStyle w:val="Heading1"/>
      </w:pPr>
      <w:r>
        <w:t>Our position: anatomical rigor and clinical pragmatism</w:t>
      </w:r>
    </w:p>
    <w:p>
      <w:r>
        <w:t>As in any manual therapeutic approach, we sometimes observe results that cannot be fully objectified. Clinical observation does not have the methodological rigor of a laboratory protocol, but it retains its value when conducted systematically. This is why this book prioritizes:</w:t>
      </w:r>
    </w:p>
    <w:p>
      <w:pPr>
        <w:pStyle w:val="ListNumber"/>
      </w:pPr>
      <w:r>
        <w:t>anatomical coherence;</w:t>
      </w:r>
    </w:p>
    <w:p>
      <w:pPr>
        <w:pStyle w:val="ListNumber"/>
      </w:pPr>
      <w:r>
        <w:t>reproducibility of landmarks;</w:t>
      </w:r>
    </w:p>
    <w:p>
      <w:pPr>
        <w:pStyle w:val="ListNumber"/>
      </w:pPr>
      <w:r>
        <w:t>correlation with clinical reality, including patient history, imaging findings, and surgical observations.</w:t>
      </w:r>
    </w:p>
    <w:p>
      <w:r>
        <w:t>Two points deserve particular emphasis:</w:t>
      </w:r>
    </w:p>
    <w:p>
      <w:pPr>
        <w:spacing w:after="80"/>
        <w:ind w:left="360" w:hanging="360"/>
      </w:pPr>
      <w:r>
        <w:t>1.</w:t>
        <w:tab/>
      </w:r>
      <w:r>
        <w:rPr>
          <w:b/>
        </w:rPr>
        <w:t>The diaphragm:</w:t>
      </w:r>
      <w:r>
        <w:t xml:space="preserve"> the two domes are not positioned at the same height. Ignoring this asymmetry renders any mapping inaccurate, both for the diaphragm itself and for the viscera attached to it.</w:t>
      </w:r>
    </w:p>
    <w:p>
      <w:pPr>
        <w:spacing w:after="80"/>
        <w:ind w:left="360" w:hanging="360"/>
      </w:pPr>
      <w:r>
        <w:t>2.</w:t>
        <w:tab/>
      </w:r>
      <w:r>
        <w:rPr>
          <w:b/>
        </w:rPr>
        <w:t>The peritoneum:</w:t>
      </w:r>
      <w:r>
        <w:t xml:space="preserve"> a major interface between the viscera and the body walls, with significant reflexogenic potential, capable of transmitting tensions and dysfunctions in both directions.</w:t>
      </w:r>
    </w:p>
    <w:p>
      <w:pPr>
        <w:pStyle w:val="Heading1"/>
      </w:pPr>
      <w:r>
        <w:t>Terminology</w:t>
      </w:r>
    </w:p>
    <w:p>
      <w:r>
        <w:t>For the sake of clarity, we will use the following terminology:</w:t>
      </w:r>
    </w:p>
    <w:p>
      <w:pPr>
        <w:pStyle w:val="ListBullet"/>
      </w:pPr>
      <w:r>
        <w:rPr>
          <w:b/>
        </w:rPr>
        <w:t>Dorsally</w:t>
      </w:r>
      <w:r>
        <w:t>, instead of “posteriorly”.</w:t>
      </w:r>
    </w:p>
    <w:p>
      <w:pPr>
        <w:pStyle w:val="ListBullet"/>
      </w:pPr>
      <w:r>
        <w:rPr>
          <w:b/>
        </w:rPr>
        <w:t>Ventrally</w:t>
      </w:r>
      <w:r>
        <w:t>, instead of “anteriorly”.</w:t>
      </w:r>
    </w:p>
    <w:p>
      <w:pPr>
        <w:pStyle w:val="ListBullet"/>
      </w:pPr>
      <w:r>
        <w:rPr>
          <w:b/>
        </w:rPr>
        <w:t>Laterally</w:t>
      </w:r>
      <w:r>
        <w:t>, instead of “externally”.</w:t>
      </w:r>
    </w:p>
    <w:p>
      <w:pPr>
        <w:pStyle w:val="ListBullet"/>
      </w:pPr>
      <w:r>
        <w:rPr>
          <w:b/>
        </w:rPr>
        <w:t>Medially</w:t>
      </w:r>
      <w:r>
        <w:t>, instead of “internally”.</w:t>
      </w:r>
    </w:p>
    <w:p>
      <w:pPr>
        <w:pStyle w:val="ListBullet"/>
      </w:pPr>
      <w:r>
        <w:rPr>
          <w:b/>
        </w:rPr>
        <w:t>Cephalically</w:t>
      </w:r>
      <w:r>
        <w:t>, instead of “upward”.</w:t>
      </w:r>
    </w:p>
    <w:p>
      <w:pPr>
        <w:pStyle w:val="ListBullet"/>
      </w:pPr>
      <w:r>
        <w:rPr>
          <w:b/>
        </w:rPr>
        <w:t>Caudally</w:t>
      </w:r>
      <w:r>
        <w:t>, instead of “downward”.</w:t>
      </w:r>
    </w:p>
    <w:p>
      <w:pPr>
        <w:pStyle w:val="ListBullet"/>
      </w:pPr>
      <w:r>
        <w:rPr>
          <w:b/>
        </w:rPr>
        <w:t>Frontally</w:t>
      </w:r>
      <w:r>
        <w:t>, instead of “transversely”.</w:t>
      </w:r>
    </w:p>
    <w:p>
      <w:pPr>
        <w:pStyle w:val="ListBullet"/>
      </w:pPr>
      <w:r>
        <w:rPr>
          <w:b/>
        </w:rPr>
        <w:t>Sagittally</w:t>
      </w:r>
      <w:r>
        <w:t>, instead of “anteroposteriorly”.</w:t>
      </w:r>
    </w:p>
    <w:p>
      <w:pPr>
        <w:pStyle w:val="Heading1"/>
      </w:pPr>
      <w:r>
        <w:t>Standard chapter structure</w:t>
      </w:r>
    </w:p>
    <w:p>
      <w:r>
        <w:t>Each chapter devoted to a viscus follows a common structure:</w:t>
      </w:r>
    </w:p>
    <w:p>
      <w:pPr>
        <w:pStyle w:val="ListBullet"/>
      </w:pPr>
      <w:r>
        <w:t>Presentation.</w:t>
      </w:r>
    </w:p>
    <w:p>
      <w:pPr>
        <w:pStyle w:val="ListBullet"/>
      </w:pPr>
      <w:r>
        <w:t>Location.</w:t>
      </w:r>
    </w:p>
    <w:p>
      <w:pPr>
        <w:pStyle w:val="ListBullet"/>
      </w:pPr>
      <w:r>
        <w:t>Anatomy.</w:t>
      </w:r>
    </w:p>
    <w:p>
      <w:pPr>
        <w:pStyle w:val="ListBullet"/>
      </w:pPr>
      <w:r>
        <w:t>Anatomical relationships.</w:t>
      </w:r>
    </w:p>
    <w:p>
      <w:pPr>
        <w:pStyle w:val="ListBullet"/>
      </w:pPr>
      <w:r>
        <w:t>Vascularization.</w:t>
      </w:r>
    </w:p>
    <w:p>
      <w:pPr>
        <w:pStyle w:val="ListBullet"/>
      </w:pPr>
      <w:r>
        <w:t>Innervation.</w:t>
      </w:r>
    </w:p>
    <w:p>
      <w:pPr>
        <w:pStyle w:val="ListBullet"/>
      </w:pPr>
      <w:r>
        <w:t>Physiology.</w:t>
      </w:r>
    </w:p>
    <w:p>
      <w:pPr>
        <w:pStyle w:val="ListBullet"/>
      </w:pPr>
      <w:r>
        <w:t>Common pathologies — diagnosis of exclusion; indications: functional disorders.</w:t>
      </w:r>
    </w:p>
    <w:p>
      <w:pPr>
        <w:pStyle w:val="ListBullet"/>
      </w:pPr>
      <w:r>
        <w:t>Podal reflex zones — general syndrome; locoregional syndrome.</w:t>
      </w:r>
    </w:p>
    <w:p>
      <w:pPr>
        <w:pStyle w:val="ListBullet"/>
      </w:pPr>
      <w:r>
        <w:t>Viscero-somatic relationships.</w:t>
      </w:r>
    </w:p>
    <w:p>
      <w:pPr>
        <w:pStyle w:val="ListBullet"/>
      </w:pPr>
      <w:r>
        <w:t>Viscero-emotional relationships.</w:t>
      </w:r>
    </w:p>
    <w:p>
      <w:pPr>
        <w:pStyle w:val="ListBullet"/>
      </w:pPr>
      <w:r>
        <w:t>Advice.</w:t>
      </w:r>
    </w:p>
    <w:sectPr w:rsidR="00FC693F" w:rsidRPr="0006063C" w:rsidSect="00034616">
      <w:head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erif" w:hAnsi="Liberation Serif"/>
        <w:sz w:val="16"/>
      </w:rPr>
      <w:t>Medical English translation | ROP preserved as branding terminology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120"/>
    </w:pPr>
    <w:rPr>
      <w:rFonts w:ascii="Liberation Serif" w:hAnsi="Liberation Serif" w:eastAsia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2" w:lineRule="auto"/>
      <w:contextualSpacing/>
    </w:pPr>
    <w:rPr>
      <w:rFonts w:ascii="Liberation Serif" w:hAnsi="Liberation Serif" w:eastAsia="Liberation Seri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2" w:lineRule="auto"/>
      <w:contextualSpacing/>
    </w:pPr>
    <w:rPr>
      <w:rFonts w:ascii="Liberation Serif" w:hAnsi="Liberation Serif" w:eastAsia="Liberation Seri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