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C659" w14:textId="77777777" w:rsidR="005C2951" w:rsidRDefault="00000000">
      <w:pPr>
        <w:spacing w:after="40"/>
      </w:pPr>
      <w:r>
        <w:t>Capítulo 2</w:t>
      </w:r>
    </w:p>
    <w:p w14:paraId="2D79249E" w14:textId="77777777" w:rsidR="005C2951" w:rsidRDefault="00000000">
      <w:pPr>
        <w:spacing w:after="160"/>
      </w:pPr>
      <w:r>
        <w:t>Tratamiento mediante reflexoterapia occipitopodal (ROP)</w:t>
      </w:r>
    </w:p>
    <w:p w14:paraId="1B7E8489" w14:textId="77777777" w:rsidR="005C2951" w:rsidRDefault="005C2951">
      <w:pPr>
        <w:pBdr>
          <w:bottom w:val="single" w:sz="14" w:space="1" w:color="3E6F70"/>
        </w:pBdr>
        <w:spacing w:after="240"/>
      </w:pPr>
    </w:p>
    <w:p w14:paraId="5FAF4C04" w14:textId="77777777" w:rsidR="005C2951" w:rsidRPr="002A613E" w:rsidRDefault="00000000">
      <w:pPr>
        <w:pStyle w:val="BodyText"/>
        <w:spacing w:after="140"/>
        <w:ind w:firstLine="255"/>
        <w:rPr>
          <w:lang w:val="fr-FR"/>
        </w:rPr>
      </w:pPr>
      <w:r w:rsidRPr="002A613E">
        <w:rPr>
          <w:lang w:val="fr-FR"/>
        </w:rPr>
        <w:t>La reflexoterapia occipitopodal (ROP) se inscribe en un enfoque asistencial funcional e integrativo. El tratamiento se guía por la anamnesis, la exploración clínica, las pruebas de escucha, la evaluación de las zonas reflejas y la respuesta observada. Sigue la secuencia clínica presentada en el capítulo 0 y se apoya, cuando resulta pertinente, en las bases neuroanatómicas de las vías de entrada somáticas, las convergencias medulares y las vías supramedulares. Su objetivo es movilizar las capacidades de regulación y adaptación del paciente, sin sustituir el diagnóstico médico ni ningún tratamiento médico indicado. A continuación se exponen los fundamentos del modelo clínico, diferenciando la fisiología documentada, los argumentos de plausibilidad neurofisiológica y la cartografía propia de la ROP.</w:t>
      </w:r>
    </w:p>
    <w:tbl>
      <w:tblPr>
        <w:tblW w:w="0" w:type="auto"/>
        <w:jc w:val="center"/>
        <w:tblLook w:val="04A0" w:firstRow="1" w:lastRow="0" w:firstColumn="1" w:lastColumn="0" w:noHBand="0" w:noVBand="1"/>
      </w:tblPr>
      <w:tblGrid>
        <w:gridCol w:w="9915"/>
      </w:tblGrid>
      <w:tr w:rsidR="005C2951" w14:paraId="30E1FE5B" w14:textId="77777777">
        <w:trPr>
          <w:cantSplit/>
          <w:jc w:val="center"/>
        </w:trPr>
        <w:tc>
          <w:tcPr>
            <w:tcW w:w="9915" w:type="dxa"/>
            <w:tcBorders>
              <w:top w:val="nil"/>
              <w:left w:val="single" w:sz="18" w:space="0" w:color="3E6F70"/>
              <w:bottom w:val="nil"/>
              <w:right w:val="nil"/>
            </w:tcBorders>
            <w:shd w:val="clear" w:color="auto" w:fill="F3EEE5"/>
            <w:tcMar>
              <w:top w:w="150" w:type="dxa"/>
              <w:left w:w="220" w:type="dxa"/>
              <w:bottom w:w="150" w:type="dxa"/>
              <w:right w:w="220" w:type="dxa"/>
            </w:tcMar>
            <w:vAlign w:val="center"/>
          </w:tcPr>
          <w:p w14:paraId="630423E5" w14:textId="77777777" w:rsidR="005C2951" w:rsidRDefault="00000000">
            <w:r>
              <w:rPr>
                <w:lang w:val="es-ES"/>
              </w:rPr>
              <w:t>Principios rectores</w:t>
            </w:r>
            <w:r>
              <w:rPr>
                <w:lang w:val="es-ES"/>
              </w:rPr>
              <w:br/>
              <w:t>Movilizar en lugar de forzar. La presión es suave, precisa e indolora.</w:t>
            </w:r>
            <w:r>
              <w:rPr>
                <w:lang w:val="es-ES"/>
              </w:rPr>
              <w:br/>
              <w:t>Priorizar en lugar de aplicar un protocolo fijo. Las pruebas y la situación clínica determinan las prioridades.</w:t>
            </w:r>
            <w:r>
              <w:rPr>
                <w:lang w:val="es-ES"/>
              </w:rPr>
              <w:br/>
              <w:t>Observar en lugar de presuponer. La respuesta del paciente se controla durante las horas y los días posteriores a la sesión.</w:t>
            </w:r>
            <w:r>
              <w:rPr>
                <w:lang w:val="es-ES"/>
              </w:rPr>
              <w:br/>
              <w:t>Derivar cuando sea necesario. Toda sospecha de enfermedad orgánica o signo de alarma requiere una evaluación médica.</w:t>
            </w:r>
          </w:p>
        </w:tc>
      </w:tr>
    </w:tbl>
    <w:p w14:paraId="68E7ADB1" w14:textId="77777777" w:rsidR="005C2951" w:rsidRDefault="005C2951">
      <w:pPr>
        <w:spacing w:after="0"/>
      </w:pPr>
    </w:p>
    <w:p w14:paraId="1AFF47D4" w14:textId="77777777" w:rsidR="005C2951" w:rsidRPr="002A613E" w:rsidRDefault="00000000">
      <w:pPr>
        <w:pStyle w:val="Heading1"/>
        <w:rPr>
          <w:lang w:val="fr-FR"/>
        </w:rPr>
      </w:pPr>
      <w:r w:rsidRPr="002A613E">
        <w:rPr>
          <w:lang w:val="fr-FR"/>
        </w:rPr>
        <w:t>0. Fundamentos del modelo clínico de la ROP</w:t>
      </w:r>
    </w:p>
    <w:p w14:paraId="4E735267" w14:textId="77777777" w:rsidR="005C2951" w:rsidRPr="002A613E" w:rsidRDefault="00000000">
      <w:pPr>
        <w:pStyle w:val="BodyText"/>
        <w:rPr>
          <w:lang w:val="fr-FR"/>
        </w:rPr>
      </w:pPr>
      <w:r w:rsidRPr="002A613E">
        <w:rPr>
          <w:lang w:val="fr-FR"/>
        </w:rPr>
        <w:t>Antes de abordar la técnica, deben distinguirse tres niveles: la fisiología cutánea y somatosensorial establecida; los argumentos de plausibilidad aportados por la neurofisiología; y la cartografía clínica propia de la ROP. Esta distinción permite conservar la lógica del método sin presentar como demostrada una correspondencia punto–órgano que no lo está.</w:t>
      </w:r>
    </w:p>
    <w:p w14:paraId="392D10B6" w14:textId="77777777" w:rsidR="005C2951" w:rsidRPr="002A613E" w:rsidRDefault="00000000">
      <w:pPr>
        <w:pStyle w:val="Heading2"/>
        <w:rPr>
          <w:lang w:val="fr-FR"/>
        </w:rPr>
      </w:pPr>
      <w:r w:rsidRPr="002A613E">
        <w:rPr>
          <w:lang w:val="fr-FR"/>
        </w:rPr>
        <w:t>0.1. ¿Por qué busca la ROP zonas reflejas en el pie y el occipucio?</w:t>
      </w:r>
    </w:p>
    <w:p w14:paraId="10E6E10C" w14:textId="77777777" w:rsidR="005C2951" w:rsidRPr="002A613E" w:rsidRDefault="00000000">
      <w:pPr>
        <w:pStyle w:val="BodyText"/>
        <w:rPr>
          <w:lang w:val="fr-FR"/>
        </w:rPr>
      </w:pPr>
      <w:r w:rsidRPr="002A613E">
        <w:rPr>
          <w:lang w:val="fr-FR"/>
        </w:rPr>
        <w:t>En la práctica de la ROP, el profesional busca en la piel del pie y de la región occipital zonas cuya textura o sensibilidad difieren de las del entorno inmediato. Estos hallazgos se relacionan con la anamnesis, la exploración clínica, las pruebas de escucha y la evolución del paciente. Constituyen referencias para el tratamiento y la reevaluación; no se utilizan de forma aislada para establecer un diagnóstico médico.</w:t>
      </w:r>
    </w:p>
    <w:p w14:paraId="0454556A" w14:textId="77777777" w:rsidR="005C2951" w:rsidRPr="002A613E" w:rsidRDefault="00000000">
      <w:pPr>
        <w:pStyle w:val="BodyText"/>
        <w:rPr>
          <w:lang w:val="fr-FR"/>
        </w:rPr>
      </w:pPr>
      <w:r w:rsidRPr="002A613E">
        <w:rPr>
          <w:lang w:val="fr-FR"/>
        </w:rPr>
        <w:t>La cartografía occipitopodal asocia estas zonas con territorios funcionales del organismo. En este volumen, dicha cartografía se considera un modelo clínico propio de la ROP. No debe confundirse con un dermatoma, un territorio de un nervio periférico ni con la proyección anatómica directa de un órgano sobre la piel del pie o del occipucio.</w:t>
      </w:r>
    </w:p>
    <w:p w14:paraId="325D84FF" w14:textId="77777777" w:rsidR="005C2951" w:rsidRPr="002A613E" w:rsidRDefault="00000000">
      <w:pPr>
        <w:pStyle w:val="BodyText"/>
        <w:rPr>
          <w:lang w:val="fr-FR"/>
        </w:rPr>
      </w:pPr>
      <w:r w:rsidRPr="002A613E">
        <w:rPr>
          <w:lang w:val="fr-FR"/>
        </w:rPr>
        <w:t>La embriología aporta un elemento contextual: la epidermis deriva del ectodermo superficial, mientras que el sistema nervioso deriva del neuroectodermo, procedente a su vez del ectodermo [1]. Este origen embrionario común es un hecho anatómico; sin embargo, no demuestra la existencia de una cartografía refleja específica pie–occipucio–órgano.</w:t>
      </w:r>
    </w:p>
    <w:p w14:paraId="48C3FB09" w14:textId="77777777" w:rsidR="005C2951" w:rsidRPr="002A613E" w:rsidRDefault="00000000">
      <w:pPr>
        <w:pStyle w:val="BodyText"/>
        <w:rPr>
          <w:lang w:val="fr-FR"/>
        </w:rPr>
      </w:pPr>
      <w:r w:rsidRPr="002A613E">
        <w:rPr>
          <w:lang w:val="fr-FR"/>
        </w:rPr>
        <w:t xml:space="preserve">La neurofisiología ofrece un marco de pertinencia más directa. La piel es un órgano ricamente inervado y vascularizado, cuya sensibilidad, temperatura, sudoración y perfusión varían en función de factores locales y </w:t>
      </w:r>
      <w:r w:rsidRPr="002A613E">
        <w:rPr>
          <w:lang w:val="fr-FR"/>
        </w:rPr>
        <w:lastRenderedPageBreak/>
        <w:t>sistémicos. El sistema simpático participa, en particular, en el control de la circulación cutánea y de la vasomotricidad [3]. Por tanto, el estrés, el dolor, la temperatura, la presión local u otros factores pueden modificar algunas características de la piel. Estos mecanismos muestran que la piel es un tejido dinámico; no demuestran que un trastorno funcional de un órgano genere necesariamente una zona cutánea correspondiente y específica en el pie o el occipucio.</w:t>
      </w:r>
    </w:p>
    <w:p w14:paraId="21825E4A" w14:textId="77777777" w:rsidR="005C2951" w:rsidRPr="002A613E" w:rsidRDefault="00000000">
      <w:pPr>
        <w:pStyle w:val="BodyText"/>
        <w:rPr>
          <w:lang w:val="fr-FR"/>
        </w:rPr>
      </w:pPr>
      <w:r w:rsidRPr="002A613E">
        <w:rPr>
          <w:lang w:val="fr-FR"/>
        </w:rPr>
        <w:t>Referencia histórica y terminológica — Los textos históricos de la ROP han empleado los conceptos de «somatotopía», «viscerotopía» o «reverberación» para describir la representación clínica del cuerpo en el pie y el occipucio. En este capítulo, estos términos describen el modelo cartográfico del método; no se presentan como prueba de una correspondencia anatómica punto–órgano demostrada.</w:t>
      </w:r>
    </w:p>
    <w:p w14:paraId="21680471" w14:textId="3348CEDD" w:rsidR="005C2951" w:rsidRPr="002A613E" w:rsidRDefault="005C2951">
      <w:pPr>
        <w:spacing w:before="40" w:after="40"/>
        <w:jc w:val="center"/>
        <w:rPr>
          <w:lang w:val="fr-FR"/>
        </w:rPr>
      </w:pPr>
    </w:p>
    <w:p w14:paraId="5F3F0BCE" w14:textId="77777777" w:rsidR="005C2951" w:rsidRPr="002A613E" w:rsidRDefault="00000000">
      <w:pPr>
        <w:pStyle w:val="Heading2"/>
        <w:rPr>
          <w:lang w:val="fr-FR"/>
        </w:rPr>
      </w:pPr>
      <w:r w:rsidRPr="002A613E">
        <w:rPr>
          <w:lang w:val="fr-FR"/>
        </w:rPr>
        <w:t>0.2. ¿Qué se entiende por «zona refleja» en ROP?</w:t>
      </w:r>
    </w:p>
    <w:p w14:paraId="10B4C3BE" w14:textId="77777777" w:rsidR="005C2951" w:rsidRPr="002A613E" w:rsidRDefault="00000000">
      <w:pPr>
        <w:pStyle w:val="BodyText"/>
        <w:rPr>
          <w:lang w:val="fr-FR"/>
        </w:rPr>
      </w:pPr>
      <w:r w:rsidRPr="002A613E">
        <w:rPr>
          <w:lang w:val="fr-FR"/>
        </w:rPr>
        <w:t>En la terminología palpatoria de la ROP, una zona refleja designa un área cutánea que se distingue de los tejidos vecinos por una o varias características: rugosidad, densificación, disminución del deslizamiento, sensación granular o sensibilidad localizada. Su identificación se basa en la comparación con las zonas adyacentes, con el lado contralateral cuando resulte pertinente y con las referencias anatómicas subyacentes.</w:t>
      </w:r>
    </w:p>
    <w:p w14:paraId="01C604B4" w14:textId="77777777" w:rsidR="005C2951" w:rsidRPr="002A613E" w:rsidRDefault="00000000">
      <w:pPr>
        <w:pStyle w:val="BodyText"/>
        <w:rPr>
          <w:lang w:val="fr-FR"/>
        </w:rPr>
      </w:pPr>
      <w:r w:rsidRPr="002A613E">
        <w:rPr>
          <w:lang w:val="fr-FR"/>
        </w:rPr>
        <w:t>El término «cristales», utilizado históricamente por algunos profesionales para describir una sensación granular bajo el dedo, se conserva únicamente como descripción palpatoria. No presupone la presencia de depósitos cristalinos o cálcicos objetivados en la capa dermoepidérmica.</w:t>
      </w:r>
    </w:p>
    <w:p w14:paraId="24AF151B" w14:textId="77777777" w:rsidR="005C2951" w:rsidRPr="002A613E" w:rsidRDefault="00000000">
      <w:pPr>
        <w:pStyle w:val="ListBullet"/>
        <w:rPr>
          <w:lang w:val="fr-FR"/>
        </w:rPr>
      </w:pPr>
      <w:r w:rsidRPr="002A613E">
        <w:rPr>
          <w:lang w:val="fr-FR"/>
        </w:rPr>
        <w:t>Identificación: complementar la anamnesis, la exploración clínica y las pruebas con información tisular.</w:t>
      </w:r>
    </w:p>
    <w:p w14:paraId="6BC96AA0" w14:textId="77777777" w:rsidR="005C2951" w:rsidRPr="002A613E" w:rsidRDefault="00000000">
      <w:pPr>
        <w:pStyle w:val="ListBullet"/>
        <w:rPr>
          <w:lang w:val="fr-FR"/>
        </w:rPr>
      </w:pPr>
      <w:r w:rsidRPr="002A613E">
        <w:rPr>
          <w:lang w:val="fr-FR"/>
        </w:rPr>
        <w:t>Estimulación: aplicar una presión suave, precisa e indolora sobre la zona seleccionada.</w:t>
      </w:r>
    </w:p>
    <w:p w14:paraId="290C6759" w14:textId="77777777" w:rsidR="005C2951" w:rsidRPr="002A613E" w:rsidRDefault="00000000">
      <w:pPr>
        <w:pStyle w:val="ListBullet"/>
        <w:rPr>
          <w:lang w:val="fr-FR"/>
        </w:rPr>
      </w:pPr>
      <w:r w:rsidRPr="002A613E">
        <w:rPr>
          <w:lang w:val="fr-FR"/>
        </w:rPr>
        <w:t>Reevaluación: comparar, después de la estimulación, la textura, la sensibilidad y los indicadores funcionales definidos antes de la sesión.</w:t>
      </w:r>
    </w:p>
    <w:p w14:paraId="5BE59879" w14:textId="77777777" w:rsidR="005C2951" w:rsidRPr="002A613E" w:rsidRDefault="00000000">
      <w:pPr>
        <w:pStyle w:val="BodyText"/>
        <w:rPr>
          <w:lang w:val="fr-FR"/>
        </w:rPr>
      </w:pPr>
      <w:r w:rsidRPr="002A613E">
        <w:rPr>
          <w:lang w:val="fr-FR"/>
        </w:rPr>
        <w:t>Aclaración — Una zona refleja es una referencia clínica de la ROP. Su presencia, desaparición o modificación tras la estimulación no constituye un biomarcador validado de un órgano ni demuestra un mecanismo causal concreto.</w:t>
      </w:r>
    </w:p>
    <w:p w14:paraId="12173D51" w14:textId="77777777" w:rsidR="005C2951" w:rsidRPr="002A613E" w:rsidRDefault="00000000">
      <w:pPr>
        <w:pStyle w:val="Heading2"/>
        <w:rPr>
          <w:lang w:val="fr-FR"/>
        </w:rPr>
      </w:pPr>
      <w:r w:rsidRPr="002A613E">
        <w:rPr>
          <w:lang w:val="fr-FR"/>
        </w:rPr>
        <w:t>0.3. Mecanismo neurofisiológico propuesto para la estimulación mediante ROP</w:t>
      </w:r>
    </w:p>
    <w:p w14:paraId="2097FA5C" w14:textId="77777777" w:rsidR="005C2951" w:rsidRPr="002A613E" w:rsidRDefault="00000000">
      <w:pPr>
        <w:pStyle w:val="BodyText"/>
        <w:rPr>
          <w:lang w:val="fr-FR"/>
        </w:rPr>
      </w:pPr>
      <w:r w:rsidRPr="002A613E">
        <w:rPr>
          <w:lang w:val="fr-FR"/>
        </w:rPr>
        <w:t>La presión manual deforma la capa dermoepidérmica y estimula, entre otros, mecanorreceptores cutáneos de bajo umbral. El tacto no nocivo se transmite en gran medida mediante aferencias mielinizadas, incluidas las fibras A</w:t>
      </w:r>
      <w:r>
        <w:t>β</w:t>
      </w:r>
      <w:r w:rsidRPr="002A613E">
        <w:rPr>
          <w:lang w:val="fr-FR"/>
        </w:rPr>
        <w:t>, que alcanzan una rama periférica, un nervio y, posteriormente, las raíces espinales antes de integrarse en las redes medulares y las vías ascendentes [2]. El tacto discriminativo y epicrítico depende en gran medida del sistema de los cordones posteriores–lemnisco medial; no obstante, una estimulación cutánea real no se limita a una sola población de fibras ni a una única vía ascendente.</w:t>
      </w:r>
    </w:p>
    <w:p w14:paraId="016C5C2A" w14:textId="77777777" w:rsidR="005C2951" w:rsidRDefault="00000000">
      <w:pPr>
        <w:pStyle w:val="BodyText"/>
      </w:pPr>
      <w:r w:rsidRPr="002A613E">
        <w:rPr>
          <w:lang w:val="fr-FR"/>
        </w:rPr>
        <w:t xml:space="preserve">En los niveles medular y supramedular, la información táctil puede interactuar con la transmisión nociceptiva y con redes implicadas en la percepción, la atención, el estado autonómico y las respuestas somáticas. La teoría del control de compuerta ofrece un modelo clásico para comprender cómo una estimulación táctil indolora puede contribuir a modular parte del mensaje doloroso [4]. </w:t>
      </w:r>
      <w:r>
        <w:t>Sin embargo, no explica por sí sola todos los posibles efectos del contacto manual.</w:t>
      </w:r>
    </w:p>
    <w:p w14:paraId="35186856" w14:textId="77777777" w:rsidR="005C2951" w:rsidRPr="002A613E" w:rsidRDefault="00000000">
      <w:pPr>
        <w:pStyle w:val="BodyText"/>
        <w:rPr>
          <w:lang w:val="fr-FR"/>
        </w:rPr>
      </w:pPr>
      <w:r w:rsidRPr="002A613E">
        <w:rPr>
          <w:lang w:val="fr-FR"/>
        </w:rPr>
        <w:t>En el modelo ROP, estas vías constituyen una entrada sensorial capaz de modificar potencialmente la excitabilidad de redes somáticas, autonómicas o viscerales. Esta formulación expresa una plausibilidad neurofisiológica; no significa que la presión sobre una zona cutánea envíe una «orden correctora» específica a un órgano ni que restablezca, mediante un mecanismo demostrado, una normotonía neurovegetativa, hormonal y somática mensurable.</w:t>
      </w:r>
    </w:p>
    <w:p w14:paraId="0467841D" w14:textId="77777777" w:rsidR="005C2951" w:rsidRPr="002A613E" w:rsidRDefault="00000000">
      <w:pPr>
        <w:pStyle w:val="BodyText"/>
        <w:rPr>
          <w:lang w:val="fr-FR"/>
        </w:rPr>
      </w:pPr>
      <w:r w:rsidRPr="002A613E">
        <w:rPr>
          <w:lang w:val="fr-FR"/>
        </w:rPr>
        <w:lastRenderedPageBreak/>
        <w:t>La consecuencia práctica es esencial: la ROP busca una estimulación precisa, progresiva e indolora. Una presión excesiva modifica la naturaleza del estímulo y puede reclutar en mayor medida las vías nociceptivas, lo que no constituye el objetivo de la técnica. Tras la estimulación, la respuesta se valora reevaluando la zona, el síntoma principal y las funciones monitorizadas, en lugar de presuponer un efecto fisiológico específico.</w:t>
      </w:r>
    </w:p>
    <w:p w14:paraId="1243F57D" w14:textId="0B34C5A9" w:rsidR="005C2951" w:rsidRDefault="005C2951">
      <w:pPr>
        <w:spacing w:before="40" w:after="40"/>
        <w:jc w:val="center"/>
      </w:pPr>
    </w:p>
    <w:p w14:paraId="6CD2A897" w14:textId="77777777" w:rsidR="005C2951" w:rsidRDefault="00000000">
      <w:pPr>
        <w:pStyle w:val="Heading1"/>
        <w:spacing w:before="200" w:after="80"/>
      </w:pPr>
      <w:r>
        <w:rPr>
          <w:lang w:val="es-ES"/>
        </w:rPr>
        <w:t>1. Técnica</w:t>
      </w:r>
    </w:p>
    <w:p w14:paraId="689A8F35" w14:textId="77777777" w:rsidR="005C2951" w:rsidRDefault="00000000">
      <w:pPr>
        <w:pStyle w:val="Heading2"/>
        <w:spacing w:before="140" w:after="60"/>
      </w:pPr>
      <w:r>
        <w:rPr>
          <w:lang w:val="es-ES"/>
        </w:rPr>
        <w:t>1.1. Contacto manual y presión</w:t>
      </w:r>
    </w:p>
    <w:p w14:paraId="0C74C2E4" w14:textId="77777777" w:rsidR="005C2951" w:rsidRDefault="00000000">
      <w:pPr>
        <w:pStyle w:val="ListBullet"/>
        <w:spacing w:after="50"/>
        <w:ind w:left="369" w:hanging="170"/>
      </w:pPr>
      <w:r>
        <w:rPr>
          <w:lang w:val="es-ES"/>
        </w:rPr>
        <w:t>La técnica es exclusivamente manual. El profesional utiliza el pulpejo del pulgar o la articulación interfalángica proximal del índice, sin aceite ni crema.</w:t>
      </w:r>
    </w:p>
    <w:p w14:paraId="7665681C" w14:textId="77777777" w:rsidR="005C2951" w:rsidRPr="002A613E" w:rsidRDefault="00000000">
      <w:pPr>
        <w:pStyle w:val="ListBullet"/>
        <w:spacing w:after="50"/>
        <w:ind w:left="369" w:hanging="170"/>
        <w:rPr>
          <w:lang w:val="fr-FR"/>
        </w:rPr>
      </w:pPr>
      <w:r>
        <w:rPr>
          <w:lang w:val="es-ES"/>
        </w:rPr>
        <w:t>La presión es suave, progresiva e indolora. Moviliza la capa dermoepidérmica de las zonas reflejas occipitales y plantares, preservando al mismo tiempo la percepción de los relieves óseos y de la textura cutánea.</w:t>
      </w:r>
    </w:p>
    <w:p w14:paraId="2B57FEB9" w14:textId="77777777" w:rsidR="005C2951" w:rsidRPr="002A613E" w:rsidRDefault="00000000">
      <w:pPr>
        <w:pStyle w:val="ListBullet"/>
        <w:rPr>
          <w:lang w:val="fr-FR"/>
        </w:rPr>
      </w:pPr>
      <w:r>
        <w:rPr>
          <w:lang w:val="es-ES"/>
        </w:rPr>
        <w:t>La calidad del contacto no depende únicamente de la intensidad de la presión: la velocidad de movilización, la estabilidad y la duración del contacto, así como las características térmicas de la mano, también forman parte del estímulo cutáneo.</w:t>
      </w:r>
    </w:p>
    <w:p w14:paraId="69D3BF1E" w14:textId="77777777" w:rsidR="005C2951" w:rsidRDefault="00000000">
      <w:pPr>
        <w:pStyle w:val="ListBullet"/>
        <w:spacing w:after="50"/>
        <w:ind w:left="369" w:hanging="170"/>
      </w:pPr>
      <w:r>
        <w:rPr>
          <w:lang w:val="es-ES"/>
        </w:rPr>
        <w:t>El dolor agudo, una fuerza excesiva o una fricción vigorosa indican sobreestimulación y deben evitarse.</w:t>
      </w:r>
    </w:p>
    <w:p w14:paraId="7B57DFC6" w14:textId="77777777" w:rsidR="005C2951" w:rsidRPr="002A613E" w:rsidRDefault="00000000">
      <w:pPr>
        <w:pStyle w:val="Heading2"/>
        <w:spacing w:before="140" w:after="60"/>
        <w:rPr>
          <w:lang w:val="fr-FR"/>
        </w:rPr>
      </w:pPr>
      <w:r>
        <w:rPr>
          <w:lang w:val="es-ES"/>
        </w:rPr>
        <w:t>1.2. Mecanorrecepción e información táctil</w:t>
      </w:r>
    </w:p>
    <w:p w14:paraId="7530B520" w14:textId="77777777" w:rsidR="005C2951" w:rsidRPr="002A613E" w:rsidRDefault="00000000">
      <w:pPr>
        <w:pStyle w:val="BodyText"/>
        <w:ind w:firstLine="255"/>
        <w:rPr>
          <w:lang w:val="fr-FR"/>
        </w:rPr>
      </w:pPr>
      <w:r w:rsidRPr="002A613E">
        <w:rPr>
          <w:lang w:val="fr-FR"/>
        </w:rPr>
        <w:t>La estimulación cutánea activa, en particular, mecanorreceptores de bajo umbral presentes en la piel glabra [2], entre ellos:</w:t>
      </w:r>
    </w:p>
    <w:p w14:paraId="68A172C0" w14:textId="77777777" w:rsidR="005C2951" w:rsidRPr="002A613E" w:rsidRDefault="00000000">
      <w:pPr>
        <w:pStyle w:val="ListBullet"/>
        <w:spacing w:after="50"/>
        <w:ind w:left="369" w:hanging="170"/>
        <w:rPr>
          <w:lang w:val="fr-FR"/>
        </w:rPr>
      </w:pPr>
      <w:r>
        <w:rPr>
          <w:lang w:val="es-ES"/>
        </w:rPr>
        <w:t>corpúsculos de Meissner, sensibles al tacto ligero y a cambios sutiles de presión;</w:t>
      </w:r>
    </w:p>
    <w:p w14:paraId="14BC1FC5" w14:textId="77777777" w:rsidR="005C2951" w:rsidRPr="002A613E" w:rsidRDefault="00000000">
      <w:pPr>
        <w:pStyle w:val="ListBullet"/>
        <w:spacing w:after="50"/>
        <w:ind w:left="369" w:hanging="170"/>
        <w:rPr>
          <w:lang w:val="fr-FR"/>
        </w:rPr>
      </w:pPr>
      <w:r>
        <w:rPr>
          <w:lang w:val="es-ES"/>
        </w:rPr>
        <w:t>discos de Merkel, sensibles a una presión suave y mantenida, así como a las características de forma y textura.</w:t>
      </w:r>
    </w:p>
    <w:p w14:paraId="101B9140" w14:textId="77777777" w:rsidR="005C2951" w:rsidRDefault="00000000">
      <w:pPr>
        <w:pStyle w:val="BodyText"/>
        <w:ind w:firstLine="255"/>
      </w:pPr>
      <w:r w:rsidRPr="002A613E">
        <w:rPr>
          <w:lang w:val="fr-FR"/>
        </w:rPr>
        <w:t xml:space="preserve">Cuando la capa dermoepidérmica se deforma bajo el dedo, los mecanorreceptores generan una actividad aferente que se transmite por una rama periférica y, posteriormente, por un nervio hasta la médula espinal y los centros superiores. La secuencia interpretativa propuesta en este volumen es sencilla: presión local → mecanorreceptores → rama periférica → nervio → raíces espinales → redes medulares y supramedulares. En el modelo ROP, esta información sensitiva constituye una vía de entrada capaz de modificar la excitabilidad de las redes somáticas, autónomas o viscerales. La teoría de la compuerta puede contribuir a explicar parte del efecto analgésico inmediato de la estimulación táctil no dolorosa. </w:t>
      </w:r>
      <w:r>
        <w:t>[4]</w:t>
      </w:r>
    </w:p>
    <w:p w14:paraId="0C9FFF12" w14:textId="77777777" w:rsidR="005C2951" w:rsidRPr="002A613E" w:rsidRDefault="00000000">
      <w:pPr>
        <w:pStyle w:val="BodyText"/>
        <w:rPr>
          <w:lang w:val="fr-FR"/>
        </w:rPr>
      </w:pPr>
      <w:r>
        <w:t xml:space="preserve">Sin embargo, el tacto cutáneo no depende de un único sistema aferente. </w:t>
      </w:r>
      <w:r w:rsidRPr="002A613E">
        <w:rPr>
          <w:lang w:val="fr-FR"/>
        </w:rPr>
        <w:t>Junto a los mecanorreceptores asociados a fibras mielinizadas de conducción rápida, los estudios microneurográficos en seres humanos han identificado aferentes mecanosensibles amielínicos de tipo C que responden a la estimulación táctil no nociva. Descritos por primera vez por Vallbo y colaboradores en 1993 en la piel pilosa, estos aferentes se estudiaron posteriormente bajo la denominación de fibras C-táctiles (CT). [5]</w:t>
      </w:r>
    </w:p>
    <w:p w14:paraId="71091F91" w14:textId="77777777" w:rsidR="005C2951" w:rsidRPr="002A613E" w:rsidRDefault="00000000">
      <w:pPr>
        <w:pStyle w:val="BodyText"/>
        <w:rPr>
          <w:lang w:val="fr-FR"/>
        </w:rPr>
      </w:pPr>
      <w:r w:rsidRPr="002A613E">
        <w:rPr>
          <w:lang w:val="fr-FR"/>
        </w:rPr>
        <w:t>Estudios posteriores muestran que su respuesta no depende únicamente de la intensidad mecánica del contacto, sino también de sus características físicas. Durante una caricia cutánea suave, las fibras CT responden preferentemente a velocidades lentas o intermedias de aproximadamente 1–10 cm/s, que también se asocian a una percepción más agradable del tacto. [6] Su actividad también está modulada por la temperatura: en un estudio que comparó la estimulación a 18 °C, 32 °C y 42 °C, la respuesta fue máxima en torno a 32 °C, una temperatura próxima a la de la superficie cutánea y, por tanto, a la del contacto piel con piel. [7] Estos hallazgos ilustran que la calidad de la estimulación manual depende de varios parámetros —intensidad, velocidad, temperatura y duración del contacto— y no solo de la fuerza aplicada.</w:t>
      </w:r>
    </w:p>
    <w:p w14:paraId="060CE934" w14:textId="77777777" w:rsidR="005C2951" w:rsidRPr="002A613E" w:rsidRDefault="00000000">
      <w:pPr>
        <w:pStyle w:val="BodyText"/>
        <w:rPr>
          <w:lang w:val="fr-FR"/>
        </w:rPr>
      </w:pPr>
      <w:r>
        <w:rPr>
          <w:lang w:val="es-ES"/>
        </w:rPr>
        <w:t xml:space="preserve">No obstante, esta vía no debe extrapolarse directamente a la ROP. Las fibras C-táctiles se han caracterizado principalmente en la piel pilosa, mientras que la planta del pie presenta piel glabra, en la que los aferentes táctiles mielinizados desempeñan un papel fundamental. Por tanto, cualquier contribución que pudieran </w:t>
      </w:r>
      <w:r>
        <w:rPr>
          <w:lang w:val="es-ES"/>
        </w:rPr>
        <w:lastRenderedPageBreak/>
        <w:t>realizar a la estimulación manual plantar debe distinguirse de los mecanismos mecanosensoriales mejor establecidos. En este contexto, los datos sobre las fibras CT aportan un modelo de la fisiología del tacto, no una prueba de un mecanismo específico de la ROP.</w:t>
      </w:r>
    </w:p>
    <w:p w14:paraId="385B162E" w14:textId="77777777" w:rsidR="005C2951" w:rsidRPr="002A613E" w:rsidRDefault="00000000">
      <w:pPr>
        <w:pStyle w:val="BodyText"/>
        <w:rPr>
          <w:lang w:val="fr-FR"/>
        </w:rPr>
      </w:pPr>
      <w:r w:rsidRPr="002A613E">
        <w:rPr>
          <w:lang w:val="fr-FR"/>
        </w:rPr>
        <w:t>La planta del pie constituye la vía de entrada mecánica mejor documentada, principalmente a través de ramas del nervio tibial. El borde lateral, el dorso y la cara medial del pie proporcionan otras vías de entrada somáticas por medio de los nervios sural, peroneo y safeno, respectivamente. Estos territorios no son mapas de órganos; corresponden a distintas aferencias periféricas que pueden compararse.</w:t>
      </w:r>
    </w:p>
    <w:p w14:paraId="196EB596" w14:textId="77777777" w:rsidR="005C2951" w:rsidRPr="002A613E" w:rsidRDefault="00000000">
      <w:pPr>
        <w:pStyle w:val="BodyText"/>
        <w:rPr>
          <w:lang w:val="fr-FR"/>
        </w:rPr>
      </w:pPr>
      <w:r>
        <w:rPr>
          <w:lang w:val="es-ES"/>
        </w:rPr>
        <w:t>Aclaración metodológica — La presión manual en ROP no equivale a la estimulación eléctrica directa de un nervio. Los estudios de neuromodulación aportan modelos de circuitos y argumentos de plausibilidad; no demuestran de forma automática que la presión manual produzca la misma respuesta.</w:t>
      </w:r>
    </w:p>
    <w:tbl>
      <w:tblPr>
        <w:tblW w:w="0" w:type="auto"/>
        <w:jc w:val="center"/>
        <w:tblLook w:val="04A0" w:firstRow="1" w:lastRow="0" w:firstColumn="1" w:lastColumn="0" w:noHBand="0" w:noVBand="1"/>
      </w:tblPr>
      <w:tblGrid>
        <w:gridCol w:w="9915"/>
      </w:tblGrid>
      <w:tr w:rsidR="005C2951" w:rsidRPr="002A613E" w14:paraId="6D9938BF" w14:textId="77777777">
        <w:trPr>
          <w:cantSplit/>
          <w:jc w:val="center"/>
        </w:trPr>
        <w:tc>
          <w:tcPr>
            <w:tcW w:w="9915" w:type="dxa"/>
            <w:tcBorders>
              <w:top w:val="nil"/>
              <w:left w:val="single" w:sz="18" w:space="0" w:color="B47C5A"/>
              <w:bottom w:val="nil"/>
              <w:right w:val="nil"/>
            </w:tcBorders>
            <w:shd w:val="clear" w:color="auto" w:fill="F7F3EA"/>
            <w:tcMar>
              <w:top w:w="150" w:type="dxa"/>
              <w:left w:w="220" w:type="dxa"/>
              <w:bottom w:w="150" w:type="dxa"/>
              <w:right w:w="220" w:type="dxa"/>
            </w:tcMar>
            <w:vAlign w:val="center"/>
          </w:tcPr>
          <w:p w14:paraId="4738EAEC" w14:textId="77777777" w:rsidR="005C2951" w:rsidRPr="002A613E" w:rsidRDefault="00000000">
            <w:pPr>
              <w:rPr>
                <w:lang w:val="fr-FR"/>
              </w:rPr>
            </w:pPr>
            <w:r>
              <w:rPr>
                <w:lang w:val="es-ES"/>
              </w:rPr>
              <w:t>Pertinencia para la ROP</w:t>
            </w:r>
            <w:r>
              <w:rPr>
                <w:lang w:val="es-ES"/>
              </w:rPr>
              <w:br/>
              <w:t>Durante el masaje reflejo deben evitarse la fuerza y la fricción vigorosa. Cuanto mayor es la presión, más percibe el profesional sus propios dedos, en detrimento de los relieves óseos y de los cambios de textura que orientan la búsqueda de las zonas reflejas.</w:t>
            </w:r>
            <w:r>
              <w:rPr>
                <w:lang w:val="es-ES"/>
              </w:rPr>
              <w:br/>
              <w:t>Incluso cuando se realiza correctamente, una sesión constituye un estímulo para el organismo. Debe tener en cuenta la vitalidad y la capacidad adaptativa del paciente.</w:t>
            </w:r>
          </w:p>
        </w:tc>
      </w:tr>
    </w:tbl>
    <w:p w14:paraId="2A22EF80" w14:textId="77777777" w:rsidR="005C2951" w:rsidRPr="002A613E" w:rsidRDefault="005C2951">
      <w:pPr>
        <w:spacing w:after="0"/>
        <w:rPr>
          <w:lang w:val="fr-FR"/>
        </w:rPr>
      </w:pPr>
    </w:p>
    <w:p w14:paraId="194ABB92" w14:textId="77777777" w:rsidR="005C2951" w:rsidRPr="002A613E" w:rsidRDefault="00000000">
      <w:pPr>
        <w:pStyle w:val="Heading2"/>
        <w:spacing w:before="140" w:after="60"/>
        <w:rPr>
          <w:lang w:val="fr-FR"/>
        </w:rPr>
      </w:pPr>
      <w:r>
        <w:rPr>
          <w:lang w:val="es-ES"/>
        </w:rPr>
        <w:t>1.3. Las tres fases del masaje</w:t>
      </w:r>
    </w:p>
    <w:p w14:paraId="630AA11C" w14:textId="77777777" w:rsidR="005C2951" w:rsidRPr="002A613E" w:rsidRDefault="00000000">
      <w:pPr>
        <w:pStyle w:val="BodyText"/>
        <w:spacing w:after="60"/>
        <w:ind w:left="369" w:hanging="312"/>
        <w:rPr>
          <w:lang w:val="fr-FR"/>
        </w:rPr>
      </w:pPr>
      <w:r>
        <w:rPr>
          <w:lang w:val="es-ES"/>
        </w:rPr>
        <w:t>1. Fase de identificación de la textura. El profesional busca zonas que presenten una textura alterada de la piel occipital o plantar: rugosidad, aumento de densidad, disminución del deslizamiento o sensación granular, descrita en ocasiones como «cristales» en la terminología palpatoria de la ROP. Este término no implica la presencia de depósitos cristalinos en los tejidos. Estos hallazgos complementan la anamnesis, la exploración clínica y las pruebas; no constituyen un diagnóstico.</w:t>
      </w:r>
    </w:p>
    <w:p w14:paraId="29D39D8B" w14:textId="77777777" w:rsidR="005C2951" w:rsidRPr="002A613E" w:rsidRDefault="00000000">
      <w:pPr>
        <w:pStyle w:val="BodyText"/>
        <w:spacing w:after="60"/>
        <w:ind w:left="369" w:hanging="312"/>
        <w:rPr>
          <w:lang w:val="fr-FR"/>
        </w:rPr>
      </w:pPr>
      <w:r>
        <w:rPr>
          <w:lang w:val="es-ES"/>
        </w:rPr>
        <w:t>2. Fase terapéutica. La presión se mantiene suave, dirigida con precisión e indolora. La maniobra moviliza la capa dermoepidérmica para estimular los mecanorreceptores y proporcionar información sensitiva al sistema nervioso.</w:t>
      </w:r>
    </w:p>
    <w:p w14:paraId="364FA654" w14:textId="77777777" w:rsidR="005C2951" w:rsidRPr="002A613E" w:rsidRDefault="00000000">
      <w:pPr>
        <w:pStyle w:val="BodyText"/>
        <w:spacing w:after="60"/>
        <w:ind w:left="369" w:hanging="312"/>
        <w:rPr>
          <w:lang w:val="fr-FR"/>
        </w:rPr>
      </w:pPr>
      <w:r>
        <w:rPr>
          <w:lang w:val="es-ES"/>
        </w:rPr>
        <w:t>3. Fase de reposo y observación. Tras la estimulación, el profesional realiza una breve pausa para observar. La respuesta se evalúa mediante los cambios en la sensibilidad, el deslizamiento y la flexibilidad de la zona refleja, junto con los signos generales de relajación.</w:t>
      </w:r>
    </w:p>
    <w:p w14:paraId="28ACAD46" w14:textId="77777777" w:rsidR="005C2951" w:rsidRPr="002A613E" w:rsidRDefault="00000000">
      <w:pPr>
        <w:pStyle w:val="BodyText"/>
        <w:ind w:firstLine="255"/>
        <w:rPr>
          <w:lang w:val="fr-FR"/>
        </w:rPr>
      </w:pPr>
      <w:r>
        <w:rPr>
          <w:lang w:val="es-ES"/>
        </w:rPr>
        <w:t>La calidad de la respuesta depende del estado general, la vitalidad y la capacidad adaptativa y compensatoria del paciente, en relación con la fase del síndrome general de adaptación en la que se encuentre: alarma, adaptación, resistencia o agotamiento. (Véase el capítulo 5, Mecanismo del estrés.)</w:t>
      </w:r>
    </w:p>
    <w:p w14:paraId="03801839" w14:textId="77777777" w:rsidR="005C2951" w:rsidRPr="002A613E" w:rsidRDefault="00000000">
      <w:pPr>
        <w:pStyle w:val="Heading1"/>
        <w:spacing w:before="200" w:after="80"/>
        <w:rPr>
          <w:lang w:val="fr-FR"/>
        </w:rPr>
      </w:pPr>
      <w:r>
        <w:rPr>
          <w:lang w:val="es-ES"/>
        </w:rPr>
        <w:t>2. Modalidades de tratamiento</w:t>
      </w:r>
    </w:p>
    <w:p w14:paraId="642DE240" w14:textId="77777777" w:rsidR="005C2951" w:rsidRPr="002A613E" w:rsidRDefault="00000000">
      <w:pPr>
        <w:pStyle w:val="Heading2"/>
        <w:spacing w:before="140" w:after="60"/>
        <w:rPr>
          <w:lang w:val="fr-FR"/>
        </w:rPr>
      </w:pPr>
      <w:r>
        <w:rPr>
          <w:lang w:val="es-ES"/>
        </w:rPr>
        <w:t>2.1. Duración de la sesión</w:t>
      </w:r>
    </w:p>
    <w:p w14:paraId="4F4D9D25" w14:textId="77777777" w:rsidR="005C2951" w:rsidRPr="002A613E" w:rsidRDefault="00000000">
      <w:pPr>
        <w:pStyle w:val="BodyText"/>
        <w:ind w:firstLine="255"/>
        <w:rPr>
          <w:lang w:val="fr-FR"/>
        </w:rPr>
      </w:pPr>
      <w:r>
        <w:rPr>
          <w:lang w:val="es-ES"/>
        </w:rPr>
        <w:t>La eficacia del tratamiento no es proporcional a la duración de la sesión. Depende principalmente de la calidad de la exploración, la priorización y la precisión de la estimulación. La sesión debe adaptarse a la capacidad de respuesta del paciente, sin multiplicar innecesariamente las zonas tratadas.</w:t>
      </w:r>
    </w:p>
    <w:p w14:paraId="6F9283DB" w14:textId="77777777" w:rsidR="005C2951" w:rsidRPr="002A613E" w:rsidRDefault="00000000">
      <w:pPr>
        <w:pStyle w:val="Heading2"/>
        <w:spacing w:before="140" w:after="60"/>
        <w:rPr>
          <w:lang w:val="fr-FR"/>
        </w:rPr>
      </w:pPr>
      <w:r>
        <w:rPr>
          <w:lang w:val="es-ES"/>
        </w:rPr>
        <w:t>2.2. Frecuencia y ciclo inicial</w:t>
      </w:r>
    </w:p>
    <w:p w14:paraId="62D96C95" w14:textId="77777777" w:rsidR="005C2951" w:rsidRPr="002A613E" w:rsidRDefault="00000000">
      <w:pPr>
        <w:pStyle w:val="BodyText"/>
        <w:ind w:firstLine="255"/>
        <w:rPr>
          <w:lang w:val="fr-FR"/>
        </w:rPr>
      </w:pPr>
      <w:r>
        <w:rPr>
          <w:lang w:val="es-ES"/>
        </w:rPr>
        <w:t>La frecuencia de las sesiones no sigue un intervalo fijo. Depende de la evolución del síntoma principal, del funcionamiento del paciente y de su capacidad de recuperación tras la primera sesión.</w:t>
      </w:r>
    </w:p>
    <w:p w14:paraId="4A276C11" w14:textId="77777777" w:rsidR="005C2951" w:rsidRPr="002A613E" w:rsidRDefault="00000000">
      <w:pPr>
        <w:pStyle w:val="BodyText"/>
        <w:ind w:firstLine="255"/>
        <w:rPr>
          <w:lang w:val="fr-FR"/>
        </w:rPr>
      </w:pPr>
      <w:r>
        <w:rPr>
          <w:lang w:val="es-ES"/>
        </w:rPr>
        <w:lastRenderedPageBreak/>
        <w:t>La reevaluación suele realizarse los días 3–4. Si la mejoría es suficiente y se ha recuperado el funcionamiento habitual, no se precisa otra sesión a corto plazo. Si la recuperación sigue siendo incompleta, puede proponerse una segunda sesión.</w:t>
      </w:r>
    </w:p>
    <w:tbl>
      <w:tblPr>
        <w:tblW w:w="0" w:type="auto"/>
        <w:jc w:val="center"/>
        <w:tblLook w:val="04A0" w:firstRow="1" w:lastRow="0" w:firstColumn="1" w:lastColumn="0" w:noHBand="0" w:noVBand="1"/>
      </w:tblPr>
      <w:tblGrid>
        <w:gridCol w:w="9915"/>
      </w:tblGrid>
      <w:tr w:rsidR="005C2951" w:rsidRPr="002A613E" w14:paraId="1FBE6D89" w14:textId="77777777">
        <w:trPr>
          <w:cantSplit/>
          <w:jc w:val="center"/>
        </w:trPr>
        <w:tc>
          <w:tcPr>
            <w:tcW w:w="9915" w:type="dxa"/>
            <w:tcBorders>
              <w:top w:val="nil"/>
              <w:left w:val="single" w:sz="18" w:space="0" w:color="3E6F70"/>
              <w:bottom w:val="nil"/>
              <w:right w:val="nil"/>
            </w:tcBorders>
            <w:shd w:val="clear" w:color="auto" w:fill="EEF3F0"/>
            <w:tcMar>
              <w:top w:w="150" w:type="dxa"/>
              <w:left w:w="220" w:type="dxa"/>
              <w:bottom w:w="150" w:type="dxa"/>
              <w:right w:w="220" w:type="dxa"/>
            </w:tcMar>
            <w:vAlign w:val="center"/>
          </w:tcPr>
          <w:p w14:paraId="65699D24" w14:textId="77777777" w:rsidR="005C2951" w:rsidRPr="002A613E" w:rsidRDefault="00000000">
            <w:pPr>
              <w:rPr>
                <w:lang w:val="es-ES"/>
              </w:rPr>
            </w:pPr>
            <w:r>
              <w:rPr>
                <w:lang w:val="es-ES"/>
              </w:rPr>
              <w:t>¿Cómo debe interpretarse el término «vitalidad»?</w:t>
            </w:r>
            <w:r>
              <w:rPr>
                <w:lang w:val="es-ES"/>
              </w:rPr>
              <w:br/>
              <w:t>En este capítulo, la vitalidad designa una evaluación clínica y funcional: nivel de energía, fatigabilidad, calidad del sueño, capacidad para retomar las actividades, evolución del síntoma principal y estado subjetivo global.</w:t>
            </w:r>
            <w:r>
              <w:rPr>
                <w:lang w:val="es-ES"/>
              </w:rPr>
              <w:br/>
              <w:t>No corresponde a una única variable biológica. Para que resulte útil, debe compararse con la situación basal del paciente y controlarse mediante preguntas sencillas y reproducibles.</w:t>
            </w:r>
          </w:p>
        </w:tc>
      </w:tr>
    </w:tbl>
    <w:p w14:paraId="677CD31F" w14:textId="77777777" w:rsidR="005C2951" w:rsidRPr="002A613E" w:rsidRDefault="005C2951">
      <w:pPr>
        <w:spacing w:after="0"/>
        <w:rPr>
          <w:lang w:val="es-ES"/>
        </w:rPr>
      </w:pPr>
    </w:p>
    <w:p w14:paraId="3ABC2880" w14:textId="77777777" w:rsidR="005C2951" w:rsidRPr="002A613E" w:rsidRDefault="00000000">
      <w:pPr>
        <w:pStyle w:val="BodyText"/>
        <w:ind w:firstLine="255"/>
        <w:rPr>
          <w:lang w:val="fr-FR"/>
        </w:rPr>
      </w:pPr>
      <w:r>
        <w:rPr>
          <w:lang w:val="es-ES"/>
        </w:rPr>
        <w:t>Para la mayoría de las indicaciones funcionales, un ciclo inicial de una a tres sesiones permite evaluar la respuesta del paciente. Si no se observa una mejoría apreciable después de tres sesiones, deben reconsiderarse la hipótesis funcional, la priorización y la indicación de ROP. Si es necesario, se deriva al paciente a un médico. Los trastornos crónicos pueden requerir un seguimiento más prolongado, con un calendario adaptado individualmente. Las reacciones posteriores al tratamiento y los criterios detallados de reevaluación se presentan en la sección 9.</w:t>
      </w:r>
    </w:p>
    <w:p w14:paraId="5F6A80FA" w14:textId="77777777" w:rsidR="005C2951" w:rsidRPr="002A613E" w:rsidRDefault="00000000">
      <w:pPr>
        <w:pStyle w:val="Heading1"/>
        <w:spacing w:before="200" w:after="80"/>
        <w:rPr>
          <w:lang w:val="fr-FR"/>
        </w:rPr>
      </w:pPr>
      <w:r>
        <w:rPr>
          <w:lang w:val="es-ES"/>
        </w:rPr>
        <w:t>3. Priorización del tratamiento</w:t>
      </w:r>
    </w:p>
    <w:p w14:paraId="13E2E5CB" w14:textId="77777777" w:rsidR="005C2951" w:rsidRPr="002A613E" w:rsidRDefault="00000000">
      <w:pPr>
        <w:pStyle w:val="BodyText"/>
        <w:ind w:firstLine="255"/>
        <w:rPr>
          <w:lang w:val="es-ES"/>
        </w:rPr>
      </w:pPr>
      <w:r>
        <w:rPr>
          <w:lang w:val="es-ES"/>
        </w:rPr>
        <w:t>No existe un protocolo inmutable. La secuencia clínica de cuatro niveles presentada en el capítulo 0 estructura el razonamiento, pero no impone un orden obligatorio. Las pruebas, la historia clínica y la respuesta observada determinan la verdadera prioridad. Los siguientes factores pueden llevar al profesional a comenzar por un nivel u otro:</w:t>
      </w:r>
    </w:p>
    <w:p w14:paraId="0296509A" w14:textId="77777777" w:rsidR="005C2951" w:rsidRPr="002A613E" w:rsidRDefault="00000000">
      <w:pPr>
        <w:pStyle w:val="BodyText"/>
        <w:spacing w:after="60"/>
        <w:ind w:left="369" w:hanging="312"/>
        <w:rPr>
          <w:lang w:val="fr-FR"/>
        </w:rPr>
      </w:pPr>
      <w:r>
        <w:rPr>
          <w:lang w:val="es-ES"/>
        </w:rPr>
        <w:t>1. Secuelas de traumatismos, intervenciones quirúrgicas o infecciones. Cuando un síntoma aparece después de un acontecimiento claramente identificado, esta cronología puede orientar la priorización. La anamnesis y la exploración clínica deben establecer si la relación es coherente, sin presuponer una causalidad automática.</w:t>
      </w:r>
    </w:p>
    <w:p w14:paraId="5B9ECBBB" w14:textId="77777777" w:rsidR="005C2951" w:rsidRPr="002A613E" w:rsidRDefault="00000000">
      <w:pPr>
        <w:pStyle w:val="BodyText"/>
        <w:spacing w:after="60"/>
        <w:ind w:left="369" w:hanging="312"/>
        <w:rPr>
          <w:lang w:val="fr-FR"/>
        </w:rPr>
      </w:pPr>
      <w:r>
        <w:rPr>
          <w:lang w:val="es-ES"/>
        </w:rPr>
        <w:t>2. Anamnesis y pruebas de escucha globales y locales. En ausencia de un acontecimiento desencadenante evidente, orientan al profesional hacia el nivel regulador o el territorio que debe explorarse en primer lugar y proporcionan referencias para la reevaluación posterior a la estimulación.</w:t>
      </w:r>
    </w:p>
    <w:p w14:paraId="75FAB015" w14:textId="77777777" w:rsidR="005C2951" w:rsidRPr="002A613E" w:rsidRDefault="00000000">
      <w:pPr>
        <w:pStyle w:val="BodyText"/>
        <w:spacing w:after="60"/>
        <w:ind w:left="369" w:hanging="312"/>
        <w:rPr>
          <w:lang w:val="fr-FR"/>
        </w:rPr>
      </w:pPr>
      <w:r>
        <w:rPr>
          <w:lang w:val="es-ES"/>
        </w:rPr>
        <w:t>3. Contexto psicoemocional. Determinados acontecimientos físicos o emocionales pueden influir en la experiencia corporal, la percepción del dolor y el estado autonómico. Esta dimensión forma parte de la integración visceroemocional abordada en el nivel 4 y se explora con prudencia, sin imponer una interpretación al paciente.</w:t>
      </w:r>
    </w:p>
    <w:p w14:paraId="2D41FCBB" w14:textId="77777777" w:rsidR="005C2951" w:rsidRPr="002A613E" w:rsidRDefault="00000000">
      <w:pPr>
        <w:pStyle w:val="BodyText"/>
        <w:spacing w:after="60"/>
        <w:ind w:left="369" w:hanging="312"/>
        <w:rPr>
          <w:lang w:val="fr-FR"/>
        </w:rPr>
      </w:pPr>
      <w:r>
        <w:rPr>
          <w:lang w:val="es-ES"/>
        </w:rPr>
        <w:t>4. Mecanismo del estrés y capacidades adaptativas. Todo hallazgo local debe considerarse dentro del contexto global del paciente, sus limitaciones, el sueño, la recuperación y las capacidades funcionales. (Véase el capítulo 5, Mecanismo del estrés.)</w:t>
      </w:r>
    </w:p>
    <w:p w14:paraId="57896960" w14:textId="77777777" w:rsidR="005C2951" w:rsidRPr="002A613E" w:rsidRDefault="00000000">
      <w:pPr>
        <w:pStyle w:val="Heading1"/>
        <w:spacing w:before="200" w:after="80"/>
        <w:rPr>
          <w:lang w:val="fr-FR"/>
        </w:rPr>
      </w:pPr>
      <w:r>
        <w:rPr>
          <w:lang w:val="es-ES"/>
        </w:rPr>
        <w:t>4. Secuencia clínica de la ROP: cuatro niveles</w:t>
      </w:r>
    </w:p>
    <w:p w14:paraId="4D9C60BD" w14:textId="77777777" w:rsidR="005C2951" w:rsidRPr="002A613E" w:rsidRDefault="00000000">
      <w:pPr>
        <w:pStyle w:val="BodyText"/>
        <w:rPr>
          <w:lang w:val="fr-FR"/>
        </w:rPr>
      </w:pPr>
      <w:r>
        <w:rPr>
          <w:lang w:val="es-ES"/>
        </w:rPr>
        <w:t>La secuencia clínica sigue los cuatro niveles definidos en el capítulo 0. Son referencias para la priorización, no cuatro etapas obligatorias. Una misma sesión puede abarcar varios niveles en función de la anamnesis, las pruebas y la respuesta del paciente.</w:t>
      </w:r>
    </w:p>
    <w:p w14:paraId="03381CD6" w14:textId="77777777" w:rsidR="005C2951" w:rsidRPr="002A613E" w:rsidRDefault="00000000">
      <w:pPr>
        <w:pStyle w:val="Heading2"/>
        <w:rPr>
          <w:lang w:val="fr-FR"/>
        </w:rPr>
      </w:pPr>
      <w:r>
        <w:rPr>
          <w:lang w:val="es-ES"/>
        </w:rPr>
        <w:lastRenderedPageBreak/>
        <w:t>4.1. Nivel 1 — Regulación de los centros superiores del sistema nervioso central</w:t>
      </w:r>
    </w:p>
    <w:p w14:paraId="1AB6FFFB" w14:textId="77777777" w:rsidR="005C2951" w:rsidRPr="002A613E" w:rsidRDefault="00000000">
      <w:pPr>
        <w:pStyle w:val="BodyText"/>
        <w:rPr>
          <w:lang w:val="fr-FR"/>
        </w:rPr>
      </w:pPr>
      <w:r>
        <w:rPr>
          <w:lang w:val="es-ES"/>
        </w:rPr>
        <w:t>Este nivel comprende las zonas reflejas occipitales y las referencias ROP asociadas a los principales centros de integración y al entorno neuromeníngeo. El objetivo clínico es abordar la regulación central antes de un enfoque más regional o de forma simultánea a este.</w:t>
      </w:r>
    </w:p>
    <w:p w14:paraId="7987098A" w14:textId="77777777" w:rsidR="005C2951" w:rsidRDefault="00000000">
      <w:pPr>
        <w:pStyle w:val="ListBullet"/>
      </w:pPr>
      <w:r>
        <w:rPr>
          <w:lang w:val="es-ES"/>
        </w:rPr>
        <w:t>Zonas reflejas occipitales.</w:t>
      </w:r>
    </w:p>
    <w:p w14:paraId="4C85DD4E" w14:textId="77777777" w:rsidR="005C2951" w:rsidRDefault="00000000">
      <w:pPr>
        <w:pStyle w:val="ListBullet"/>
      </w:pPr>
      <w:r>
        <w:rPr>
          <w:lang w:val="es-ES"/>
        </w:rPr>
        <w:t>Entorno neuromeníngeo craneoespinal, mecanismo respiratorio primario (MRP) y circulación del líquido cefalorraquídeo en el modelo clínico de la ROP: occipucio–C1–C2, base y bóveda craneales, hoces cerebral y cerebelosa, referencias de S2 y técnicas descritas en volúmenes anteriores.</w:t>
      </w:r>
    </w:p>
    <w:p w14:paraId="4687E203" w14:textId="77777777" w:rsidR="005C2951" w:rsidRDefault="00000000">
      <w:pPr>
        <w:pStyle w:val="ListBullet"/>
      </w:pPr>
      <w:r>
        <w:rPr>
          <w:lang w:val="es-ES"/>
        </w:rPr>
        <w:t>Eje craneosacro: término clínico de la ROP utilizado como referencia de continuidad craneoespinal, no como sistema anatómico autónomo.</w:t>
      </w:r>
    </w:p>
    <w:p w14:paraId="65F65D69" w14:textId="77777777" w:rsidR="005C2951" w:rsidRDefault="00000000">
      <w:pPr>
        <w:pStyle w:val="ListBullet"/>
      </w:pPr>
      <w:r>
        <w:rPr>
          <w:lang w:val="es-ES"/>
        </w:rPr>
        <w:t>Diencéfalo, en particular el hipotálamo, el tronco encefálico y el eje hipotálamo-hipofisario.</w:t>
      </w:r>
    </w:p>
    <w:p w14:paraId="376A7A8F" w14:textId="77777777" w:rsidR="005C2951" w:rsidRPr="002A613E" w:rsidRDefault="00000000">
      <w:pPr>
        <w:pStyle w:val="BodyText"/>
        <w:rPr>
          <w:lang w:val="fr-FR"/>
        </w:rPr>
      </w:pPr>
      <w:r>
        <w:rPr>
          <w:lang w:val="es-ES"/>
        </w:rPr>
        <w:t>Aclaración — Estas localizaciones pertenecen a la cartografía clínica de la ROP. No representan una proyección anatómica directa de una estructura cerebral sobre el pie o el occipucio, ni demuestran una acción selectiva sobre una zona específica.</w:t>
      </w:r>
    </w:p>
    <w:p w14:paraId="0AEC8BA1" w14:textId="77777777" w:rsidR="005C2951" w:rsidRPr="002A613E" w:rsidRDefault="00000000">
      <w:pPr>
        <w:pStyle w:val="Heading2"/>
        <w:rPr>
          <w:lang w:val="fr-FR"/>
        </w:rPr>
      </w:pPr>
      <w:r>
        <w:rPr>
          <w:lang w:val="es-ES"/>
        </w:rPr>
        <w:t>4.2. Nivel 2 — Regulación autonómica y adaptación</w:t>
      </w:r>
    </w:p>
    <w:p w14:paraId="2FB56480" w14:textId="77777777" w:rsidR="005C2951" w:rsidRDefault="00000000">
      <w:pPr>
        <w:pStyle w:val="BodyText"/>
      </w:pPr>
      <w:r>
        <w:rPr>
          <w:lang w:val="es-ES"/>
        </w:rPr>
        <w:t>Este nivel comprende las vías autonómicas y los sistemas implicados en la movilización, la adaptación y la recuperación. Vincula los centros superiores con los territorios viscerales.</w:t>
      </w:r>
    </w:p>
    <w:p w14:paraId="5CDD4123" w14:textId="77777777" w:rsidR="005C2951" w:rsidRPr="002A613E" w:rsidRDefault="00000000">
      <w:pPr>
        <w:pStyle w:val="ListBullet"/>
        <w:rPr>
          <w:lang w:val="fr-FR"/>
        </w:rPr>
      </w:pPr>
      <w:r>
        <w:rPr>
          <w:lang w:val="es-ES"/>
        </w:rPr>
        <w:t>Diafragma, considerado aquí una interfaz respiratoria y funcional que acompaña a la regulación autonómica.</w:t>
      </w:r>
    </w:p>
    <w:p w14:paraId="2F18D639" w14:textId="77777777" w:rsidR="005C2951" w:rsidRDefault="00000000">
      <w:pPr>
        <w:pStyle w:val="ListBullet"/>
      </w:pPr>
      <w:r>
        <w:rPr>
          <w:lang w:val="es-ES"/>
        </w:rPr>
        <w:t>Sistemas simpático y parasimpático; cadena ganglionar paravertebral.</w:t>
      </w:r>
    </w:p>
    <w:p w14:paraId="66DF21DF" w14:textId="77777777" w:rsidR="005C2951" w:rsidRPr="002A613E" w:rsidRDefault="00000000">
      <w:pPr>
        <w:pStyle w:val="ListBullet"/>
        <w:rPr>
          <w:lang w:val="fr-FR"/>
        </w:rPr>
      </w:pPr>
      <w:r>
        <w:rPr>
          <w:lang w:val="es-ES"/>
        </w:rPr>
        <w:t>Nervio vago para los territorios cervical, torácico y abdominal, y vías parasimpáticas sacras para el territorio pélvico y el colon distal.</w:t>
      </w:r>
    </w:p>
    <w:p w14:paraId="192347B3" w14:textId="77777777" w:rsidR="005C2951" w:rsidRDefault="00000000">
      <w:pPr>
        <w:pStyle w:val="ListBullet"/>
      </w:pPr>
      <w:r>
        <w:rPr>
          <w:lang w:val="es-ES"/>
        </w:rPr>
        <w:t>Plexos prevertebrales y previscerales.</w:t>
      </w:r>
    </w:p>
    <w:p w14:paraId="79824FC7" w14:textId="77777777" w:rsidR="005C2951" w:rsidRPr="002A613E" w:rsidRDefault="00000000">
      <w:pPr>
        <w:pStyle w:val="ListBullet"/>
        <w:rPr>
          <w:lang w:val="fr-FR"/>
        </w:rPr>
      </w:pPr>
      <w:r>
        <w:rPr>
          <w:lang w:val="es-ES"/>
        </w:rPr>
        <w:t>Glándulas suprarrenales, en particular en la respuesta simpático-suprarrenal.</w:t>
      </w:r>
    </w:p>
    <w:p w14:paraId="173B7683" w14:textId="77777777" w:rsidR="005C2951" w:rsidRPr="002A613E" w:rsidRDefault="00000000">
      <w:pPr>
        <w:pStyle w:val="BodyText"/>
        <w:rPr>
          <w:lang w:val="es-ES"/>
        </w:rPr>
      </w:pPr>
      <w:r>
        <w:rPr>
          <w:lang w:val="es-ES"/>
        </w:rPr>
        <w:t>El diafragma no forma parte anatómicamente del sistema nervioso autónomo; su inclusión en este nivel refleja la lógica clínica de la ROP, en la que la respiración, el tono y el estado autonómico se observan conjuntamente. Asimismo, deben distinguirse las aferencias sensitivas viscerales de las órdenes autonómicas eferentes.</w:t>
      </w:r>
    </w:p>
    <w:p w14:paraId="5F3E44BF" w14:textId="77777777" w:rsidR="005C2951" w:rsidRPr="002A613E" w:rsidRDefault="00000000">
      <w:pPr>
        <w:pStyle w:val="Heading2"/>
        <w:rPr>
          <w:lang w:val="es-ES"/>
        </w:rPr>
      </w:pPr>
      <w:r>
        <w:rPr>
          <w:lang w:val="es-ES"/>
        </w:rPr>
        <w:t>4.3. Nivel 3 — Regulación visceral local y regional</w:t>
      </w:r>
    </w:p>
    <w:p w14:paraId="72E04653" w14:textId="77777777" w:rsidR="005C2951" w:rsidRPr="002A613E" w:rsidRDefault="00000000">
      <w:pPr>
        <w:pStyle w:val="BodyText"/>
        <w:rPr>
          <w:lang w:val="es-ES"/>
        </w:rPr>
      </w:pPr>
      <w:r>
        <w:rPr>
          <w:lang w:val="es-ES"/>
        </w:rPr>
        <w:t>El tercer nivel vuelve a centrar el tratamiento en el órgano o territorio funcional afectado y en su entorno anatómico inmediato.</w:t>
      </w:r>
    </w:p>
    <w:p w14:paraId="20F6D06C" w14:textId="77777777" w:rsidR="005C2951" w:rsidRDefault="00000000">
      <w:pPr>
        <w:pStyle w:val="ListBullet"/>
      </w:pPr>
      <w:r>
        <w:rPr>
          <w:lang w:val="es-ES"/>
        </w:rPr>
        <w:t>Órgano o sistema visceral afectado.</w:t>
      </w:r>
    </w:p>
    <w:p w14:paraId="37A672DC" w14:textId="77777777" w:rsidR="005C2951" w:rsidRDefault="00000000">
      <w:pPr>
        <w:pStyle w:val="ListBullet"/>
      </w:pPr>
      <w:r>
        <w:rPr>
          <w:lang w:val="es-ES"/>
        </w:rPr>
        <w:t>Cavidad abdominal o pélvica, según el territorio.</w:t>
      </w:r>
    </w:p>
    <w:p w14:paraId="07914189" w14:textId="77777777" w:rsidR="005C2951" w:rsidRDefault="00000000">
      <w:pPr>
        <w:pStyle w:val="ListBullet"/>
      </w:pPr>
      <w:r>
        <w:rPr>
          <w:lang w:val="es-ES"/>
        </w:rPr>
        <w:t>Peritoneo y raíces mesentéricas.</w:t>
      </w:r>
    </w:p>
    <w:p w14:paraId="6A8BCF8D" w14:textId="77777777" w:rsidR="005C2951" w:rsidRPr="002A613E" w:rsidRDefault="00000000">
      <w:pPr>
        <w:pStyle w:val="ListBullet"/>
        <w:rPr>
          <w:lang w:val="fr-FR"/>
        </w:rPr>
      </w:pPr>
      <w:r>
        <w:rPr>
          <w:lang w:val="es-ES"/>
        </w:rPr>
        <w:t>Mesenterios, ligamentos viscerales, fascias y principales interfaces locales y regionales.</w:t>
      </w:r>
    </w:p>
    <w:p w14:paraId="10A64990" w14:textId="77777777" w:rsidR="005C2951" w:rsidRPr="002A613E" w:rsidRDefault="00000000">
      <w:pPr>
        <w:pStyle w:val="ListBullet"/>
        <w:rPr>
          <w:lang w:val="fr-FR"/>
        </w:rPr>
      </w:pPr>
      <w:r>
        <w:rPr>
          <w:lang w:val="es-ES"/>
        </w:rPr>
        <w:t>Relaciones neurovasculares y plexos regionales, cuando resulte pertinente.</w:t>
      </w:r>
    </w:p>
    <w:p w14:paraId="5660DE05" w14:textId="77777777" w:rsidR="005C2951" w:rsidRPr="002A613E" w:rsidRDefault="00000000">
      <w:pPr>
        <w:pStyle w:val="BodyText"/>
        <w:rPr>
          <w:lang w:val="fr-FR"/>
        </w:rPr>
      </w:pPr>
      <w:r>
        <w:rPr>
          <w:lang w:val="es-ES"/>
        </w:rPr>
        <w:t>Este nivel no presupone que una zona refleja controle directamente un órgano. Estructura la exploración de un territorio visceral y de sus interfaces, seguida de una reevaluación de la respuesta tras la estimulación.</w:t>
      </w:r>
    </w:p>
    <w:p w14:paraId="5D32554F" w14:textId="77777777" w:rsidR="005C2951" w:rsidRPr="002A613E" w:rsidRDefault="00000000">
      <w:pPr>
        <w:pStyle w:val="Heading2"/>
        <w:rPr>
          <w:lang w:val="fr-FR"/>
        </w:rPr>
      </w:pPr>
      <w:r>
        <w:rPr>
          <w:lang w:val="es-ES"/>
        </w:rPr>
        <w:t>4.4. Nivel 4 — Integración viscerosomática y visceroemocional</w:t>
      </w:r>
    </w:p>
    <w:p w14:paraId="6EFF9C53" w14:textId="77777777" w:rsidR="005C2951" w:rsidRPr="002A613E" w:rsidRDefault="00000000">
      <w:pPr>
        <w:pStyle w:val="BodyText"/>
        <w:rPr>
          <w:lang w:val="fr-FR"/>
        </w:rPr>
      </w:pPr>
      <w:r>
        <w:rPr>
          <w:lang w:val="es-ES"/>
        </w:rPr>
        <w:t>El cuarto nivel amplía la interpretación del órgano para incluir sus relaciones con el sistema nervioso somático y con las redes cerebrales implicadas en la percepción del estado interno, la relevancia, el contexto y la emoción.</w:t>
      </w:r>
    </w:p>
    <w:p w14:paraId="5F1D1A2E" w14:textId="77777777" w:rsidR="005C2951" w:rsidRPr="002A613E" w:rsidRDefault="00000000">
      <w:pPr>
        <w:pStyle w:val="ListBullet"/>
        <w:rPr>
          <w:lang w:val="fr-FR"/>
        </w:rPr>
      </w:pPr>
      <w:r>
        <w:rPr>
          <w:lang w:val="es-ES"/>
        </w:rPr>
        <w:lastRenderedPageBreak/>
        <w:t>Nervios somáticos y plexos lumbares o sacros implicados en las relaciones viscerosomáticas.</w:t>
      </w:r>
    </w:p>
    <w:p w14:paraId="7A8244A1" w14:textId="77777777" w:rsidR="005C2951" w:rsidRPr="002A613E" w:rsidRDefault="00000000">
      <w:pPr>
        <w:pStyle w:val="ListBullet"/>
        <w:rPr>
          <w:lang w:val="fr-FR"/>
        </w:rPr>
      </w:pPr>
      <w:r>
        <w:rPr>
          <w:lang w:val="es-ES"/>
        </w:rPr>
        <w:t>Relaciones segmentarias, convergencia medular y territorios musculoesqueléticos asociados.</w:t>
      </w:r>
    </w:p>
    <w:p w14:paraId="728FC03B" w14:textId="77777777" w:rsidR="005C2951" w:rsidRPr="002A613E" w:rsidRDefault="00000000">
      <w:pPr>
        <w:pStyle w:val="ListBullet"/>
        <w:rPr>
          <w:lang w:val="fr-FR"/>
        </w:rPr>
      </w:pPr>
      <w:r>
        <w:rPr>
          <w:lang w:val="es-ES"/>
        </w:rPr>
        <w:t>Redes límbicas y corticolímbicas: en particular, la ínsula y la corteza cingulada; la amígdala y el hipocampo cuando se utiliza su cartografía clínica en ROP.</w:t>
      </w:r>
    </w:p>
    <w:p w14:paraId="0FCE9F6F" w14:textId="77777777" w:rsidR="005C2951" w:rsidRPr="002A613E" w:rsidRDefault="00000000">
      <w:pPr>
        <w:pStyle w:val="ListBullet"/>
        <w:rPr>
          <w:lang w:val="fr-FR"/>
        </w:rPr>
      </w:pPr>
      <w:r>
        <w:rPr>
          <w:lang w:val="es-ES"/>
        </w:rPr>
        <w:t>Equilibrio visceroemocional: vinculación de la zona refleja del órgano dominante con la zona refleja cerebral seleccionada mediante la escucha.</w:t>
      </w:r>
    </w:p>
    <w:p w14:paraId="04C70C84" w14:textId="77777777" w:rsidR="005C2951" w:rsidRPr="002A613E" w:rsidRDefault="00000000">
      <w:pPr>
        <w:pStyle w:val="BodyText"/>
        <w:rPr>
          <w:lang w:val="fr-FR"/>
        </w:rPr>
      </w:pPr>
      <w:r w:rsidRPr="002A613E">
        <w:rPr>
          <w:lang w:val="fr-FR"/>
        </w:rPr>
        <w:t>Determinados sistemas aferentes cutáneos, en particular los estudiados en el tacto afectivo, contribuyen al procesamiento central asociado a las dimensiones afectiva e interoceptiva de la experiencia táctil. [6] Esta observación pone de relieve las interacciones entre la información somática cutánea, el estado interno y el contexto afectivo, sin establecer una correspondencia específica entre una zona refleja y una red cerebral concreta.</w:t>
      </w:r>
    </w:p>
    <w:p w14:paraId="6337D75A" w14:textId="77777777" w:rsidR="005C2951" w:rsidRPr="002A613E" w:rsidRDefault="00000000">
      <w:pPr>
        <w:pStyle w:val="Heading3"/>
        <w:rPr>
          <w:lang w:val="fr-FR"/>
        </w:rPr>
      </w:pPr>
      <w:r>
        <w:rPr>
          <w:lang w:val="es-ES"/>
        </w:rPr>
        <w:t>4.4.1. El equilibrio visceroemocional</w:t>
      </w:r>
    </w:p>
    <w:p w14:paraId="704D88C2" w14:textId="77777777" w:rsidR="005C2951" w:rsidRPr="002A613E" w:rsidRDefault="00000000">
      <w:pPr>
        <w:pStyle w:val="BodyText"/>
        <w:rPr>
          <w:lang w:val="fr-FR"/>
        </w:rPr>
      </w:pPr>
      <w:r>
        <w:rPr>
          <w:lang w:val="es-ES"/>
        </w:rPr>
        <w:t>Las vísceras y el cerebro mantienen relaciones continuas y bidireccionales. La información procedente de los órganos alcanza el sistema nervioso central a través de las vías aferentes viscerales y contribuye a la interocepción, es decir, a la percepción e integración del estado interno del organismo. A la inversa, los estados emocionales y los procesos cerebrales modulan la función visceral, en particular a través del sistema nervioso autónomo.</w:t>
      </w:r>
    </w:p>
    <w:p w14:paraId="69847E59" w14:textId="77777777" w:rsidR="005C2951" w:rsidRPr="002A613E" w:rsidRDefault="00000000">
      <w:pPr>
        <w:pStyle w:val="BodyText"/>
        <w:rPr>
          <w:lang w:val="fr-FR"/>
        </w:rPr>
      </w:pPr>
      <w:r>
        <w:rPr>
          <w:lang w:val="es-ES"/>
        </w:rPr>
        <w:t>El equilibrio visceroemocional aborda clínicamente esta interacción vinculando de forma simultánea la zona refleja del órgano dominante identificado mediante las pruebas con la zona refleja cerebral seleccionada durante la escucha. Por lo general, el profesional coloca un pulgar sobre la zona refleja visceral y el otro sobre la zona refleja cerebral.</w:t>
      </w:r>
    </w:p>
    <w:p w14:paraId="1AF0108C" w14:textId="77777777" w:rsidR="005C2951" w:rsidRPr="002A613E" w:rsidRDefault="00000000">
      <w:pPr>
        <w:pStyle w:val="BodyText"/>
        <w:rPr>
          <w:lang w:val="fr-FR"/>
        </w:rPr>
      </w:pPr>
      <w:r>
        <w:rPr>
          <w:lang w:val="es-ES"/>
        </w:rPr>
        <w:t>La maniobra consta de cuatro fases:</w:t>
      </w:r>
    </w:p>
    <w:p w14:paraId="06B79A23" w14:textId="77777777" w:rsidR="005C2951" w:rsidRPr="002A613E" w:rsidRDefault="00000000">
      <w:pPr>
        <w:pStyle w:val="BodyText"/>
        <w:rPr>
          <w:lang w:val="fr-FR"/>
        </w:rPr>
      </w:pPr>
      <w:r>
        <w:rPr>
          <w:lang w:val="es-ES"/>
        </w:rPr>
        <w:t>1. Establecimiento del contacto. Se contactan simultáneamente ambas zonas mediante una presión suave, estable e indolora.</w:t>
      </w:r>
    </w:p>
    <w:p w14:paraId="4CA0EAEF" w14:textId="77777777" w:rsidR="005C2951" w:rsidRPr="002A613E" w:rsidRDefault="00000000">
      <w:pPr>
        <w:pStyle w:val="BodyText"/>
        <w:rPr>
          <w:lang w:val="fr-FR"/>
        </w:rPr>
      </w:pPr>
      <w:r>
        <w:rPr>
          <w:lang w:val="es-ES"/>
        </w:rPr>
        <w:t>2. Escucha. El profesional evalúa la calidad textural de ambas zonas y la respuesta que surge al vincularlas.</w:t>
      </w:r>
    </w:p>
    <w:p w14:paraId="5461B1D5" w14:textId="77777777" w:rsidR="005C2951" w:rsidRPr="002A613E" w:rsidRDefault="00000000">
      <w:pPr>
        <w:pStyle w:val="BodyText"/>
        <w:rPr>
          <w:lang w:val="fr-FR"/>
        </w:rPr>
      </w:pPr>
      <w:r>
        <w:rPr>
          <w:lang w:val="es-ES"/>
        </w:rPr>
        <w:t>3. Inducción. Cuando la escucha revela una respuesta que requiere tratamiento, se aplica una estimulación manual suave y precisa a la zona o zonas reflejas afectadas.</w:t>
      </w:r>
    </w:p>
    <w:p w14:paraId="42F01E82" w14:textId="77777777" w:rsidR="005C2951" w:rsidRPr="002A613E" w:rsidRDefault="00000000">
      <w:pPr>
        <w:pStyle w:val="BodyText"/>
        <w:rPr>
          <w:lang w:val="fr-FR"/>
        </w:rPr>
      </w:pPr>
      <w:r>
        <w:rPr>
          <w:lang w:val="es-ES"/>
        </w:rPr>
        <w:t>4. Reposo, observación y reevaluación. El contacto se mantiene mientras dura la respuesta tisular, tras lo cual se vuelven a evaluar las zonas para valorar posibles cambios.</w:t>
      </w:r>
    </w:p>
    <w:p w14:paraId="10CF2ACF" w14:textId="77777777" w:rsidR="005C2951" w:rsidRPr="002A613E" w:rsidRDefault="00000000">
      <w:pPr>
        <w:pStyle w:val="BodyText"/>
        <w:rPr>
          <w:lang w:val="es-ES"/>
        </w:rPr>
      </w:pPr>
      <w:r>
        <w:rPr>
          <w:lang w:val="es-ES"/>
        </w:rPr>
        <w:t>El equilibrio no sustituye el tratamiento anatómico, autonómico ni local y regional del órgano. Lo complementa cuando la escucha clínica revela un componente visceroemocional pertinente. No debe entenderse como una correspondencia mecánica y exclusiva entre una emoción específica y un órgano determinado. La historia del paciente, el contexto de estrés, la experiencia vivida y las capacidades adaptativas modulan la expresión de esta relación. La cartografía emocional en ROP orienta la escucha y el tratamiento; no se utiliza como marco predeterminado para interpretar al paciente.</w:t>
      </w:r>
    </w:p>
    <w:p w14:paraId="76AA08E9" w14:textId="77777777" w:rsidR="005C2951" w:rsidRPr="002A613E" w:rsidRDefault="00000000">
      <w:pPr>
        <w:pStyle w:val="BodyText"/>
        <w:rPr>
          <w:lang w:val="es-ES"/>
        </w:rPr>
      </w:pPr>
      <w:r>
        <w:rPr>
          <w:lang w:val="es-ES"/>
        </w:rPr>
        <w:t>Esta vinculación no presupone una conexión anatómica directa demostrada entre la zona palpada y una estructura límbica concreta. Las vías supramedulares hacen plausibles la modulación contextual y descendente, pero ofrecen menor respaldo a la especificidad punto-órgano.</w:t>
      </w:r>
    </w:p>
    <w:p w14:paraId="7424B7F2" w14:textId="77777777" w:rsidR="005C2951" w:rsidRPr="002A613E" w:rsidRDefault="00000000">
      <w:pPr>
        <w:pStyle w:val="Heading1"/>
        <w:spacing w:before="200" w:after="80"/>
        <w:rPr>
          <w:lang w:val="es-ES"/>
        </w:rPr>
      </w:pPr>
      <w:r>
        <w:rPr>
          <w:lang w:val="es-ES"/>
        </w:rPr>
        <w:t>5. Ejemplo clínico: lumbociática izquierda después del parto</w:t>
      </w:r>
    </w:p>
    <w:p w14:paraId="3FB1AEEF" w14:textId="77777777" w:rsidR="005C2951" w:rsidRPr="002A613E" w:rsidRDefault="00000000">
      <w:pPr>
        <w:pStyle w:val="BodyText"/>
        <w:ind w:firstLine="255"/>
        <w:rPr>
          <w:lang w:val="fr-FR"/>
        </w:rPr>
      </w:pPr>
      <w:r>
        <w:rPr>
          <w:lang w:val="es-ES"/>
        </w:rPr>
        <w:t>La Sra. X, de unos treinta años, presenta una lumbociática izquierda aparecida varios meses después del parto.</w:t>
      </w:r>
    </w:p>
    <w:p w14:paraId="1E90CF95" w14:textId="77777777" w:rsidR="005C2951" w:rsidRDefault="00000000">
      <w:pPr>
        <w:pStyle w:val="Heading2"/>
        <w:spacing w:before="140" w:after="60"/>
      </w:pPr>
      <w:r>
        <w:rPr>
          <w:lang w:val="es-ES"/>
        </w:rPr>
        <w:lastRenderedPageBreak/>
        <w:t>5.1. Anamnesis</w:t>
      </w:r>
    </w:p>
    <w:p w14:paraId="347848EB" w14:textId="77777777" w:rsidR="005C2951" w:rsidRDefault="00000000">
      <w:pPr>
        <w:pStyle w:val="ListBullet"/>
        <w:spacing w:after="50"/>
        <w:ind w:left="369" w:hanging="170"/>
      </w:pPr>
      <w:r>
        <w:rPr>
          <w:lang w:val="es-ES"/>
        </w:rPr>
        <w:t>sin antecedentes traumáticos conocidos;</w:t>
      </w:r>
    </w:p>
    <w:p w14:paraId="05922548" w14:textId="77777777" w:rsidR="005C2951" w:rsidRPr="002A613E" w:rsidRDefault="00000000">
      <w:pPr>
        <w:pStyle w:val="ListBullet"/>
        <w:spacing w:after="50"/>
        <w:ind w:left="369" w:hanging="170"/>
        <w:rPr>
          <w:lang w:val="fr-FR"/>
        </w:rPr>
      </w:pPr>
      <w:r>
        <w:rPr>
          <w:lang w:val="es-ES"/>
        </w:rPr>
        <w:t>dolor lumbociático exacerbado durante la menstruación;</w:t>
      </w:r>
    </w:p>
    <w:p w14:paraId="52AD00B0" w14:textId="77777777" w:rsidR="005C2951" w:rsidRPr="002A613E" w:rsidRDefault="00000000">
      <w:pPr>
        <w:pStyle w:val="ListBullet"/>
        <w:spacing w:after="50"/>
        <w:ind w:left="369" w:hanging="170"/>
        <w:rPr>
          <w:lang w:val="fr-FR"/>
        </w:rPr>
      </w:pPr>
      <w:r>
        <w:rPr>
          <w:lang w:val="es-ES"/>
        </w:rPr>
        <w:t>incontinencia urinaria de esfuerzo referida durante la entrevista;</w:t>
      </w:r>
    </w:p>
    <w:p w14:paraId="52004F5B" w14:textId="77777777" w:rsidR="005C2951" w:rsidRPr="002A613E" w:rsidRDefault="00000000">
      <w:pPr>
        <w:pStyle w:val="ListBullet"/>
        <w:spacing w:after="50"/>
        <w:ind w:left="369" w:hanging="170"/>
        <w:rPr>
          <w:lang w:val="fr-FR"/>
        </w:rPr>
      </w:pPr>
      <w:r>
        <w:rPr>
          <w:lang w:val="es-ES"/>
        </w:rPr>
        <w:t>trabajo de parto prolongado en una paciente primípara;</w:t>
      </w:r>
    </w:p>
    <w:p w14:paraId="70F133B7" w14:textId="77777777" w:rsidR="005C2951" w:rsidRPr="002A613E" w:rsidRDefault="00000000">
      <w:pPr>
        <w:pStyle w:val="ListBullet"/>
        <w:spacing w:after="50"/>
        <w:ind w:left="369" w:hanging="170"/>
        <w:rPr>
          <w:lang w:val="fr-FR"/>
        </w:rPr>
      </w:pPr>
      <w:r w:rsidRPr="002A613E">
        <w:rPr>
          <w:lang w:val="fr-FR"/>
        </w:rPr>
        <w:t>exploración ginecológica sin anomalías identificadas; radiografía que muestra un discreto estrechamiento del espacio intervertebral L5–S1, sin compromiso radicular demostrado;</w:t>
      </w:r>
    </w:p>
    <w:p w14:paraId="7059F5A1" w14:textId="77777777" w:rsidR="005C2951" w:rsidRPr="002A613E" w:rsidRDefault="00000000">
      <w:pPr>
        <w:pStyle w:val="ListBullet"/>
        <w:spacing w:after="50"/>
        <w:ind w:left="369" w:hanging="170"/>
        <w:rPr>
          <w:lang w:val="fr-FR"/>
        </w:rPr>
      </w:pPr>
      <w:r>
        <w:rPr>
          <w:lang w:val="es-ES"/>
        </w:rPr>
        <w:t>repercusión emocional importante, dado que la paciente deseaba retomar pronto su actividad profesional por cuenta propia.</w:t>
      </w:r>
    </w:p>
    <w:p w14:paraId="46310EF5" w14:textId="77777777" w:rsidR="005C2951" w:rsidRDefault="00000000">
      <w:pPr>
        <w:pStyle w:val="Heading2"/>
        <w:spacing w:before="140" w:after="60"/>
      </w:pPr>
      <w:r>
        <w:rPr>
          <w:lang w:val="es-ES"/>
        </w:rPr>
        <w:t>5.2. Pruebas</w:t>
      </w:r>
    </w:p>
    <w:p w14:paraId="6317B561" w14:textId="77777777" w:rsidR="005C2951" w:rsidRDefault="00000000">
      <w:pPr>
        <w:pStyle w:val="ListBullet"/>
        <w:spacing w:after="50"/>
        <w:ind w:left="369" w:hanging="170"/>
      </w:pPr>
      <w:r>
        <w:rPr>
          <w:lang w:val="es-ES"/>
        </w:rPr>
        <w:t>las pruebas de escucha global en bipedestación y sedestación muestran una flexión anterior baja del tronco y una flexión lateral izquierda;</w:t>
      </w:r>
    </w:p>
    <w:p w14:paraId="1F96250E" w14:textId="77777777" w:rsidR="005C2951" w:rsidRPr="002A613E" w:rsidRDefault="00000000">
      <w:pPr>
        <w:pStyle w:val="ListBullet"/>
        <w:spacing w:after="50"/>
        <w:ind w:left="369" w:hanging="170"/>
        <w:rPr>
          <w:lang w:val="fr-FR"/>
        </w:rPr>
      </w:pPr>
      <w:r>
        <w:rPr>
          <w:lang w:val="es-ES"/>
        </w:rPr>
        <w:t>las pruebas vertebrales revelan una reducción moderada de la movilidad izquierda en L2–L3 y L5–S1, con fijación de la articulación sacroilíaca izquierda y del cóccix;</w:t>
      </w:r>
    </w:p>
    <w:p w14:paraId="5E184341" w14:textId="77777777" w:rsidR="005C2951" w:rsidRPr="002A613E" w:rsidRDefault="00000000">
      <w:pPr>
        <w:pStyle w:val="ListBullet"/>
        <w:spacing w:after="50"/>
        <w:ind w:left="369" w:hanging="170"/>
        <w:rPr>
          <w:lang w:val="fr-FR"/>
        </w:rPr>
      </w:pPr>
      <w:r w:rsidRPr="002A613E">
        <w:rPr>
          <w:lang w:val="fr-FR"/>
        </w:rPr>
        <w:t>en decúbito supino, la prueba de elevación de la pierna extendida, complementada con una maniobra de sensibilización, mejora cuando la mano situada sobre la sínfisis púbica se desplaza ligeramente hacia la izquierda y en profundidad hacia la región cervicoístmica del útero;</w:t>
      </w:r>
    </w:p>
    <w:p w14:paraId="63D90527" w14:textId="77777777" w:rsidR="005C2951" w:rsidRDefault="00000000">
      <w:pPr>
        <w:pStyle w:val="ListBullet"/>
        <w:spacing w:after="50"/>
        <w:ind w:left="369" w:hanging="170"/>
      </w:pPr>
      <w:r>
        <w:rPr>
          <w:lang w:val="es-ES"/>
        </w:rPr>
        <w:t>en decúbito lateral izquierdo, la escucha sobre la parte inferior del abdomen revela resistencia a la movilidad uterina;</w:t>
      </w:r>
    </w:p>
    <w:p w14:paraId="17A7A2A1" w14:textId="77777777" w:rsidR="005C2951" w:rsidRPr="002A613E" w:rsidRDefault="00000000">
      <w:pPr>
        <w:pStyle w:val="ListBullet"/>
        <w:spacing w:after="50"/>
        <w:ind w:left="369" w:hanging="170"/>
        <w:rPr>
          <w:lang w:val="fr-FR"/>
        </w:rPr>
      </w:pPr>
      <w:r>
        <w:rPr>
          <w:lang w:val="es-ES"/>
        </w:rPr>
        <w:t>la cadera izquierda presenta una reducción de la rotación interna.</w:t>
      </w:r>
    </w:p>
    <w:p w14:paraId="1516BED3" w14:textId="77777777" w:rsidR="005C2951" w:rsidRPr="002A613E" w:rsidRDefault="00000000">
      <w:pPr>
        <w:pStyle w:val="Heading2"/>
        <w:spacing w:before="140" w:after="60"/>
        <w:rPr>
          <w:lang w:val="fr-FR"/>
        </w:rPr>
      </w:pPr>
      <w:r>
        <w:rPr>
          <w:lang w:val="es-ES"/>
        </w:rPr>
        <w:t>5.3. Interpretación funcional propuesta en ROP</w:t>
      </w:r>
    </w:p>
    <w:p w14:paraId="24A3714E" w14:textId="77777777" w:rsidR="005C2951" w:rsidRDefault="00000000">
      <w:pPr>
        <w:pStyle w:val="BodyText"/>
        <w:ind w:firstLine="255"/>
      </w:pPr>
      <w:r>
        <w:rPr>
          <w:lang w:val="es-ES"/>
        </w:rPr>
        <w:t>Los hallazgos sugieren una posible contribución de la región uterina y pélvica al síndrome local y regional. Conforme a esta hipótesis de trabajo:</w:t>
      </w:r>
    </w:p>
    <w:p w14:paraId="2D3E9035" w14:textId="77777777" w:rsidR="005C2951" w:rsidRPr="002A613E" w:rsidRDefault="00000000">
      <w:pPr>
        <w:pStyle w:val="ListBullet"/>
        <w:spacing w:after="50"/>
        <w:ind w:left="369" w:hanging="170"/>
        <w:rPr>
          <w:lang w:val="fr-FR"/>
        </w:rPr>
      </w:pPr>
      <w:r>
        <w:rPr>
          <w:lang w:val="es-ES"/>
        </w:rPr>
        <w:t>la coexistencia de una restricción percibida en la región uterosacra izquierda y una reducción de la movilidad de la articulación sacroilíaca izquierda constituye una relación local y regional que debe explorarse y reevaluarse después del tratamiento;</w:t>
      </w:r>
    </w:p>
    <w:p w14:paraId="542F170C" w14:textId="77777777" w:rsidR="005C2951" w:rsidRPr="002A613E" w:rsidRDefault="00000000">
      <w:pPr>
        <w:pStyle w:val="ListBullet"/>
        <w:spacing w:after="50"/>
        <w:ind w:left="369" w:hanging="170"/>
        <w:rPr>
          <w:lang w:val="fr-FR"/>
        </w:rPr>
      </w:pPr>
      <w:r>
        <w:rPr>
          <w:lang w:val="es-ES"/>
        </w:rPr>
        <w:t>la alteración del tono del músculo piriforme izquierdo puede considerarse un componente somático capaz de contribuir al cuadro doloroso;</w:t>
      </w:r>
    </w:p>
    <w:p w14:paraId="2D940060" w14:textId="77777777" w:rsidR="005C2951" w:rsidRPr="002A613E" w:rsidRDefault="00000000">
      <w:pPr>
        <w:pStyle w:val="ListBullet"/>
        <w:spacing w:after="50"/>
        <w:ind w:left="369" w:hanging="170"/>
        <w:rPr>
          <w:lang w:val="fr-FR"/>
        </w:rPr>
      </w:pPr>
      <w:r>
        <w:rPr>
          <w:lang w:val="es-ES"/>
        </w:rPr>
        <w:t>las relaciones regionales entre el útero, la vejiga, el sacro y el suelo pélvico se incorporan a la hipótesis de trabajo y se comparan con los cambios de la incontinencia de esfuerzo y de la movilidad sacrococcígea;</w:t>
      </w:r>
    </w:p>
    <w:p w14:paraId="21DF34A0" w14:textId="77777777" w:rsidR="005C2951" w:rsidRPr="002A613E" w:rsidRDefault="00000000">
      <w:pPr>
        <w:pStyle w:val="ListBullet"/>
        <w:spacing w:after="50"/>
        <w:ind w:left="369" w:hanging="170"/>
        <w:rPr>
          <w:lang w:val="fr-FR"/>
        </w:rPr>
      </w:pPr>
      <w:r>
        <w:rPr>
          <w:lang w:val="es-ES"/>
        </w:rPr>
        <w:t>el ciclo menstrual y el estado autonómico se tienen en cuenta al evaluar el nivel 2 y la respuesta funcional global;</w:t>
      </w:r>
    </w:p>
    <w:p w14:paraId="0AF29820" w14:textId="77777777" w:rsidR="005C2951" w:rsidRPr="002A613E" w:rsidRDefault="00000000">
      <w:pPr>
        <w:pStyle w:val="ListBullet"/>
        <w:spacing w:after="50"/>
        <w:ind w:left="369" w:hanging="170"/>
        <w:rPr>
          <w:lang w:val="fr-FR"/>
        </w:rPr>
      </w:pPr>
      <w:r>
        <w:rPr>
          <w:lang w:val="es-ES"/>
        </w:rPr>
        <w:t>en el modelo ROP, la fijación sacrococcígea también se considera en relación con las cubiertas meníngeas y el MRP;</w:t>
      </w:r>
    </w:p>
    <w:p w14:paraId="17C2A75E" w14:textId="77777777" w:rsidR="005C2951" w:rsidRPr="002A613E" w:rsidRDefault="00000000">
      <w:pPr>
        <w:pStyle w:val="ListBullet"/>
        <w:spacing w:after="50"/>
        <w:ind w:left="369" w:hanging="170"/>
        <w:rPr>
          <w:lang w:val="fr-FR"/>
        </w:rPr>
      </w:pPr>
      <w:r>
        <w:rPr>
          <w:lang w:val="es-ES"/>
        </w:rPr>
        <w:t>el contexto emocional y la ansiedad asociados al dolor, la maternidad reciente y la reincorporación al trabajo pueden perpetuar los síntomas de la paciente.</w:t>
      </w:r>
    </w:p>
    <w:p w14:paraId="219B8D47" w14:textId="77777777" w:rsidR="005C2951" w:rsidRPr="002A613E" w:rsidRDefault="00000000">
      <w:pPr>
        <w:pStyle w:val="Heading2"/>
        <w:spacing w:before="140" w:after="60"/>
        <w:rPr>
          <w:lang w:val="fr-FR"/>
        </w:rPr>
      </w:pPr>
      <w:r>
        <w:rPr>
          <w:lang w:val="es-ES"/>
        </w:rPr>
        <w:t>5.4. Tratamiento mediante ROP</w:t>
      </w:r>
    </w:p>
    <w:p w14:paraId="6787A53F" w14:textId="77777777" w:rsidR="005C2951" w:rsidRPr="002A613E" w:rsidRDefault="00000000">
      <w:pPr>
        <w:pStyle w:val="BodyText"/>
        <w:spacing w:after="60"/>
        <w:ind w:left="369" w:hanging="312"/>
        <w:rPr>
          <w:lang w:val="fr-FR"/>
        </w:rPr>
      </w:pPr>
      <w:r>
        <w:rPr>
          <w:lang w:val="es-ES"/>
        </w:rPr>
        <w:t>1. Nivel 1 — Regulación central: zonas reflejas occipitales, referencias neuromeníngeas de la ROP, diencéfalo, tronco encefálico y eje hipotálamo-hipofisario.</w:t>
      </w:r>
    </w:p>
    <w:p w14:paraId="59DB5487" w14:textId="77777777" w:rsidR="005C2951" w:rsidRPr="002A613E" w:rsidRDefault="00000000">
      <w:pPr>
        <w:pStyle w:val="BodyText"/>
        <w:spacing w:after="60"/>
        <w:ind w:left="369" w:hanging="312"/>
        <w:rPr>
          <w:lang w:val="fr-FR"/>
        </w:rPr>
      </w:pPr>
      <w:r>
        <w:rPr>
          <w:lang w:val="es-ES"/>
        </w:rPr>
        <w:t>2. Nivel 2 — Regulación autonómica y adaptación: diafragma, vías simpáticas y parasimpáticas, glándulas suprarrenales, vías sacras pélvicas y plexos pélvicos según las pruebas.</w:t>
      </w:r>
    </w:p>
    <w:p w14:paraId="4E46956F" w14:textId="77777777" w:rsidR="005C2951" w:rsidRPr="002A613E" w:rsidRDefault="00000000">
      <w:pPr>
        <w:pStyle w:val="BodyText"/>
        <w:spacing w:after="60"/>
        <w:ind w:left="369" w:hanging="312"/>
        <w:rPr>
          <w:lang w:val="fr-FR"/>
        </w:rPr>
      </w:pPr>
      <w:r>
        <w:rPr>
          <w:lang w:val="es-ES"/>
        </w:rPr>
        <w:t>3. Nivel 3 — Regulación visceral local y regional: región cervicoístmica del útero, cavidad pélvica y relaciones locales y regionales, en particular las estructuras ligamentosas identificadas en la exploración.</w:t>
      </w:r>
    </w:p>
    <w:p w14:paraId="04DFADBA" w14:textId="77777777" w:rsidR="005C2951" w:rsidRPr="002A613E" w:rsidRDefault="00000000">
      <w:pPr>
        <w:pStyle w:val="BodyText"/>
        <w:spacing w:after="60"/>
        <w:ind w:left="369" w:hanging="312"/>
        <w:rPr>
          <w:lang w:val="fr-FR"/>
        </w:rPr>
      </w:pPr>
      <w:r>
        <w:rPr>
          <w:lang w:val="es-ES"/>
        </w:rPr>
        <w:lastRenderedPageBreak/>
        <w:t>4. Nivel 4 — Integración viscerosomática y visceroemocional: nervio pudendo, plexo sacro, músculo piriforme, articulaciones sacrococcígea y sacroilíaca y trayecto del nervio ciático izquierdo; redes insular y límbicas si el contexto clínico lo justifica.</w:t>
      </w:r>
    </w:p>
    <w:p w14:paraId="1418695A" w14:textId="77777777" w:rsidR="005C2951" w:rsidRPr="002A613E" w:rsidRDefault="00000000">
      <w:pPr>
        <w:pStyle w:val="BodyText"/>
        <w:ind w:firstLine="255"/>
        <w:rPr>
          <w:lang w:val="fr-FR"/>
        </w:rPr>
      </w:pPr>
      <w:r>
        <w:rPr>
          <w:lang w:val="es-ES"/>
        </w:rPr>
        <w:t>Los cambios en el síntoma principal, la movilidad, la incontinencia de esfuerzo, el sueño y la vitalidad deben registrarse después de la sesión para confirmar o cuestionar esta priorización.</w:t>
      </w:r>
    </w:p>
    <w:p w14:paraId="078E5EB1" w14:textId="77777777" w:rsidR="005C2951" w:rsidRPr="002A613E" w:rsidRDefault="00000000">
      <w:pPr>
        <w:pStyle w:val="Heading1"/>
        <w:spacing w:before="200" w:after="80"/>
        <w:rPr>
          <w:lang w:val="fr-FR"/>
        </w:rPr>
      </w:pPr>
      <w:r>
        <w:rPr>
          <w:lang w:val="es-ES"/>
        </w:rPr>
        <w:t>6. Contraindicaciones y signos de alarma</w:t>
      </w:r>
    </w:p>
    <w:p w14:paraId="7BD35A3A" w14:textId="77777777" w:rsidR="005C2951" w:rsidRPr="002A613E" w:rsidRDefault="00000000">
      <w:pPr>
        <w:pStyle w:val="BodyText"/>
        <w:ind w:firstLine="255"/>
        <w:rPr>
          <w:lang w:val="es-ES"/>
        </w:rPr>
      </w:pPr>
      <w:r>
        <w:rPr>
          <w:lang w:val="es-ES"/>
        </w:rPr>
        <w:t>La ROP forma parte de un enfoque asistencial funcional. Toda sospecha de enfermedad orgánica, complicación o signo de alarma requiere una evaluación médica. Síntomas aparentemente menores pueden revelar un trastorno grave; de acuerdo con el principio de precaución, el profesional debe reconocer las situaciones en las que no debe realizarse el tratamiento.</w:t>
      </w:r>
    </w:p>
    <w:p w14:paraId="76397088" w14:textId="77777777" w:rsidR="005C2951" w:rsidRPr="002A613E" w:rsidRDefault="00000000">
      <w:pPr>
        <w:pStyle w:val="BodyText"/>
        <w:ind w:firstLine="255"/>
        <w:rPr>
          <w:lang w:val="fr-FR"/>
        </w:rPr>
      </w:pPr>
      <w:r>
        <w:rPr>
          <w:lang w:val="es-ES"/>
        </w:rPr>
        <w:t>En particular, los siguientes signos deben motivar una reevaluación y, según el contexto, una derivación:</w:t>
      </w:r>
    </w:p>
    <w:p w14:paraId="149F0F37" w14:textId="77777777" w:rsidR="005C2951" w:rsidRPr="002A613E" w:rsidRDefault="00000000">
      <w:pPr>
        <w:pStyle w:val="ListBullet"/>
        <w:spacing w:after="50"/>
        <w:ind w:left="369" w:hanging="170"/>
        <w:rPr>
          <w:lang w:val="fr-FR"/>
        </w:rPr>
      </w:pPr>
      <w:r>
        <w:rPr>
          <w:lang w:val="es-ES"/>
        </w:rPr>
        <w:t>dolor no mecánico que persiste o empeora durante la primera parte de la noche;</w:t>
      </w:r>
    </w:p>
    <w:p w14:paraId="3517638F" w14:textId="77777777" w:rsidR="005C2951" w:rsidRDefault="00000000">
      <w:pPr>
        <w:pStyle w:val="ListBullet"/>
        <w:spacing w:after="50"/>
        <w:ind w:left="369" w:hanging="170"/>
      </w:pPr>
      <w:r>
        <w:rPr>
          <w:lang w:val="es-ES"/>
        </w:rPr>
        <w:t>dolor torácico atípico, disnea o malestar general;</w:t>
      </w:r>
    </w:p>
    <w:p w14:paraId="5D532FBA" w14:textId="77777777" w:rsidR="005C2951" w:rsidRPr="002A613E" w:rsidRDefault="00000000">
      <w:pPr>
        <w:pStyle w:val="ListBullet"/>
        <w:spacing w:after="50"/>
        <w:ind w:left="369" w:hanging="170"/>
        <w:rPr>
          <w:lang w:val="fr-FR"/>
        </w:rPr>
      </w:pPr>
      <w:r>
        <w:rPr>
          <w:lang w:val="es-ES"/>
        </w:rPr>
        <w:t>sangre en la orina o las heces;</w:t>
      </w:r>
    </w:p>
    <w:p w14:paraId="5B5AD70C" w14:textId="77777777" w:rsidR="005C2951" w:rsidRDefault="00000000">
      <w:pPr>
        <w:pStyle w:val="ListBullet"/>
        <w:spacing w:after="50"/>
        <w:ind w:left="369" w:hanging="170"/>
      </w:pPr>
      <w:r>
        <w:rPr>
          <w:lang w:val="es-ES"/>
        </w:rPr>
        <w:t>fiebre o sospecha de enfermedad infecciosa;</w:t>
      </w:r>
    </w:p>
    <w:p w14:paraId="46F8D774" w14:textId="77777777" w:rsidR="005C2951" w:rsidRDefault="00000000">
      <w:pPr>
        <w:pStyle w:val="ListBullet"/>
        <w:spacing w:after="50"/>
        <w:ind w:left="369" w:hanging="170"/>
      </w:pPr>
      <w:r>
        <w:rPr>
          <w:lang w:val="es-ES"/>
        </w:rPr>
        <w:t>pérdida de peso inexplicada;</w:t>
      </w:r>
    </w:p>
    <w:p w14:paraId="536E4CCA" w14:textId="77777777" w:rsidR="005C2951" w:rsidRPr="002A613E" w:rsidRDefault="00000000">
      <w:pPr>
        <w:pStyle w:val="ListBullet"/>
        <w:spacing w:after="50"/>
        <w:ind w:left="369" w:hanging="170"/>
        <w:rPr>
          <w:lang w:val="fr-FR"/>
        </w:rPr>
      </w:pPr>
      <w:r>
        <w:rPr>
          <w:lang w:val="es-ES"/>
        </w:rPr>
        <w:t>riesgo conocido de migración de un trombo;</w:t>
      </w:r>
    </w:p>
    <w:p w14:paraId="4984BE72" w14:textId="77777777" w:rsidR="005C2951" w:rsidRPr="002A613E" w:rsidRDefault="00000000">
      <w:pPr>
        <w:pStyle w:val="ListBullet"/>
        <w:spacing w:after="50"/>
        <w:ind w:left="369" w:hanging="170"/>
        <w:rPr>
          <w:lang w:val="fr-FR"/>
        </w:rPr>
      </w:pPr>
      <w:r>
        <w:rPr>
          <w:lang w:val="es-ES"/>
        </w:rPr>
        <w:t>palidez asociada a fatiga intensa;</w:t>
      </w:r>
    </w:p>
    <w:p w14:paraId="048AE5D2" w14:textId="77777777" w:rsidR="005C2951" w:rsidRPr="002A613E" w:rsidRDefault="00000000">
      <w:pPr>
        <w:pStyle w:val="ListBullet"/>
        <w:spacing w:after="50"/>
        <w:ind w:left="369" w:hanging="170"/>
        <w:rPr>
          <w:lang w:val="fr-FR"/>
        </w:rPr>
      </w:pPr>
      <w:r>
        <w:rPr>
          <w:lang w:val="es-ES"/>
        </w:rPr>
        <w:t>déficit neurológico, alteración esfinteriana de nueva aparición o síntomas sensitivos progresivos;</w:t>
      </w:r>
    </w:p>
    <w:p w14:paraId="5F9F6AED" w14:textId="77777777" w:rsidR="005C2951" w:rsidRDefault="00000000">
      <w:pPr>
        <w:pStyle w:val="ListBullet"/>
        <w:spacing w:after="50"/>
        <w:ind w:left="369" w:hanging="170"/>
      </w:pPr>
      <w:r>
        <w:rPr>
          <w:lang w:val="es-ES"/>
        </w:rPr>
        <w:t>ansiedad aguda, miedo a morir o deterioro inusual del estado general;</w:t>
      </w:r>
    </w:p>
    <w:p w14:paraId="01D5E470" w14:textId="77777777" w:rsidR="005C2951" w:rsidRPr="002A613E" w:rsidRDefault="00000000">
      <w:pPr>
        <w:pStyle w:val="ListBullet"/>
        <w:spacing w:after="50"/>
        <w:ind w:left="369" w:hanging="170"/>
        <w:rPr>
          <w:lang w:val="fr-FR"/>
        </w:rPr>
      </w:pPr>
      <w:r>
        <w:rPr>
          <w:lang w:val="es-ES"/>
        </w:rPr>
        <w:t>situación clínica inexplicada o que exceda el ámbito de competencia del profesional.</w:t>
      </w:r>
    </w:p>
    <w:p w14:paraId="05A9441B" w14:textId="77777777" w:rsidR="005C2951" w:rsidRPr="002A613E" w:rsidRDefault="00000000">
      <w:pPr>
        <w:pStyle w:val="BodyText"/>
        <w:ind w:firstLine="255"/>
        <w:rPr>
          <w:lang w:val="es-ES"/>
        </w:rPr>
      </w:pPr>
      <w:r>
        <w:rPr>
          <w:lang w:val="es-ES"/>
        </w:rPr>
        <w:t>La ROP nunca debe retrasar un diagnóstico médico ni sustituir un tratamiento médico más adecuado. Puede desempeñar una función complementaria dentro de un enfoque integrativo, en particular como apoyo para determinados síntomas funcionales o para el bienestar del paciente, con el acuerdo del equipo médico cuando sea necesario.</w:t>
      </w:r>
    </w:p>
    <w:p w14:paraId="49A661C1" w14:textId="77777777" w:rsidR="005C2951" w:rsidRPr="002A613E" w:rsidRDefault="00000000">
      <w:pPr>
        <w:pStyle w:val="Heading1"/>
        <w:spacing w:before="200" w:after="80"/>
        <w:rPr>
          <w:lang w:val="fr-FR"/>
        </w:rPr>
      </w:pPr>
      <w:r>
        <w:rPr>
          <w:lang w:val="es-ES"/>
        </w:rPr>
        <w:t>7. Indicaciones</w:t>
      </w:r>
    </w:p>
    <w:p w14:paraId="0F00FE73" w14:textId="77777777" w:rsidR="005C2951" w:rsidRPr="002A613E" w:rsidRDefault="00000000">
      <w:pPr>
        <w:pStyle w:val="BodyText"/>
        <w:ind w:firstLine="255"/>
        <w:rPr>
          <w:lang w:val="fr-FR"/>
        </w:rPr>
      </w:pPr>
      <w:r>
        <w:rPr>
          <w:lang w:val="es-ES"/>
        </w:rPr>
        <w:t>Las indicaciones se basan en la anamnesis, la exploración clínica, las pruebas, la coherencia de los hallazgos en las zonas reflejas y la priorización conforme al estado funcional global del paciente. La ROP está destinada principalmente a trastornos funcionales, una vez descartada una enfermedad orgánica que requiera un tratamiento médico específico.</w:t>
      </w:r>
    </w:p>
    <w:p w14:paraId="342E4810" w14:textId="77777777" w:rsidR="005C2951" w:rsidRPr="002A613E" w:rsidRDefault="00000000">
      <w:pPr>
        <w:pStyle w:val="BodyText"/>
        <w:ind w:firstLine="255"/>
        <w:rPr>
          <w:lang w:val="fr-FR"/>
        </w:rPr>
      </w:pPr>
      <w:r>
        <w:rPr>
          <w:lang w:val="es-ES"/>
        </w:rPr>
        <w:t>Entre las situaciones frecuentes se incluyen:</w:t>
      </w:r>
    </w:p>
    <w:p w14:paraId="6E8F4FD2" w14:textId="77777777" w:rsidR="005C2951" w:rsidRPr="002A613E" w:rsidRDefault="00000000">
      <w:pPr>
        <w:pStyle w:val="ListBullet"/>
        <w:spacing w:after="50"/>
        <w:ind w:left="369" w:hanging="170"/>
        <w:rPr>
          <w:lang w:val="fr-FR"/>
        </w:rPr>
      </w:pPr>
      <w:r>
        <w:rPr>
          <w:lang w:val="es-ES"/>
        </w:rPr>
        <w:t>dolor musculoesquelético con un componente funcional;</w:t>
      </w:r>
    </w:p>
    <w:p w14:paraId="0AF62C78" w14:textId="77777777" w:rsidR="005C2951" w:rsidRDefault="00000000">
      <w:pPr>
        <w:pStyle w:val="ListBullet"/>
        <w:spacing w:after="50"/>
        <w:ind w:left="369" w:hanging="170"/>
      </w:pPr>
      <w:r>
        <w:rPr>
          <w:lang w:val="es-ES"/>
        </w:rPr>
        <w:t>secuelas de traumatismos musculoesqueléticos;</w:t>
      </w:r>
    </w:p>
    <w:p w14:paraId="2114B0C4" w14:textId="77777777" w:rsidR="005C2951" w:rsidRPr="002A613E" w:rsidRDefault="00000000">
      <w:pPr>
        <w:pStyle w:val="ListBullet"/>
        <w:spacing w:after="50"/>
        <w:ind w:left="369" w:hanging="170"/>
        <w:rPr>
          <w:lang w:val="fr-FR"/>
        </w:rPr>
      </w:pPr>
      <w:r>
        <w:rPr>
          <w:lang w:val="es-ES"/>
        </w:rPr>
        <w:t>secuelas funcionales de lesiones de nervios espinales o craneales;</w:t>
      </w:r>
    </w:p>
    <w:p w14:paraId="31CE1962" w14:textId="77777777" w:rsidR="005C2951" w:rsidRDefault="00000000">
      <w:pPr>
        <w:pStyle w:val="ListBullet"/>
        <w:spacing w:after="50"/>
        <w:ind w:left="369" w:hanging="170"/>
      </w:pPr>
      <w:r>
        <w:rPr>
          <w:lang w:val="es-ES"/>
        </w:rPr>
        <w:t>disfunción visceral asociada a restricciones tisulares y bucles autonómicos en el modelo ROP;</w:t>
      </w:r>
    </w:p>
    <w:p w14:paraId="4AB097B2" w14:textId="77777777" w:rsidR="005C2951" w:rsidRDefault="00000000">
      <w:pPr>
        <w:pStyle w:val="ListBullet"/>
        <w:spacing w:after="50"/>
        <w:ind w:left="369" w:hanging="170"/>
      </w:pPr>
      <w:r>
        <w:rPr>
          <w:lang w:val="es-ES"/>
        </w:rPr>
        <w:t>trastornos viscerosomáticos y somatoviscerales;</w:t>
      </w:r>
    </w:p>
    <w:p w14:paraId="73B8725C" w14:textId="77777777" w:rsidR="005C2951" w:rsidRDefault="00000000">
      <w:pPr>
        <w:pStyle w:val="ListBullet"/>
        <w:spacing w:after="50"/>
        <w:ind w:left="369" w:hanging="170"/>
      </w:pPr>
      <w:r>
        <w:rPr>
          <w:lang w:val="es-ES"/>
        </w:rPr>
        <w:t>desequilibrio autonómico funcional;</w:t>
      </w:r>
    </w:p>
    <w:p w14:paraId="06082671" w14:textId="77777777" w:rsidR="005C2951" w:rsidRPr="002A613E" w:rsidRDefault="00000000">
      <w:pPr>
        <w:pStyle w:val="ListBullet"/>
        <w:spacing w:after="50"/>
        <w:ind w:left="369" w:hanging="170"/>
        <w:rPr>
          <w:lang w:val="fr-FR"/>
        </w:rPr>
      </w:pPr>
      <w:r>
        <w:rPr>
          <w:lang w:val="es-ES"/>
        </w:rPr>
        <w:t>estrés emocional y ansiedad, como complemento de la atención adecuada.</w:t>
      </w:r>
    </w:p>
    <w:p w14:paraId="01B769A3" w14:textId="77777777" w:rsidR="005C2951" w:rsidRPr="002A613E" w:rsidRDefault="00000000">
      <w:pPr>
        <w:pStyle w:val="Heading1"/>
        <w:spacing w:before="200" w:after="80"/>
        <w:rPr>
          <w:lang w:val="fr-FR"/>
        </w:rPr>
      </w:pPr>
      <w:r>
        <w:rPr>
          <w:lang w:val="es-ES"/>
        </w:rPr>
        <w:t>8. Efectos previstos y observados</w:t>
      </w:r>
    </w:p>
    <w:p w14:paraId="745C489C" w14:textId="77777777" w:rsidR="005C2951" w:rsidRPr="002A613E" w:rsidRDefault="00000000">
      <w:pPr>
        <w:pStyle w:val="BodyText"/>
        <w:ind w:firstLine="255"/>
        <w:rPr>
          <w:lang w:val="fr-FR"/>
        </w:rPr>
      </w:pPr>
      <w:r>
        <w:rPr>
          <w:lang w:val="es-ES"/>
        </w:rPr>
        <w:t>Los pacientes refieren con frecuencia resultados clínicos de la ROP, que también se observan durante las pruebas, aunque pueden seguir siendo difíciles de medir objetivamente. Entre los efectos previstos o comunicados con frecuencia se incluyen:</w:t>
      </w:r>
    </w:p>
    <w:p w14:paraId="135A83EF" w14:textId="77777777" w:rsidR="005C2951" w:rsidRDefault="00000000">
      <w:pPr>
        <w:pStyle w:val="ListBullet"/>
        <w:spacing w:after="50"/>
        <w:ind w:left="369" w:hanging="170"/>
      </w:pPr>
      <w:r>
        <w:rPr>
          <w:lang w:val="es-ES"/>
        </w:rPr>
        <w:lastRenderedPageBreak/>
        <w:t>disminución del dolor o de las molestias;</w:t>
      </w:r>
    </w:p>
    <w:p w14:paraId="12842A97" w14:textId="77777777" w:rsidR="005C2951" w:rsidRPr="002A613E" w:rsidRDefault="00000000">
      <w:pPr>
        <w:pStyle w:val="ListBullet"/>
        <w:spacing w:after="50"/>
        <w:ind w:left="369" w:hanging="170"/>
        <w:rPr>
          <w:lang w:val="fr-FR"/>
        </w:rPr>
      </w:pPr>
      <w:r>
        <w:rPr>
          <w:lang w:val="es-ES"/>
        </w:rPr>
        <w:t>signos compatibles con un cambio del estado autonómico: calma, bostezos, somnolencia, relajación marcada o necesidad de descansar;</w:t>
      </w:r>
    </w:p>
    <w:p w14:paraId="73629042" w14:textId="77777777" w:rsidR="005C2951" w:rsidRPr="002A613E" w:rsidRDefault="00000000">
      <w:pPr>
        <w:pStyle w:val="ListBullet"/>
        <w:spacing w:after="50"/>
        <w:ind w:left="369" w:hanging="170"/>
        <w:rPr>
          <w:lang w:val="fr-FR"/>
        </w:rPr>
      </w:pPr>
      <w:r>
        <w:rPr>
          <w:lang w:val="es-ES"/>
        </w:rPr>
        <w:t>cambios en el tránsito intestinal, la diuresis o las sensaciones viscerales;</w:t>
      </w:r>
    </w:p>
    <w:p w14:paraId="27453707" w14:textId="77777777" w:rsidR="005C2951" w:rsidRPr="002A613E" w:rsidRDefault="00000000">
      <w:pPr>
        <w:pStyle w:val="ListBullet"/>
        <w:spacing w:after="50"/>
        <w:ind w:left="369" w:hanging="170"/>
        <w:rPr>
          <w:lang w:val="fr-FR"/>
        </w:rPr>
      </w:pPr>
      <w:r>
        <w:rPr>
          <w:lang w:val="es-ES"/>
        </w:rPr>
        <w:t>cambios de movilidad en un territorio somático o local y regional identificado antes de la sesión;</w:t>
      </w:r>
    </w:p>
    <w:p w14:paraId="255CD58C" w14:textId="77777777" w:rsidR="005C2951" w:rsidRPr="002A613E" w:rsidRDefault="00000000">
      <w:pPr>
        <w:pStyle w:val="ListBullet"/>
        <w:spacing w:after="50"/>
        <w:ind w:left="369" w:hanging="170"/>
        <w:rPr>
          <w:lang w:val="fr-FR"/>
        </w:rPr>
      </w:pPr>
      <w:r>
        <w:rPr>
          <w:lang w:val="es-ES"/>
        </w:rPr>
        <w:t>mejoría del sueño, la energía y la capacidad funcional.</w:t>
      </w:r>
    </w:p>
    <w:p w14:paraId="757912B4" w14:textId="77777777" w:rsidR="005C2951" w:rsidRPr="002A613E" w:rsidRDefault="00000000">
      <w:pPr>
        <w:pStyle w:val="BodyText"/>
        <w:ind w:firstLine="255"/>
        <w:rPr>
          <w:lang w:val="es-ES"/>
        </w:rPr>
      </w:pPr>
      <w:r>
        <w:rPr>
          <w:lang w:val="es-ES"/>
        </w:rPr>
        <w:t>Estos efectos deben evaluarse mediante indicadores definidos antes de la sesión: síntoma principal, dolor o molestias, movilidad, sueño, función intestinal, energía y capacidad para retomar las actividades. El objetivo no es limitarse a registrar una impresión general, sino comparar la evolución con una situación basal claramente descrita.</w:t>
      </w:r>
    </w:p>
    <w:p w14:paraId="40CF8218" w14:textId="77777777" w:rsidR="005C2951" w:rsidRDefault="00000000">
      <w:pPr>
        <w:pStyle w:val="Heading1"/>
        <w:spacing w:before="200" w:after="80"/>
      </w:pPr>
      <w:r>
        <w:rPr>
          <w:lang w:val="es-ES"/>
        </w:rPr>
        <w:t>9. Reacciones posteriores al tratamiento y reevaluación</w:t>
      </w:r>
    </w:p>
    <w:p w14:paraId="73BEB28D" w14:textId="028FA1EA" w:rsidR="005C2951" w:rsidRDefault="005C2951">
      <w:pPr>
        <w:spacing w:before="100" w:after="60"/>
        <w:jc w:val="center"/>
      </w:pPr>
    </w:p>
    <w:p w14:paraId="7BA1B38D" w14:textId="77777777" w:rsidR="005C2951" w:rsidRPr="002A613E" w:rsidRDefault="00000000">
      <w:pPr>
        <w:pStyle w:val="Heading2"/>
        <w:spacing w:before="140" w:after="60"/>
        <w:rPr>
          <w:lang w:val="fr-FR"/>
        </w:rPr>
      </w:pPr>
      <w:r>
        <w:rPr>
          <w:lang w:val="es-ES"/>
        </w:rPr>
        <w:t>9.1. Reacciones inmediatas</w:t>
      </w:r>
    </w:p>
    <w:p w14:paraId="0572226F" w14:textId="77777777" w:rsidR="005C2951" w:rsidRPr="002A613E" w:rsidRDefault="00000000">
      <w:pPr>
        <w:pStyle w:val="BodyText"/>
        <w:ind w:firstLine="255"/>
        <w:rPr>
          <w:lang w:val="fr-FR"/>
        </w:rPr>
      </w:pPr>
      <w:r>
        <w:rPr>
          <w:lang w:val="es-ES"/>
        </w:rPr>
        <w:t>La reacción más frecuente es la relajación. También pueden aparecer somnolencia, necesidad de descansar, urgencia miccional o deseo de defecar. Inmediatamente después de la sesión puede percibirse una disminución transitoria de la energía.</w:t>
      </w:r>
    </w:p>
    <w:p w14:paraId="069FB9B2" w14:textId="77777777" w:rsidR="005C2951" w:rsidRPr="002A613E" w:rsidRDefault="00000000">
      <w:pPr>
        <w:pStyle w:val="Heading2"/>
        <w:spacing w:before="140" w:after="60"/>
        <w:rPr>
          <w:lang w:val="fr-FR"/>
        </w:rPr>
      </w:pPr>
      <w:r>
        <w:rPr>
          <w:lang w:val="es-ES"/>
        </w:rPr>
        <w:t>9.2. En las primeras 24–48 horas</w:t>
      </w:r>
    </w:p>
    <w:p w14:paraId="38A38C13" w14:textId="77777777" w:rsidR="005C2951" w:rsidRPr="002A613E" w:rsidRDefault="00000000">
      <w:pPr>
        <w:pStyle w:val="BodyText"/>
        <w:ind w:firstLine="255"/>
        <w:rPr>
          <w:lang w:val="es-ES"/>
        </w:rPr>
      </w:pPr>
      <w:r>
        <w:rPr>
          <w:lang w:val="es-ES"/>
        </w:rPr>
        <w:t>Algunos pacientes pueden presentar dolor muscular, fatigabilidad leve, alteraciones del sueño, sueños más vívidos o reaparición de recuerdos. Estas reacciones son transitorias, varían de una persona a otra y no se producen de forma sistemática. Su ausencia no significa que el tratamiento sea ineficaz.</w:t>
      </w:r>
    </w:p>
    <w:p w14:paraId="75418765" w14:textId="77777777" w:rsidR="005C2951" w:rsidRPr="002A613E" w:rsidRDefault="00000000">
      <w:pPr>
        <w:pStyle w:val="Heading2"/>
        <w:spacing w:before="140" w:after="60"/>
        <w:rPr>
          <w:lang w:val="fr-FR"/>
        </w:rPr>
      </w:pPr>
      <w:r>
        <w:rPr>
          <w:lang w:val="es-ES"/>
        </w:rPr>
        <w:t>9.3. Durante los días siguientes</w:t>
      </w:r>
    </w:p>
    <w:p w14:paraId="6DF42D5E" w14:textId="77777777" w:rsidR="005C2951" w:rsidRPr="002A613E" w:rsidRDefault="00000000">
      <w:pPr>
        <w:pStyle w:val="BodyText"/>
        <w:ind w:firstLine="255"/>
        <w:rPr>
          <w:lang w:val="fr-FR"/>
        </w:rPr>
      </w:pPr>
      <w:r>
        <w:rPr>
          <w:lang w:val="es-ES"/>
        </w:rPr>
        <w:t>El nivel funcional del paciente puede regresar gradualmente hacia su nivel habitual. Este cambio puede acompañarse de una reducción del síntoma principal y de mejorías del sueño, la función intestinal, la energía o la capacidad funcional.</w:t>
      </w:r>
    </w:p>
    <w:p w14:paraId="4B7D5CC5" w14:textId="77777777" w:rsidR="005C2951" w:rsidRPr="002A613E" w:rsidRDefault="00000000">
      <w:pPr>
        <w:pStyle w:val="Heading2"/>
        <w:spacing w:before="140" w:after="60"/>
        <w:rPr>
          <w:lang w:val="fr-FR"/>
        </w:rPr>
      </w:pPr>
      <w:r>
        <w:rPr>
          <w:lang w:val="es-ES"/>
        </w:rPr>
        <w:t>9.4. Toma de decisiones los días 3–4</w:t>
      </w:r>
    </w:p>
    <w:p w14:paraId="235CC184" w14:textId="77777777" w:rsidR="005C2951" w:rsidRPr="002A613E" w:rsidRDefault="00000000">
      <w:pPr>
        <w:pStyle w:val="BodyText"/>
        <w:ind w:firstLine="255"/>
        <w:rPr>
          <w:lang w:val="fr-FR"/>
        </w:rPr>
      </w:pPr>
      <w:r>
        <w:rPr>
          <w:lang w:val="es-ES"/>
        </w:rPr>
        <w:t>Los días 3–4, el profesional y el paciente reevaluarán la evolución:</w:t>
      </w:r>
    </w:p>
    <w:p w14:paraId="3878B786" w14:textId="77777777" w:rsidR="005C2951" w:rsidRPr="002A613E" w:rsidRDefault="00000000">
      <w:pPr>
        <w:pStyle w:val="ListBullet"/>
        <w:spacing w:after="50"/>
        <w:ind w:left="369" w:hanging="170"/>
        <w:rPr>
          <w:lang w:val="fr-FR"/>
        </w:rPr>
      </w:pPr>
      <w:r>
        <w:rPr>
          <w:lang w:val="es-ES"/>
        </w:rPr>
        <w:t>si el síntoma principal ha desaparecido o ha mejorado claramente y se ha recuperado el funcionamiento habitual, se considera alcanzado el objetivo funcional en esta fase y no se precisa otra sesión a corto plazo;</w:t>
      </w:r>
    </w:p>
    <w:p w14:paraId="0A256FF7" w14:textId="77777777" w:rsidR="005C2951" w:rsidRPr="002A613E" w:rsidRDefault="00000000">
      <w:pPr>
        <w:pStyle w:val="ListBullet"/>
        <w:spacing w:after="50"/>
        <w:ind w:left="369" w:hanging="170"/>
        <w:rPr>
          <w:lang w:val="fr-FR"/>
        </w:rPr>
      </w:pPr>
      <w:r>
        <w:rPr>
          <w:lang w:val="es-ES"/>
        </w:rPr>
        <w:t>si la mejoría sigue siendo incompleta, puede proponerse una segunda sesión;</w:t>
      </w:r>
    </w:p>
    <w:p w14:paraId="594519DD" w14:textId="77777777" w:rsidR="005C2951" w:rsidRPr="002A613E" w:rsidRDefault="00000000">
      <w:pPr>
        <w:pStyle w:val="ListBullet"/>
        <w:spacing w:after="50"/>
        <w:ind w:left="369" w:hanging="170"/>
        <w:rPr>
          <w:lang w:val="fr-FR"/>
        </w:rPr>
      </w:pPr>
      <w:r>
        <w:rPr>
          <w:lang w:val="es-ES"/>
        </w:rPr>
        <w:t>si la respuesta es inexistente, atípica o adversa, deben reconsiderarse la priorización y la indicación.</w:t>
      </w:r>
    </w:p>
    <w:p w14:paraId="4AFE29E5" w14:textId="77777777" w:rsidR="005C2951" w:rsidRPr="002A613E" w:rsidRDefault="00000000">
      <w:pPr>
        <w:pStyle w:val="BodyText"/>
        <w:ind w:firstLine="255"/>
        <w:rPr>
          <w:lang w:val="fr-FR"/>
        </w:rPr>
      </w:pPr>
      <w:r>
        <w:rPr>
          <w:lang w:val="es-ES"/>
        </w:rPr>
        <w:t>El objetivo funcional describe la evolución del motivo de consulta; no implica que se haya curado una enfermedad orgánica subyacente ni que se haya validado un mecanismo causal concreto.</w:t>
      </w:r>
    </w:p>
    <w:p w14:paraId="139A24A4" w14:textId="77777777" w:rsidR="005C2951" w:rsidRPr="002A613E" w:rsidRDefault="00000000">
      <w:pPr>
        <w:pStyle w:val="Heading2"/>
        <w:spacing w:before="140" w:after="60"/>
        <w:rPr>
          <w:lang w:val="fr-FR"/>
        </w:rPr>
      </w:pPr>
      <w:r>
        <w:rPr>
          <w:lang w:val="es-ES"/>
        </w:rPr>
        <w:t>9.5. Reacciones inusuales</w:t>
      </w:r>
    </w:p>
    <w:p w14:paraId="1B7C5104" w14:textId="77777777" w:rsidR="005C2951" w:rsidRPr="002A613E" w:rsidRDefault="00000000">
      <w:pPr>
        <w:pStyle w:val="BodyText"/>
        <w:ind w:firstLine="255"/>
        <w:rPr>
          <w:lang w:val="fr-FR"/>
        </w:rPr>
      </w:pPr>
      <w:r>
        <w:rPr>
          <w:lang w:val="es-ES"/>
        </w:rPr>
        <w:t>Si las reacciones son intensas, persisten más de 72 horas o se acompañan de signos inusuales o preocupantes, debe reevaluarse la situación. Se deriva al paciente a un médico cuando el contexto lo justifica.</w:t>
      </w:r>
    </w:p>
    <w:tbl>
      <w:tblPr>
        <w:tblW w:w="0" w:type="auto"/>
        <w:jc w:val="center"/>
        <w:tblLook w:val="04A0" w:firstRow="1" w:lastRow="0" w:firstColumn="1" w:lastColumn="0" w:noHBand="0" w:noVBand="1"/>
      </w:tblPr>
      <w:tblGrid>
        <w:gridCol w:w="9915"/>
      </w:tblGrid>
      <w:tr w:rsidR="005C2951" w:rsidRPr="002A613E" w14:paraId="3647F385" w14:textId="77777777">
        <w:trPr>
          <w:cantSplit/>
          <w:jc w:val="center"/>
        </w:trPr>
        <w:tc>
          <w:tcPr>
            <w:tcW w:w="9915" w:type="dxa"/>
            <w:tcBorders>
              <w:top w:val="nil"/>
              <w:left w:val="single" w:sz="18" w:space="0" w:color="B47C5A"/>
              <w:bottom w:val="nil"/>
              <w:right w:val="nil"/>
            </w:tcBorders>
            <w:shd w:val="clear" w:color="auto" w:fill="E8DED0"/>
            <w:tcMar>
              <w:top w:w="150" w:type="dxa"/>
              <w:left w:w="220" w:type="dxa"/>
              <w:bottom w:w="150" w:type="dxa"/>
              <w:right w:w="220" w:type="dxa"/>
            </w:tcMar>
            <w:vAlign w:val="center"/>
          </w:tcPr>
          <w:p w14:paraId="0B3CCB17" w14:textId="77777777" w:rsidR="005C2951" w:rsidRPr="002A613E" w:rsidRDefault="00000000">
            <w:pPr>
              <w:rPr>
                <w:lang w:val="fr-FR"/>
              </w:rPr>
            </w:pPr>
            <w:r>
              <w:rPr>
                <w:lang w:val="es-ES"/>
              </w:rPr>
              <w:lastRenderedPageBreak/>
              <w:t>Contribuya al seguimiento de la ROP con SuiviPatient</w:t>
            </w:r>
            <w:r>
              <w:rPr>
                <w:lang w:val="es-ES"/>
              </w:rPr>
              <w:br/>
              <w:t>La cronología y las reacciones descritas en este capítulo se basan principalmente en la experiencia clínica de los profesionales. Para documentarlas mejor, la aplicación SuiviPatient puede recoger, a intervalos regulares, indicadores sencillos comparados con la situación basal: síntoma principal, dolor o molestias, vitalidad, sueño, funciones viscerales, capacidad funcional y reacciones inusuales.</w:t>
            </w:r>
            <w:r>
              <w:rPr>
                <w:lang w:val="es-ES"/>
              </w:rPr>
              <w:br/>
              <w:t>Se invita a los profesionales que lean este libro y deseen incorporarse a la comunidad ROP y utilizar gratuitamente la aplicación SuiviPatient con sus pacientes a ponerse en contacto con nosotros. Este proceso debe respetar el consentimiento del paciente y la confidencialidad de la información recopilada.</w:t>
            </w:r>
          </w:p>
        </w:tc>
      </w:tr>
    </w:tbl>
    <w:p w14:paraId="0155F7B5" w14:textId="77777777" w:rsidR="005C2951" w:rsidRPr="002A613E" w:rsidRDefault="005C2951">
      <w:pPr>
        <w:spacing w:after="0"/>
        <w:rPr>
          <w:lang w:val="fr-FR"/>
        </w:rPr>
      </w:pPr>
    </w:p>
    <w:p w14:paraId="5A0C8BAE" w14:textId="77777777" w:rsidR="005C2951" w:rsidRPr="002A613E" w:rsidRDefault="00000000">
      <w:pPr>
        <w:pStyle w:val="Heading1"/>
        <w:spacing w:before="200" w:after="80"/>
        <w:rPr>
          <w:lang w:val="fr-FR"/>
        </w:rPr>
      </w:pPr>
      <w:r>
        <w:rPr>
          <w:lang w:val="es-ES"/>
        </w:rPr>
        <w:t>10. Consejos al paciente</w:t>
      </w:r>
    </w:p>
    <w:p w14:paraId="2E578381" w14:textId="77777777" w:rsidR="005C2951" w:rsidRDefault="00000000">
      <w:pPr>
        <w:pStyle w:val="BodyText"/>
        <w:ind w:firstLine="255"/>
      </w:pPr>
      <w:r>
        <w:rPr>
          <w:lang w:val="es-ES"/>
        </w:rPr>
        <w:t>Ni siquiera el mejor tratamiento puede garantizar una mejoría duradera si no se acompaña de la participación activa del paciente y de medidas sencillas adaptadas a la situación. Los consejos suelen basarse en el sentido común:</w:t>
      </w:r>
    </w:p>
    <w:p w14:paraId="6E5CC361" w14:textId="77777777" w:rsidR="005C2951" w:rsidRPr="002A613E" w:rsidRDefault="00000000">
      <w:pPr>
        <w:pStyle w:val="ListBullet"/>
        <w:spacing w:after="50"/>
        <w:ind w:left="369" w:hanging="170"/>
        <w:rPr>
          <w:lang w:val="fr-FR"/>
        </w:rPr>
      </w:pPr>
      <w:r>
        <w:rPr>
          <w:lang w:val="es-ES"/>
        </w:rPr>
        <w:t>prever un reposo relativo y evitar esfuerzos físicos excesivos el día de la sesión;</w:t>
      </w:r>
    </w:p>
    <w:p w14:paraId="77C04012" w14:textId="77777777" w:rsidR="005C2951" w:rsidRDefault="00000000">
      <w:pPr>
        <w:pStyle w:val="ListBullet"/>
        <w:spacing w:after="50"/>
        <w:ind w:left="369" w:hanging="170"/>
      </w:pPr>
      <w:r>
        <w:rPr>
          <w:lang w:val="es-ES"/>
        </w:rPr>
        <w:t>mantener una hidratación adecuada;</w:t>
      </w:r>
    </w:p>
    <w:p w14:paraId="2566D8AB" w14:textId="77777777" w:rsidR="005C2951" w:rsidRDefault="00000000">
      <w:pPr>
        <w:pStyle w:val="ListBullet"/>
        <w:spacing w:after="50"/>
        <w:ind w:left="369" w:hanging="170"/>
      </w:pPr>
      <w:r>
        <w:rPr>
          <w:lang w:val="es-ES"/>
        </w:rPr>
        <w:t>adoptar una alimentación equilibrada;</w:t>
      </w:r>
    </w:p>
    <w:p w14:paraId="7592E1C6" w14:textId="77777777" w:rsidR="005C2951" w:rsidRDefault="00000000">
      <w:pPr>
        <w:pStyle w:val="ListBullet"/>
        <w:spacing w:after="50"/>
        <w:ind w:left="369" w:hanging="170"/>
      </w:pPr>
      <w:r>
        <w:rPr>
          <w:lang w:val="es-ES"/>
        </w:rPr>
        <w:t>mantener una actividad física regular adaptada a la capacidad actual;</w:t>
      </w:r>
    </w:p>
    <w:p w14:paraId="1EEC57FA" w14:textId="77777777" w:rsidR="005C2951" w:rsidRPr="002A613E" w:rsidRDefault="00000000">
      <w:pPr>
        <w:pStyle w:val="ListBullet"/>
        <w:spacing w:after="50"/>
        <w:ind w:left="369" w:hanging="170"/>
        <w:rPr>
          <w:lang w:val="fr-FR"/>
        </w:rPr>
      </w:pPr>
      <w:r>
        <w:rPr>
          <w:lang w:val="es-ES"/>
        </w:rPr>
        <w:t>favorecer el sueño, la recuperación y un entorno social de apoyo;</w:t>
      </w:r>
    </w:p>
    <w:p w14:paraId="6BF7CCC9" w14:textId="77777777" w:rsidR="005C2951" w:rsidRPr="002A613E" w:rsidRDefault="00000000">
      <w:pPr>
        <w:pStyle w:val="ListBullet"/>
        <w:spacing w:after="50"/>
        <w:ind w:left="369" w:hanging="170"/>
        <w:rPr>
          <w:lang w:val="fr-FR"/>
        </w:rPr>
      </w:pPr>
      <w:r>
        <w:rPr>
          <w:lang w:val="es-ES"/>
        </w:rPr>
        <w:t>participar activamente en el cuidado de la propia salud y solicitar asesoramiento médico si aparecen signos nuevos o preocupantes;</w:t>
      </w:r>
    </w:p>
    <w:p w14:paraId="1C78395A" w14:textId="77777777" w:rsidR="005C2951" w:rsidRPr="002A613E" w:rsidRDefault="00000000">
      <w:pPr>
        <w:pStyle w:val="ListBullet"/>
        <w:spacing w:after="50"/>
        <w:ind w:left="369" w:hanging="170"/>
        <w:rPr>
          <w:lang w:val="fr-FR"/>
        </w:rPr>
      </w:pPr>
      <w:r>
        <w:rPr>
          <w:lang w:val="es-ES"/>
        </w:rPr>
        <w:t>registrar los cambios en el síntoma principal, el dolor, el sueño, la función intestinal, la vitalidad y la capacidad funcional;</w:t>
      </w:r>
    </w:p>
    <w:p w14:paraId="4B3CEEC3" w14:textId="77777777" w:rsidR="005C2951" w:rsidRPr="002A613E" w:rsidRDefault="00000000">
      <w:pPr>
        <w:pStyle w:val="ListBullet"/>
        <w:spacing w:after="50"/>
        <w:ind w:left="369" w:hanging="170"/>
        <w:rPr>
          <w:lang w:val="fr-FR"/>
        </w:rPr>
      </w:pPr>
      <w:r>
        <w:rPr>
          <w:lang w:val="es-ES"/>
        </w:rPr>
        <w:t>comunicar estos hallazgos al profesional para ayudar a documentar los efectos de la sesión y orientar el tratamiento posterior.</w:t>
      </w:r>
    </w:p>
    <w:tbl>
      <w:tblPr>
        <w:tblW w:w="0" w:type="auto"/>
        <w:jc w:val="center"/>
        <w:tblLook w:val="04A0" w:firstRow="1" w:lastRow="0" w:firstColumn="1" w:lastColumn="0" w:noHBand="0" w:noVBand="1"/>
      </w:tblPr>
      <w:tblGrid>
        <w:gridCol w:w="9915"/>
      </w:tblGrid>
      <w:tr w:rsidR="005C2951" w:rsidRPr="002A613E" w14:paraId="58DEEA6D" w14:textId="77777777">
        <w:trPr>
          <w:cantSplit/>
          <w:jc w:val="center"/>
        </w:trPr>
        <w:tc>
          <w:tcPr>
            <w:tcW w:w="9915" w:type="dxa"/>
            <w:tcBorders>
              <w:top w:val="nil"/>
              <w:left w:val="single" w:sz="18" w:space="0" w:color="3E6F70"/>
              <w:bottom w:val="nil"/>
              <w:right w:val="nil"/>
            </w:tcBorders>
            <w:shd w:val="clear" w:color="auto" w:fill="EEF3F0"/>
            <w:tcMar>
              <w:top w:w="150" w:type="dxa"/>
              <w:left w:w="220" w:type="dxa"/>
              <w:bottom w:w="150" w:type="dxa"/>
              <w:right w:w="220" w:type="dxa"/>
            </w:tcMar>
            <w:vAlign w:val="center"/>
          </w:tcPr>
          <w:p w14:paraId="7BA08A19" w14:textId="77777777" w:rsidR="005C2951" w:rsidRPr="002A613E" w:rsidRDefault="00000000">
            <w:pPr>
              <w:rPr>
                <w:lang w:val="fr-FR"/>
              </w:rPr>
            </w:pPr>
            <w:r>
              <w:rPr>
                <w:lang w:val="es-ES"/>
              </w:rPr>
              <w:t>Resumen práctico</w:t>
            </w:r>
            <w:r>
              <w:rPr>
                <w:lang w:val="es-ES"/>
              </w:rPr>
              <w:br/>
              <w:t>Antes de la sesión: definir el síntoma principal y su nivel basal.</w:t>
            </w:r>
            <w:r>
              <w:rPr>
                <w:lang w:val="es-ES"/>
              </w:rPr>
              <w:br/>
              <w:t>Después de la sesión: observar las reacciones y documentar la evolución.</w:t>
            </w:r>
            <w:r>
              <w:rPr>
                <w:lang w:val="es-ES"/>
              </w:rPr>
              <w:br/>
              <w:t>Los días 3–4: decidir si se finaliza, se realiza otra sesión o se reevalúa.</w:t>
            </w:r>
            <w:r>
              <w:rPr>
                <w:lang w:val="es-ES"/>
              </w:rPr>
              <w:br/>
              <w:t>Tras tres sesiones sin mejoría: reconsiderar la indicación y, si es necesario, derivar al paciente.</w:t>
            </w:r>
          </w:p>
        </w:tc>
      </w:tr>
    </w:tbl>
    <w:p w14:paraId="7AD42F7C" w14:textId="77777777" w:rsidR="005C2951" w:rsidRPr="002A613E" w:rsidRDefault="005C2951">
      <w:pPr>
        <w:spacing w:after="0"/>
        <w:rPr>
          <w:lang w:val="fr-FR"/>
        </w:rPr>
      </w:pPr>
    </w:p>
    <w:p w14:paraId="392EAAB9" w14:textId="77777777" w:rsidR="005C2951" w:rsidRDefault="00000000">
      <w:pPr>
        <w:spacing w:before="200" w:after="0"/>
        <w:jc w:val="center"/>
      </w:pPr>
      <w:r>
        <w:rPr>
          <w:lang w:val="es-ES"/>
        </w:rPr>
        <w:t>Principio rector: observar, medir, reevaluar.</w:t>
      </w:r>
    </w:p>
    <w:p w14:paraId="4E584CA7" w14:textId="77777777" w:rsidR="005C2951" w:rsidRDefault="00000000">
      <w:pPr>
        <w:pStyle w:val="Heading1"/>
      </w:pPr>
      <w:r>
        <w:t>Referencias bibliográficas</w:t>
      </w:r>
    </w:p>
    <w:p w14:paraId="2C818D84" w14:textId="77777777" w:rsidR="005C2951" w:rsidRDefault="00000000">
      <w:pPr>
        <w:pStyle w:val="BodyText"/>
      </w:pPr>
      <w:r>
        <w:t>1. Standring S, ed. Gray’s Anatomy: The Anatomical Basis of Clinical Practice. 42nd ed. Elsevier; 2020.</w:t>
      </w:r>
    </w:p>
    <w:p w14:paraId="011EDB8C" w14:textId="77777777" w:rsidR="005C2951" w:rsidRPr="002A613E" w:rsidRDefault="00000000">
      <w:pPr>
        <w:pStyle w:val="BodyText"/>
        <w:rPr>
          <w:lang w:val="fr-FR"/>
        </w:rPr>
      </w:pPr>
      <w:r>
        <w:t xml:space="preserve">2. Abraira VE, Ginty DD. The sensory neurons of touch. </w:t>
      </w:r>
      <w:r w:rsidRPr="002A613E">
        <w:rPr>
          <w:lang w:val="fr-FR"/>
        </w:rPr>
        <w:t>Neuron. 2013;79(4):618–639. doi:10.1016/j.neuron.2013.07.051.</w:t>
      </w:r>
    </w:p>
    <w:p w14:paraId="17D92E21" w14:textId="77777777" w:rsidR="005C2951" w:rsidRDefault="00000000">
      <w:pPr>
        <w:pStyle w:val="BodyText"/>
      </w:pPr>
      <w:r w:rsidRPr="002A613E">
        <w:rPr>
          <w:lang w:val="fr-FR"/>
        </w:rPr>
        <w:t xml:space="preserve">3. Johnson JM, Minson CT, Kellogg DL Jr. </w:t>
      </w:r>
      <w:r>
        <w:t>Cutaneous vasodilator and vasoconstrictor mechanisms in temperature regulation. Compr Physiol. 2014;4(1):33–89. doi:10.1002/cphy.c130015.</w:t>
      </w:r>
    </w:p>
    <w:p w14:paraId="01CB582C" w14:textId="77777777" w:rsidR="005C2951" w:rsidRDefault="00000000">
      <w:pPr>
        <w:pStyle w:val="BodyText"/>
      </w:pPr>
      <w:r>
        <w:lastRenderedPageBreak/>
        <w:t>4. Melzack R, Wall PD. Pain mechanisms: a new theory. Science. 1965;150(3699):971–979. doi:10.1126/science.150.3699.971.</w:t>
      </w:r>
    </w:p>
    <w:p w14:paraId="71024717" w14:textId="77777777" w:rsidR="005C2951" w:rsidRDefault="00000000">
      <w:pPr>
        <w:pStyle w:val="BodyText"/>
      </w:pPr>
      <w:r>
        <w:t>5. Vallbo Å, Olausson H, Wessberg J, Norrsell U. A system of unmyelinated afferents for innocuous mechanoreception in the human skin. Brain Res. 1993;628(1–2):301–304. doi:10.1016/0006-8993(93)90968-S.</w:t>
      </w:r>
    </w:p>
    <w:p w14:paraId="7F6E4144" w14:textId="77777777" w:rsidR="005C2951" w:rsidRDefault="00000000">
      <w:pPr>
        <w:pStyle w:val="BodyText"/>
      </w:pPr>
      <w:r>
        <w:t>6. Löken LS, Wessberg J, Morrison I, McGlone F, Olausson H. Coding of pleasant touch by unmyelinated afferents in humans. Nat Neurosci. 2009;12(5):547–548. doi:10.1038/nn.2312.</w:t>
      </w:r>
    </w:p>
    <w:p w14:paraId="43CAC943" w14:textId="77777777" w:rsidR="005C2951" w:rsidRDefault="00000000">
      <w:pPr>
        <w:pStyle w:val="BodyText"/>
      </w:pPr>
      <w:r>
        <w:t>7. Ackerley R, Backlund Wasling H, Liljencrantz J, Olausson H, Johnson RD, Wessberg J. Human C-tactile afferents are tuned to the temperature of a skin-stroking caress. J Neurosci. 2014;34(8):2879–2883. doi:10.1523/JNEUROSCI.2847-13.2014.</w:t>
      </w:r>
    </w:p>
    <w:sectPr w:rsidR="005C2951">
      <w:headerReference w:type="default" r:id="rId8"/>
      <w:footerReference w:type="default" r:id="rId9"/>
      <w:pgSz w:w="12240" w:h="15840"/>
      <w:pgMar w:top="1020" w:right="1134" w:bottom="964"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154F" w14:textId="77777777" w:rsidR="005D5F31" w:rsidRDefault="005D5F31">
      <w:pPr>
        <w:spacing w:after="0" w:line="240" w:lineRule="auto"/>
      </w:pPr>
      <w:r>
        <w:separator/>
      </w:r>
    </w:p>
  </w:endnote>
  <w:endnote w:type="continuationSeparator" w:id="0">
    <w:p w14:paraId="17213558" w14:textId="77777777" w:rsidR="005D5F31" w:rsidRDefault="005D5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E203" w14:textId="77777777" w:rsidR="005C2951" w:rsidRDefault="00000000">
    <w:pPr>
      <w:pStyle w:val="Footer"/>
      <w:jc w:val="center"/>
    </w:pPr>
    <w:r>
      <w:rPr>
        <w:color w:val="7A807D"/>
        <w:sz w:val="17"/>
      </w:rPr>
      <w:fldChar w:fldCharType="begin"/>
    </w:r>
    <w:r>
      <w:rPr>
        <w:color w:val="7A807D"/>
        <w:sz w:val="17"/>
      </w:rPr>
      <w:instrText xml:space="preserve"> PAGE </w:instrText>
    </w:r>
    <w:r w:rsidR="002A613E">
      <w:rPr>
        <w:color w:val="7A807D"/>
        <w:sz w:val="17"/>
      </w:rPr>
      <w:fldChar w:fldCharType="separate"/>
    </w:r>
    <w:r w:rsidR="002A613E">
      <w:rPr>
        <w:noProof/>
        <w:color w:val="7A807D"/>
        <w:sz w:val="17"/>
      </w:rPr>
      <w:t>1</w:t>
    </w:r>
    <w:r>
      <w:rPr>
        <w:color w:val="7A807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917C5" w14:textId="77777777" w:rsidR="005D5F31" w:rsidRDefault="005D5F31">
      <w:pPr>
        <w:spacing w:after="0" w:line="240" w:lineRule="auto"/>
      </w:pPr>
      <w:r>
        <w:separator/>
      </w:r>
    </w:p>
  </w:footnote>
  <w:footnote w:type="continuationSeparator" w:id="0">
    <w:p w14:paraId="470FFE92" w14:textId="77777777" w:rsidR="005D5F31" w:rsidRDefault="005D5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1B3E" w14:textId="77777777" w:rsidR="005C2951" w:rsidRDefault="00000000">
    <w:pPr>
      <w:pStyle w:val="Header"/>
      <w:jc w:val="right"/>
    </w:pPr>
    <w:r>
      <w:rPr>
        <w:color w:val="7A807D"/>
        <w:sz w:val="16"/>
      </w:rPr>
      <w:t>CHAPITRE 2  |  TRAITEMENT PAR LA ROP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997158">
    <w:abstractNumId w:val="8"/>
  </w:num>
  <w:num w:numId="2" w16cid:durableId="775101908">
    <w:abstractNumId w:val="6"/>
  </w:num>
  <w:num w:numId="3" w16cid:durableId="650595762">
    <w:abstractNumId w:val="5"/>
  </w:num>
  <w:num w:numId="4" w16cid:durableId="270817793">
    <w:abstractNumId w:val="4"/>
  </w:num>
  <w:num w:numId="5" w16cid:durableId="1299341032">
    <w:abstractNumId w:val="7"/>
  </w:num>
  <w:num w:numId="6" w16cid:durableId="502010915">
    <w:abstractNumId w:val="3"/>
  </w:num>
  <w:num w:numId="7" w16cid:durableId="1534538436">
    <w:abstractNumId w:val="2"/>
  </w:num>
  <w:num w:numId="8" w16cid:durableId="1774935850">
    <w:abstractNumId w:val="1"/>
  </w:num>
  <w:num w:numId="9" w16cid:durableId="44886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13E"/>
    <w:rsid w:val="00326F90"/>
    <w:rsid w:val="005C2951"/>
    <w:rsid w:val="005D5F31"/>
    <w:rsid w:val="007267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9DA4B"/>
  <w14:defaultImageDpi w14:val="300"/>
  <w15:docId w15:val="{9712AB5D-B72F-4986-8C91-1AC77947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02426"/>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ptos" w:hAnsi="Aptos"/>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ptos" w:hAnsi="Aptos"/>
    </w:rPr>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style>
  <w:style w:type="character" w:customStyle="1" w:styleId="BodyTextChar">
    <w:name w:val="Body Text Char"/>
    <w:basedOn w:val="DefaultParagraphFont"/>
    <w:link w:val="BodyText"/>
    <w:uiPriority w:val="99"/>
    <w:rsid w:val="00AA1D8D"/>
    <w:rPr>
      <w:rFonts w:ascii="Aptos" w:hAnsi="Aptos"/>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ptos" w:hAnsi="Aptos"/>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ptos" w:hAnsi="Aptos"/>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sz w:val="20"/>
    </w:rPr>
  </w:style>
  <w:style w:type="paragraph" w:styleId="ListBullet2">
    <w:name w:val="List Bullet 2"/>
    <w:basedOn w:val="Normal"/>
    <w:uiPriority w:val="99"/>
    <w:unhideWhenUsed/>
    <w:rsid w:val="00326F90"/>
    <w:pPr>
      <w:numPr>
        <w:numId w:val="2"/>
      </w:numPr>
      <w:spacing w:line="259"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sz w:val="20"/>
    </w:rPr>
  </w:style>
  <w:style w:type="paragraph" w:styleId="ListNumber2">
    <w:name w:val="List Number 2"/>
    <w:basedOn w:val="Normal"/>
    <w:uiPriority w:val="99"/>
    <w:unhideWhenUsed/>
    <w:rsid w:val="0029639D"/>
    <w:pPr>
      <w:numPr>
        <w:numId w:val="6"/>
      </w:numPr>
      <w:spacing w:line="259" w:lineRule="auto"/>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ptos" w:hAnsi="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40" w:line="240" w:lineRule="auto"/>
    </w:pPr>
    <w:rPr>
      <w:b/>
      <w:bCs/>
      <w:color w:val="7A807D"/>
      <w:sz w:val="17"/>
      <w:szCs w:val="18"/>
    </w:rPr>
  </w:style>
  <w:style w:type="character" w:styleId="Strong">
    <w:name w:val="Strong"/>
    <w:basedOn w:val="DefaultParagraphFont"/>
    <w:uiPriority w:val="22"/>
    <w:qFormat/>
    <w:rsid w:val="00FC693F"/>
    <w:rPr>
      <w:rFonts w:ascii="Aptos" w:hAnsi="Aptos"/>
      <w:b/>
      <w:bCs/>
    </w:rPr>
  </w:style>
  <w:style w:type="character" w:styleId="Emphasis">
    <w:name w:val="Emphasis"/>
    <w:basedOn w:val="DefaultParagraphFont"/>
    <w:uiPriority w:val="20"/>
    <w:qFormat/>
    <w:rsid w:val="00FC693F"/>
    <w:rPr>
      <w:rFonts w:ascii="Aptos" w:hAnsi="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b/>
      <w:bCs/>
      <w:i/>
      <w:iCs/>
      <w:color w:val="4F81BD" w:themeColor="accent1"/>
    </w:rPr>
  </w:style>
  <w:style w:type="character" w:styleId="SubtleEmphasis">
    <w:name w:val="Subtle Emphasis"/>
    <w:basedOn w:val="DefaultParagraphFont"/>
    <w:uiPriority w:val="19"/>
    <w:qFormat/>
    <w:rsid w:val="00FC693F"/>
    <w:rPr>
      <w:rFonts w:ascii="Aptos" w:hAnsi="Aptos"/>
      <w:i/>
      <w:iCs/>
      <w:color w:val="808080" w:themeColor="text1" w:themeTint="7F"/>
    </w:rPr>
  </w:style>
  <w:style w:type="character" w:styleId="IntenseEmphasis">
    <w:name w:val="Intense Emphasis"/>
    <w:basedOn w:val="DefaultParagraphFont"/>
    <w:uiPriority w:val="21"/>
    <w:qFormat/>
    <w:rsid w:val="00FC693F"/>
    <w:rPr>
      <w:rFonts w:ascii="Aptos" w:hAnsi="Aptos"/>
      <w:b/>
      <w:bCs/>
      <w:i/>
      <w:iCs/>
      <w:color w:val="4F81BD" w:themeColor="accent1"/>
    </w:rPr>
  </w:style>
  <w:style w:type="character" w:styleId="SubtleReference">
    <w:name w:val="Subtle Reference"/>
    <w:basedOn w:val="DefaultParagraphFont"/>
    <w:uiPriority w:val="31"/>
    <w:qFormat/>
    <w:rsid w:val="00FC693F"/>
    <w:rPr>
      <w:rFonts w:ascii="Aptos" w:hAnsi="Aptos"/>
      <w:smallCaps/>
      <w:color w:val="C0504D" w:themeColor="accent2"/>
      <w:u w:val="single"/>
    </w:rPr>
  </w:style>
  <w:style w:type="character" w:styleId="IntenseReference">
    <w:name w:val="Intense Reference"/>
    <w:basedOn w:val="DefaultParagraphFont"/>
    <w:uiPriority w:val="32"/>
    <w:qFormat/>
    <w:rsid w:val="00FC693F"/>
    <w:rPr>
      <w:rFonts w:ascii="Aptos" w:hAnsi="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rPr>
      <w:rFonts w:ascii="Aptos" w:hAnsi="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ptos" w:hAnsi="Apto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5321</Words>
  <Characters>30333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Tratamiento mediante reflexoterapia occipitopodal (ROP), versión revisada</dc:title>
  <dc:subject>Traducción al español médico</dc:subject>
  <dc:creator/>
  <cp:keywords>ROP, Réflexothérapie Occipito-Podale, traitement, pratique clinique</cp:keywords>
  <dc:description/>
  <cp:lastModifiedBy>Nicolas Boitout</cp:lastModifiedBy>
  <cp:revision>2</cp:revision>
  <dcterms:created xsi:type="dcterms:W3CDTF">2013-12-23T23:15:00Z</dcterms:created>
  <dcterms:modified xsi:type="dcterms:W3CDTF">2026-09-11T15:08:00Z</dcterms:modified>
  <cp:category/>
</cp:coreProperties>
</file>