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79D" w:rsidRDefault="00EF279D" w:rsidP="00EF279D">
      <w:pPr>
        <w:jc w:val="both"/>
        <w:rPr>
          <w:rFonts w:ascii="Times New Roman" w:hAnsi="Times New Roman" w:cs="Times New Roman"/>
          <w:sz w:val="24"/>
          <w:szCs w:val="24"/>
        </w:rPr>
      </w:pPr>
      <w:r/>
    </w:p>
    <w:p w:rsidR="00036880" w:rsidRDefault="00036880" w:rsidP="00EF279D">
      <w:pPr>
        <w:pStyle w:val="Titre"/>
        <w:jc w:val="center"/>
      </w:pPr>
      <w:r>
        <w:t>Chapitre 20</w:t>
      </w:r>
    </w:p>
    <w:p w:rsidR="00EF279D" w:rsidRDefault="004F50C3" w:rsidP="00EF279D">
      <w:pPr>
        <w:pStyle w:val="Titre"/>
        <w:jc w:val="center"/>
      </w:pPr>
      <w:r>
        <w:t>Les organes génitaux masculins</w:t>
      </w:r>
    </w:p>
    <w:p w:rsidR="00EF279D" w:rsidRPr="00502559" w:rsidRDefault="00AD434B" w:rsidP="000D68A4">
      <w:pPr>
        <w:pStyle w:val="Titre1"/>
        <w:numPr>
          <w:ilvl w:val="0"/>
          <w:numId w:val="35"/>
        </w:numPr>
        <w:rPr>
          <w:color w:val="auto"/>
        </w:rPr>
      </w:pPr>
      <w:r>
        <w:t xml:space="preserve">Présentation </w:t>
      </w:r>
    </w:p>
    <w:p w:rsidR="00F0502B" w:rsidRPr="00F80994" w:rsidRDefault="00F0502B" w:rsidP="00F0502B">
      <w:pPr>
        <w:pStyle w:val="Paragraphedeliste"/>
        <w:jc w:val="both"/>
        <w:rPr>
          <w:rFonts w:ascii="Times New Roman" w:hAnsi="Times New Roman" w:cs="Times New Roman"/>
          <w:sz w:val="24"/>
          <w:szCs w:val="24"/>
        </w:rPr>
      </w:pPr>
      <w:r>
        <w:t>Vers la soixantaine, la prostate grossit par déséquilibre hormonal et exerce plus de pression sur l’urètre et la vessie. C’est alors que beaucoup d’hommes commencent à avoir des ennuis urinaires dont les répercussions atteignent aussi leur vie sexuelle et psycho-émotionnelle.</w:t>
      </w:r>
    </w:p>
    <w:p w:rsidR="00410996" w:rsidRPr="00F80994" w:rsidRDefault="00F0502B" w:rsidP="00410996">
      <w:pPr>
        <w:pStyle w:val="Paragraphedeliste"/>
        <w:jc w:val="both"/>
        <w:rPr>
          <w:rFonts w:ascii="Times New Roman" w:hAnsi="Times New Roman" w:cs="Times New Roman"/>
          <w:sz w:val="24"/>
          <w:szCs w:val="24"/>
        </w:rPr>
      </w:pPr>
      <w:r>
        <w:t xml:space="preserve"> La prostate fournit aussi son lot de troubles de la statique pelvienne, lombo-sciatalgies ou périnéalgies qui peuvent cacher une dysfonction vésico-prostatique et qui sont accentués par la sédentarité, l’obésité et une mauvaise hygiène de vie.</w:t>
      </w:r>
    </w:p>
    <w:p w:rsidR="00F0502B" w:rsidRPr="00F80994" w:rsidRDefault="00410996" w:rsidP="00F0502B">
      <w:pPr>
        <w:pStyle w:val="Paragraphedeliste"/>
        <w:jc w:val="both"/>
        <w:rPr>
          <w:rFonts w:ascii="Times New Roman" w:hAnsi="Times New Roman" w:cs="Times New Roman"/>
          <w:sz w:val="24"/>
          <w:szCs w:val="24"/>
        </w:rPr>
      </w:pPr>
      <w:r>
        <w:t>Plus que les femmes, parler de « ces choses-là » pour la plupart des hommes est encore souvent difficile. La chirurgie et les traitements médicamenteux ne  sont pas sans risques car ils entraînent des effets secondaires mal vécus: impuissance, incontinence et éjaculation rétrograde.</w:t>
      </w:r>
    </w:p>
    <w:p w:rsidR="00F0502B" w:rsidRPr="00F80994" w:rsidRDefault="00F0502B" w:rsidP="00F0502B">
      <w:pPr>
        <w:pStyle w:val="Paragraphedeliste"/>
        <w:jc w:val="both"/>
        <w:rPr>
          <w:rFonts w:ascii="Times New Roman" w:hAnsi="Times New Roman" w:cs="Times New Roman"/>
          <w:sz w:val="24"/>
          <w:szCs w:val="24"/>
        </w:rPr>
      </w:pPr>
      <w:r>
        <w:t>La ROP peut contribuer à diminuer les conséquences des problèmes prostatiques à condition que le patient  associe une bonne hygiène de vie. La ROP est sans effets iatrogènes et préserve la pudeur des hommes par notre action à distance.</w:t>
      </w:r>
    </w:p>
    <w:p w:rsidR="00466065" w:rsidRPr="00F80994" w:rsidRDefault="00466065" w:rsidP="00F0502B">
      <w:pPr>
        <w:pStyle w:val="Paragraphedeliste"/>
        <w:jc w:val="both"/>
        <w:rPr>
          <w:rFonts w:ascii="Times New Roman" w:hAnsi="Times New Roman" w:cs="Times New Roman"/>
          <w:sz w:val="24"/>
          <w:szCs w:val="24"/>
        </w:rPr>
      </w:pPr>
      <w:r/>
    </w:p>
    <w:p w:rsidR="00466065" w:rsidRDefault="00BC673B" w:rsidP="000D68A4">
      <w:pPr>
        <w:pStyle w:val="Paragraphedeliste"/>
        <w:numPr>
          <w:ilvl w:val="0"/>
          <w:numId w:val="18"/>
        </w:numPr>
        <w:jc w:val="both"/>
        <w:rPr>
          <w:rFonts w:ascii="Times New Roman" w:hAnsi="Times New Roman" w:cs="Times New Roman"/>
          <w:sz w:val="24"/>
          <w:szCs w:val="24"/>
        </w:rPr>
      </w:pPr>
      <w:r>
        <w:t xml:space="preserve">Appareil de reproduction de l’homme: il comprend: les testicules, les épididymes, les conduits déférents, les vésicules séminales, les conduits éjaculateurs, la prostate, l’urètre et le pénis. (figure 20.1) </w:t>
      </w:r>
    </w:p>
    <w:p w:rsidR="00AD434B" w:rsidRPr="00F80994" w:rsidRDefault="00AD434B" w:rsidP="00AD434B">
      <w:pPr>
        <w:pStyle w:val="Paragraphedeliste"/>
        <w:ind w:left="1069"/>
        <w:jc w:val="both"/>
        <w:rPr>
          <w:rFonts w:ascii="Times New Roman" w:hAnsi="Times New Roman" w:cs="Times New Roman"/>
          <w:sz w:val="24"/>
          <w:szCs w:val="24"/>
        </w:rPr>
      </w:pPr>
      <w:r/>
    </w:p>
    <w:p w:rsidR="001F647A" w:rsidRPr="007F1261" w:rsidRDefault="00EF279D" w:rsidP="000D68A4">
      <w:pPr>
        <w:pStyle w:val="Titre1"/>
        <w:numPr>
          <w:ilvl w:val="0"/>
          <w:numId w:val="35"/>
        </w:numPr>
        <w:rPr>
          <w:color w:val="auto"/>
          <w:szCs w:val="24"/>
        </w:rPr>
      </w:pPr>
      <w:r>
        <w:t xml:space="preserve">Situation </w:t>
      </w:r>
    </w:p>
    <w:p w:rsidR="00941F4C" w:rsidRPr="00F80994" w:rsidRDefault="001F647A" w:rsidP="000D68A4">
      <w:pPr>
        <w:pStyle w:val="Paragraphedeliste"/>
        <w:numPr>
          <w:ilvl w:val="0"/>
          <w:numId w:val="1"/>
        </w:numPr>
        <w:jc w:val="both"/>
        <w:rPr>
          <w:rFonts w:ascii="Times New Roman" w:hAnsi="Times New Roman" w:cs="Times New Roman"/>
          <w:sz w:val="24"/>
          <w:szCs w:val="24"/>
        </w:rPr>
      </w:pPr>
      <w:r>
        <w:t>Migration embryonnaire des gonades dans les deux sexes: les gonades se forment près des reins. A partir du 3ème mois de gestation,  les gonades guidées par un cordon tissulaire, le gubernaculum (figure 20.2. A.), migrent depuis la paroi abdominale postérieure vers l’entrée du canal inguinal:</w:t>
      </w:r>
    </w:p>
    <w:p w:rsidR="00941F4C" w:rsidRPr="00F80994" w:rsidRDefault="00941F4C" w:rsidP="000D68A4">
      <w:pPr>
        <w:pStyle w:val="Paragraphedeliste"/>
        <w:numPr>
          <w:ilvl w:val="0"/>
          <w:numId w:val="17"/>
        </w:numPr>
        <w:jc w:val="both"/>
        <w:rPr>
          <w:rFonts w:ascii="Times New Roman" w:hAnsi="Times New Roman" w:cs="Times New Roman"/>
          <w:sz w:val="24"/>
          <w:szCs w:val="24"/>
        </w:rPr>
      </w:pPr>
      <w:r>
        <w:t>Chez la femme: seul le ligament rond qui est un reliquat du gubernaculum, continue sa migration à travers du canal inguinal.</w:t>
      </w:r>
    </w:p>
    <w:p w:rsidR="00AD434B" w:rsidRDefault="00941F4C" w:rsidP="000D68A4">
      <w:pPr>
        <w:pStyle w:val="Paragraphedeliste"/>
        <w:numPr>
          <w:ilvl w:val="0"/>
          <w:numId w:val="17"/>
        </w:numPr>
        <w:jc w:val="both"/>
        <w:rPr>
          <w:rFonts w:ascii="Times New Roman" w:hAnsi="Times New Roman" w:cs="Times New Roman"/>
          <w:sz w:val="24"/>
          <w:szCs w:val="24"/>
        </w:rPr>
      </w:pPr>
      <w:r>
        <w:t xml:space="preserve"> Chez l’homme, les testicules continuent à migrer dans le canal inguinal  (figure 20.3), en entraînant avec eux artères, veines, lymphatiques, nerfs et le canal déférent. Les testicules atteignent l’orifice profond du canal inguinal autour du 6ème mois, franchissent le canal durant le 7ème mois et atteignent leur position intra-scrotale définitive vers la fin du 8ème mois. Cette migration est réglée par le système hormonal, la croissance du fœtus et l’augmentation de poids des testicules.</w:t>
      </w:r>
    </w:p>
    <w:p w:rsidR="00EF279D" w:rsidRPr="00F80994" w:rsidRDefault="00EF279D" w:rsidP="00AD434B">
      <w:pPr>
        <w:pStyle w:val="Paragraphedeliste"/>
        <w:ind w:left="1211"/>
        <w:jc w:val="both"/>
        <w:rPr>
          <w:rFonts w:ascii="Times New Roman" w:hAnsi="Times New Roman" w:cs="Times New Roman"/>
          <w:sz w:val="24"/>
          <w:szCs w:val="24"/>
        </w:rPr>
      </w:pPr>
      <w:r>
        <w:t xml:space="preserve"> Les anomalies sont fréquentes, allant de l’ectopie simple inguino-scrotale à la cryptorchidie pelvienne, iliaque ou lombale, causes de stérilité ou de cancer.</w:t>
      </w:r>
    </w:p>
    <w:p w:rsidR="00560949" w:rsidRPr="00F80994" w:rsidRDefault="00322441" w:rsidP="000D68A4">
      <w:pPr>
        <w:pStyle w:val="Paragraphedeliste"/>
        <w:numPr>
          <w:ilvl w:val="0"/>
          <w:numId w:val="1"/>
        </w:numPr>
        <w:jc w:val="both"/>
        <w:rPr>
          <w:rFonts w:ascii="Times New Roman" w:hAnsi="Times New Roman" w:cs="Times New Roman"/>
          <w:sz w:val="24"/>
          <w:szCs w:val="24"/>
        </w:rPr>
      </w:pPr>
      <w:r>
        <w:t xml:space="preserve">Testicules: ils sont situés à l'extérieur de la cavité pelvienne, dans le scrotum (ou bourse) sous le périnée, afin d'être à une température inférieure à celle de l'abdomen (2 °C en moins). </w:t>
      </w:r>
    </w:p>
    <w:p w:rsidR="00AD434B" w:rsidRPr="00AD434B" w:rsidRDefault="00E17A03" w:rsidP="00AD434B">
      <w:pPr>
        <w:pStyle w:val="Paragraphedeliste"/>
        <w:ind w:left="927"/>
        <w:jc w:val="both"/>
        <w:rPr>
          <w:rFonts w:ascii="Times New Roman" w:hAnsi="Times New Roman" w:cs="Times New Roman"/>
          <w:sz w:val="24"/>
          <w:szCs w:val="24"/>
        </w:rPr>
      </w:pPr>
      <w:r>
        <w:t xml:space="preserve">Intérêt en ROP </w:t>
      </w:r>
    </w:p>
    <w:p w:rsidR="00E17A03" w:rsidRPr="00F80994" w:rsidRDefault="00AD434B" w:rsidP="00AD434B">
      <w:pPr>
        <w:pStyle w:val="Paragraphedeliste"/>
        <w:ind w:left="927"/>
        <w:jc w:val="both"/>
        <w:rPr>
          <w:rFonts w:ascii="Times New Roman" w:hAnsi="Times New Roman" w:cs="Times New Roman"/>
          <w:sz w:val="24"/>
          <w:szCs w:val="24"/>
        </w:rPr>
      </w:pPr>
      <w:r>
        <w:t xml:space="preserve"> La même zone réflexe des ovaires et des testicules s’explique par leur migration embryologique commune jusqu’à la cavité pelvienne.</w:t>
      </w:r>
    </w:p>
    <w:p w:rsidR="00C152BD" w:rsidRPr="00AD434B" w:rsidRDefault="00C152BD" w:rsidP="000D68A4">
      <w:pPr>
        <w:pStyle w:val="Paragraphedeliste"/>
        <w:numPr>
          <w:ilvl w:val="0"/>
          <w:numId w:val="1"/>
        </w:numPr>
        <w:jc w:val="both"/>
        <w:rPr>
          <w:rFonts w:ascii="Times New Roman" w:hAnsi="Times New Roman" w:cs="Times New Roman"/>
          <w:b/>
          <w:sz w:val="24"/>
          <w:szCs w:val="24"/>
        </w:rPr>
      </w:pPr>
      <w:r>
        <w:t>Prostate: elle est  profondément située dans la cavité pelvienne, entre le trigone et le col de la vessie, au-dessus, le muscle transverse profond du périnée, au-dessous, 2 à 3 cm en arrière de la symphyse pubienne et en avant de l’ampoule rectale. (figure 20.1)</w:t>
      </w:r>
    </w:p>
    <w:p w:rsidR="00EF279D" w:rsidRPr="007F1261" w:rsidRDefault="00EF279D" w:rsidP="000D68A4">
      <w:pPr>
        <w:pStyle w:val="Titre1"/>
        <w:numPr>
          <w:ilvl w:val="0"/>
          <w:numId w:val="35"/>
        </w:numPr>
        <w:rPr>
          <w:color w:val="auto"/>
        </w:rPr>
      </w:pPr>
      <w:r>
        <w:t xml:space="preserve">Anatomie  </w:t>
      </w:r>
    </w:p>
    <w:p w:rsidR="00EB3465" w:rsidRPr="00F80994" w:rsidRDefault="00634AB5" w:rsidP="000D68A4">
      <w:pPr>
        <w:pStyle w:val="Paragraphedeliste"/>
        <w:numPr>
          <w:ilvl w:val="0"/>
          <w:numId w:val="26"/>
        </w:numPr>
        <w:jc w:val="both"/>
        <w:rPr>
          <w:rFonts w:ascii="Times New Roman" w:hAnsi="Times New Roman" w:cs="Times New Roman"/>
          <w:sz w:val="24"/>
          <w:szCs w:val="24"/>
        </w:rPr>
      </w:pPr>
      <w:r>
        <w:t>Testicules: dans le scrotum, ils sont le lieu de formation de spermatozoïdes et le siège de sécrétions hormonales: la testostérone.</w:t>
      </w:r>
    </w:p>
    <w:p w:rsidR="00EB3465" w:rsidRPr="00F80994" w:rsidRDefault="00634AB5" w:rsidP="005443C7">
      <w:pPr>
        <w:pStyle w:val="Paragraphedeliste"/>
        <w:ind w:left="1353"/>
        <w:jc w:val="both"/>
        <w:rPr>
          <w:rFonts w:ascii="Times New Roman" w:hAnsi="Times New Roman" w:cs="Times New Roman"/>
          <w:sz w:val="24"/>
          <w:szCs w:val="24"/>
        </w:rPr>
      </w:pPr>
      <w:r>
        <w:t xml:space="preserve"> De forme ovoïde de 5 cm de long chez l’adulte, le testicule est recouvert par une membrane résistante, l’albuginée. Il est entouré par une gaine, le processus vaginal  (figure 20.4). Sa constitution interne  comprend des lobules contenant 400 à 600 canalicules séminifères, lieu de production et de maturation des spermatozoïdes (spermatogenèse). Ces canalicules débouchent, au pôle supérieur du testicule, dans le canal de l’épididyme.</w:t>
      </w:r>
    </w:p>
    <w:p w:rsidR="00EB3465" w:rsidRPr="00F80994" w:rsidRDefault="00EB3465" w:rsidP="000D68A4">
      <w:pPr>
        <w:pStyle w:val="Paragraphedeliste"/>
        <w:numPr>
          <w:ilvl w:val="0"/>
          <w:numId w:val="19"/>
        </w:numPr>
        <w:jc w:val="both"/>
        <w:rPr>
          <w:rFonts w:ascii="Times New Roman" w:hAnsi="Times New Roman" w:cs="Times New Roman"/>
          <w:sz w:val="24"/>
          <w:szCs w:val="24"/>
        </w:rPr>
      </w:pPr>
      <w:r>
        <w:t>Epididyme: il  emmagasine les spermatozoïdes qui acquièrent leur capacité de se mouvoir et de fertiliser un ovule. il coiffe le testicule et descend jusqu’au pôle inférieur auquel fait suite le conduit déférent.</w:t>
      </w:r>
    </w:p>
    <w:p w:rsidR="00276DC5" w:rsidRPr="00F80994" w:rsidRDefault="00EB3465" w:rsidP="000D68A4">
      <w:pPr>
        <w:pStyle w:val="Paragraphedeliste"/>
        <w:numPr>
          <w:ilvl w:val="0"/>
          <w:numId w:val="19"/>
        </w:numPr>
        <w:jc w:val="both"/>
        <w:rPr>
          <w:rFonts w:ascii="Times New Roman" w:hAnsi="Times New Roman" w:cs="Times New Roman"/>
          <w:sz w:val="24"/>
          <w:szCs w:val="24"/>
        </w:rPr>
      </w:pPr>
      <w:r>
        <w:t>Conduit déférent: il est long de 50 à 60 cm. il transporte les spermatozoïdes depuis l’épididyme jusqu’aux conduits éjaculateurs. Dans la partie pelvienne, il traverse le canal inguinal.</w:t>
      </w:r>
    </w:p>
    <w:p w:rsidR="00C55815" w:rsidRPr="00F80994" w:rsidRDefault="008C1301" w:rsidP="000D68A4">
      <w:pPr>
        <w:pStyle w:val="Paragraphedeliste"/>
        <w:numPr>
          <w:ilvl w:val="0"/>
          <w:numId w:val="19"/>
        </w:numPr>
        <w:jc w:val="both"/>
        <w:rPr>
          <w:rFonts w:ascii="Times New Roman" w:hAnsi="Times New Roman" w:cs="Times New Roman"/>
          <w:sz w:val="24"/>
          <w:szCs w:val="24"/>
        </w:rPr>
      </w:pPr>
      <w:r>
        <w:t>Canal inguinal: c’est un tunnel de 4 cm à travers la paroi abdominale antérieure, juste au-dessus et parallèlement au ligament inguinal (figure 20.5). Il présente deux orifices:</w:t>
      </w:r>
    </w:p>
    <w:p w:rsidR="008C1301" w:rsidRPr="00F80994" w:rsidRDefault="00C55815" w:rsidP="000D68A4">
      <w:pPr>
        <w:pStyle w:val="Paragraphedeliste"/>
        <w:numPr>
          <w:ilvl w:val="0"/>
          <w:numId w:val="25"/>
        </w:numPr>
        <w:jc w:val="both"/>
        <w:rPr>
          <w:rFonts w:ascii="Times New Roman" w:hAnsi="Times New Roman" w:cs="Times New Roman"/>
          <w:sz w:val="24"/>
          <w:szCs w:val="24"/>
        </w:rPr>
      </w:pPr>
      <w:r>
        <w:t>Anneau inguinal profond: il est à mi-distance entre l’épine iliaque antéro-supérieure et la symphyse pubienne. Il correspond à l’entrée du canal inguinal.</w:t>
      </w:r>
    </w:p>
    <w:p w:rsidR="00745583" w:rsidRPr="00F80994" w:rsidRDefault="00C55815" w:rsidP="000D68A4">
      <w:pPr>
        <w:pStyle w:val="Paragraphedeliste"/>
        <w:numPr>
          <w:ilvl w:val="0"/>
          <w:numId w:val="25"/>
        </w:numPr>
        <w:jc w:val="both"/>
        <w:rPr>
          <w:rFonts w:ascii="Times New Roman" w:hAnsi="Times New Roman" w:cs="Times New Roman"/>
          <w:sz w:val="24"/>
          <w:szCs w:val="24"/>
        </w:rPr>
      </w:pPr>
      <w:r>
        <w:t>Anneau inguinal superficiel: il est situé au-dessus du tubercule du pubis. Il correspond à la sortie du canal inguinal.</w:t>
      </w:r>
    </w:p>
    <w:p w:rsidR="00745583" w:rsidRPr="00F80994" w:rsidRDefault="00C55815" w:rsidP="000D68A4">
      <w:pPr>
        <w:pStyle w:val="Paragraphedeliste"/>
        <w:numPr>
          <w:ilvl w:val="0"/>
          <w:numId w:val="25"/>
        </w:numPr>
        <w:jc w:val="both"/>
        <w:rPr>
          <w:rFonts w:ascii="Times New Roman" w:hAnsi="Times New Roman" w:cs="Times New Roman"/>
          <w:sz w:val="24"/>
          <w:szCs w:val="24"/>
        </w:rPr>
      </w:pPr>
      <w:r>
        <w:t>Constitution: le canal inguinal est constitué par les mêmes feuillets que la paroi abdominale antérieure. (figure 20.3).  Il livre passage au cordon spermatique contenant les vaisseaux inguinaux, le canal déférent, les nerfs iliohypogastrique, ilioinguinal et génitofémoral, branches collatérales du plexus lombal (L1 à L4) (figure 20.6). Ces nerfs contribuent, chez l’homme, à l’innervation sensitive du pubis et du scrotum,  et chez la femme, à l’innervation du pubis et des grandes lèvres.</w:t>
      </w:r>
    </w:p>
    <w:p w:rsidR="00745583" w:rsidRPr="00F80994" w:rsidRDefault="00C55815" w:rsidP="000D68A4">
      <w:pPr>
        <w:pStyle w:val="Paragraphedeliste"/>
        <w:numPr>
          <w:ilvl w:val="0"/>
          <w:numId w:val="25"/>
        </w:numPr>
        <w:jc w:val="both"/>
        <w:rPr>
          <w:rFonts w:ascii="Times New Roman" w:hAnsi="Times New Roman" w:cs="Times New Roman"/>
          <w:sz w:val="24"/>
          <w:szCs w:val="24"/>
        </w:rPr>
      </w:pPr>
      <w:r>
        <w:t xml:space="preserve"> Hernies inguinales: zone de faiblesse de la paroi abdominale antérieure, le canal inguinal est cause de hernies inguinales beaucoup plus fréquentes chez l’homme que chez la femme.  (figure 20.7)</w:t>
      </w:r>
    </w:p>
    <w:p w:rsidR="00C55815" w:rsidRPr="00F80994" w:rsidRDefault="00B76973" w:rsidP="000D68A4">
      <w:pPr>
        <w:pStyle w:val="Paragraphedeliste"/>
        <w:numPr>
          <w:ilvl w:val="0"/>
          <w:numId w:val="25"/>
        </w:numPr>
        <w:jc w:val="both"/>
        <w:rPr>
          <w:rFonts w:ascii="Times New Roman" w:hAnsi="Times New Roman" w:cs="Times New Roman"/>
          <w:sz w:val="24"/>
          <w:szCs w:val="24"/>
        </w:rPr>
      </w:pPr>
      <w:r>
        <w:t>Muscle crémaster: son insertion proximale (figure 20.8) est sur le ligament inguinal et le pubis. Il accompagne le cordon spermatique dans le canal inguinal. Son insertion distale est sur la tunique fibreuse des bourses. Il est innervé par les nerfs génitofémoral et ilioinguinal. C’est le muscle élévateur des bourses, ce qui favorise  la migration du sperme dans le canal déférent en augmentant la pression interne du testicule et de l’épididyme.</w:t>
      </w:r>
    </w:p>
    <w:p w:rsidR="007F1261" w:rsidRDefault="00866C99" w:rsidP="007F1261">
      <w:pPr>
        <w:pStyle w:val="Paragraphedeliste"/>
        <w:ind w:left="1416"/>
        <w:jc w:val="both"/>
        <w:rPr>
          <w:rFonts w:ascii="Times New Roman" w:hAnsi="Times New Roman" w:cs="Times New Roman"/>
          <w:sz w:val="24"/>
          <w:szCs w:val="24"/>
        </w:rPr>
      </w:pPr>
      <w:r>
        <w:t xml:space="preserve"> Intérêt en ROP </w:t>
      </w:r>
    </w:p>
    <w:p w:rsidR="002268ED" w:rsidRPr="00F80994" w:rsidRDefault="002268ED" w:rsidP="007F1261">
      <w:pPr>
        <w:pStyle w:val="Paragraphedeliste"/>
        <w:ind w:left="1416"/>
        <w:jc w:val="both"/>
        <w:rPr>
          <w:rFonts w:ascii="Times New Roman" w:hAnsi="Times New Roman" w:cs="Times New Roman"/>
          <w:sz w:val="24"/>
          <w:szCs w:val="24"/>
        </w:rPr>
      </w:pPr>
      <w:r>
        <w:t xml:space="preserve"> Notre action réflexe conjointe sur le ligament inguinal et les orifices profond et superficiel du canal inguinal, contribue à équilibrer les pressions intra-canalaires sur le cordon spermatique et son contenu vasculaire, nerveux et le canal déférent.</w:t>
      </w:r>
    </w:p>
    <w:p w:rsidR="004322C8" w:rsidRPr="00F80994" w:rsidRDefault="009B6A09" w:rsidP="000D68A4">
      <w:pPr>
        <w:pStyle w:val="Paragraphedeliste"/>
        <w:numPr>
          <w:ilvl w:val="0"/>
          <w:numId w:val="19"/>
        </w:numPr>
        <w:jc w:val="both"/>
        <w:rPr>
          <w:rFonts w:ascii="Times New Roman" w:hAnsi="Times New Roman" w:cs="Times New Roman"/>
          <w:sz w:val="24"/>
          <w:szCs w:val="24"/>
        </w:rPr>
      </w:pPr>
      <w:r>
        <w:t>Vésicules séminales: glandes sexuelles secondaires mâles, elles sont postérieures à la prostate (figure 20.9), contenues dans l’aponévrose de Denonvilliers qui sépare la prostate du rectum.</w:t>
      </w:r>
    </w:p>
    <w:p w:rsidR="004322C8" w:rsidRPr="00F80994" w:rsidRDefault="004322C8" w:rsidP="004322C8">
      <w:pPr>
        <w:pStyle w:val="Paragraphedeliste"/>
        <w:ind w:left="1353"/>
        <w:jc w:val="both"/>
        <w:rPr>
          <w:rFonts w:ascii="Times New Roman" w:hAnsi="Times New Roman" w:cs="Times New Roman"/>
          <w:sz w:val="24"/>
          <w:szCs w:val="24"/>
        </w:rPr>
      </w:pPr>
      <w:r>
        <w:t xml:space="preserve"> Mesurant 5 à 8 cm de long et 1,5 cm de large, les vésicules séminales ont la consistance d’une figue un peu mûre.</w:t>
      </w:r>
    </w:p>
    <w:p w:rsidR="004322C8" w:rsidRPr="00F80994" w:rsidRDefault="004322C8" w:rsidP="004322C8">
      <w:pPr>
        <w:pStyle w:val="Paragraphedeliste"/>
        <w:ind w:left="1353"/>
        <w:jc w:val="both"/>
        <w:rPr>
          <w:rFonts w:ascii="Times New Roman" w:hAnsi="Times New Roman" w:cs="Times New Roman"/>
          <w:sz w:val="24"/>
          <w:szCs w:val="24"/>
        </w:rPr>
      </w:pPr>
      <w:r>
        <w:t>Elles produisent une part importante du liquide séminal, riche notamment en fructose, qui soutient la fonction des spermatozoïdes et contribue au volume de l’éjaculat.</w:t>
      </w:r>
    </w:p>
    <w:p w:rsidR="004322C8" w:rsidRPr="00F80994" w:rsidRDefault="004322C8" w:rsidP="000D68A4">
      <w:pPr>
        <w:pStyle w:val="Paragraphedeliste"/>
        <w:numPr>
          <w:ilvl w:val="0"/>
          <w:numId w:val="19"/>
        </w:numPr>
        <w:jc w:val="both"/>
        <w:rPr>
          <w:rFonts w:ascii="Times New Roman" w:hAnsi="Times New Roman" w:cs="Times New Roman"/>
          <w:sz w:val="24"/>
          <w:szCs w:val="24"/>
        </w:rPr>
      </w:pPr>
      <w:r>
        <w:t>Conduits éjaculateurs: les deux canaux déférents rejoignent les canaux des vésicules séminales pour former les canaux éjaculateurs qui aboutissent dans l’urètre prostatique. (figure 20.9)</w:t>
      </w:r>
    </w:p>
    <w:p w:rsidR="0065784C" w:rsidRPr="00F80994" w:rsidRDefault="009B6A09" w:rsidP="000D68A4">
      <w:pPr>
        <w:pStyle w:val="Paragraphedeliste"/>
        <w:numPr>
          <w:ilvl w:val="0"/>
          <w:numId w:val="19"/>
        </w:numPr>
        <w:jc w:val="both"/>
        <w:rPr>
          <w:rFonts w:ascii="Times New Roman" w:hAnsi="Times New Roman" w:cs="Times New Roman"/>
          <w:sz w:val="24"/>
          <w:szCs w:val="24"/>
        </w:rPr>
      </w:pPr>
      <w:r>
        <w:t xml:space="preserve"> Prostate: Ce mot vient du grec prostatès qui signifie placé devant ou être exposé. De fait, la prostate est placée devant le rectum. Glande sexuelle secondaire mâle, elle sécrète une enzyme, (prostatic specific antigen PSA) dont le taux est important pour le diagnostic du cancer.</w:t>
      </w:r>
    </w:p>
    <w:p w:rsidR="00CA7A3E" w:rsidRPr="00F80994" w:rsidRDefault="00745834" w:rsidP="0065784C">
      <w:pPr>
        <w:pStyle w:val="Paragraphedeliste"/>
        <w:ind w:left="1353"/>
        <w:jc w:val="both"/>
        <w:rPr>
          <w:rFonts w:ascii="Times New Roman" w:hAnsi="Times New Roman" w:cs="Times New Roman"/>
          <w:sz w:val="24"/>
          <w:szCs w:val="24"/>
        </w:rPr>
      </w:pPr>
      <w:r>
        <w:t xml:space="preserve"> Chez un adulte jeune, elle a la forme d’une châtaigne (figure 20.9). Sa consistance ferme mais souple est comparable au globe oculaire. Son poids est de 20 à 25 g. Son volume augmentant beaucoup après 60 ans, peut devenir gros comme une orange et exercer une pression sur l’urètre et la vessie et occasionner des troubles de la miction. </w:t>
      </w:r>
    </w:p>
    <w:p w:rsidR="004D042B" w:rsidRPr="00F80994" w:rsidRDefault="004D042B" w:rsidP="0065784C">
      <w:pPr>
        <w:pStyle w:val="Paragraphedeliste"/>
        <w:ind w:left="1353"/>
        <w:jc w:val="both"/>
        <w:rPr>
          <w:rFonts w:ascii="Times New Roman" w:hAnsi="Times New Roman" w:cs="Times New Roman"/>
          <w:sz w:val="24"/>
          <w:szCs w:val="24"/>
        </w:rPr>
      </w:pPr>
      <w:r>
        <w:t>La prostate participe à la composition du sperme et à la protection des spermatozoïdes dans la traversée vagino-utéro-tubaire.</w:t>
      </w:r>
    </w:p>
    <w:p w:rsidR="00A00824" w:rsidRPr="00F80994" w:rsidRDefault="007E0199" w:rsidP="000D68A4">
      <w:pPr>
        <w:pStyle w:val="Paragraphedeliste"/>
        <w:numPr>
          <w:ilvl w:val="0"/>
          <w:numId w:val="12"/>
        </w:numPr>
        <w:jc w:val="both"/>
        <w:rPr>
          <w:rFonts w:ascii="Times New Roman" w:hAnsi="Times New Roman" w:cs="Times New Roman"/>
          <w:sz w:val="24"/>
          <w:szCs w:val="24"/>
        </w:rPr>
      </w:pPr>
      <w:r>
        <w:t>Constitution externe: c’est la capsule périprostatique, formée de fibres conjonctivo-musculaires. Elle est comparable à la coque qui entoure la châtaigne. Elle se ramifie à l’intérieur de la prostate en cloisonnant les différents lobes de la prostate.</w:t>
      </w:r>
    </w:p>
    <w:p w:rsidR="00A00824" w:rsidRPr="00F80994" w:rsidRDefault="00A00824" w:rsidP="000D68A4">
      <w:pPr>
        <w:pStyle w:val="Paragraphedeliste"/>
        <w:numPr>
          <w:ilvl w:val="0"/>
          <w:numId w:val="12"/>
        </w:numPr>
        <w:jc w:val="both"/>
        <w:rPr>
          <w:rFonts w:ascii="Times New Roman" w:hAnsi="Times New Roman" w:cs="Times New Roman"/>
          <w:sz w:val="24"/>
          <w:szCs w:val="24"/>
        </w:rPr>
      </w:pPr>
      <w:r>
        <w:t>Lobes de la prostate:</w:t>
      </w:r>
    </w:p>
    <w:p w:rsidR="00C57D58" w:rsidRPr="00F80994" w:rsidRDefault="000F2DAB" w:rsidP="000D68A4">
      <w:pPr>
        <w:pStyle w:val="Paragraphedeliste"/>
        <w:numPr>
          <w:ilvl w:val="0"/>
          <w:numId w:val="13"/>
        </w:numPr>
        <w:jc w:val="both"/>
        <w:rPr>
          <w:rFonts w:ascii="Times New Roman" w:hAnsi="Times New Roman" w:cs="Times New Roman"/>
          <w:sz w:val="24"/>
          <w:szCs w:val="24"/>
        </w:rPr>
      </w:pPr>
      <w:r>
        <w:t>lobes latéraux: stimulés par les hormones mâles, ils sont séparés par un sillon médian qui disparait quand le lobe moyen de la prostate s’hypertrophie.</w:t>
      </w:r>
    </w:p>
    <w:p w:rsidR="00A00824" w:rsidRPr="00F80994" w:rsidRDefault="00A00824" w:rsidP="000D68A4">
      <w:pPr>
        <w:pStyle w:val="Paragraphedeliste"/>
        <w:numPr>
          <w:ilvl w:val="0"/>
          <w:numId w:val="13"/>
        </w:numPr>
        <w:jc w:val="both"/>
        <w:rPr>
          <w:rFonts w:ascii="Times New Roman" w:hAnsi="Times New Roman" w:cs="Times New Roman"/>
          <w:sz w:val="24"/>
          <w:szCs w:val="24"/>
        </w:rPr>
      </w:pPr>
      <w:r>
        <w:t xml:space="preserve"> lobe moyen: médial, il est parcouru par l’urètre prostatique  qui présente une fente l’utricule prostatique (figure 20.10). Celui-ci est le vestige atrophié des trompes, de l’utérus et du vagin chez la femme. Les anciens l’appelaient le «vagin mâle ».</w:t>
      </w:r>
    </w:p>
    <w:p w:rsidR="004A256D" w:rsidRPr="00F80994" w:rsidRDefault="004A256D" w:rsidP="004A256D">
      <w:pPr>
        <w:pStyle w:val="Paragraphedeliste"/>
        <w:ind w:left="1920"/>
        <w:jc w:val="both"/>
        <w:rPr>
          <w:rFonts w:ascii="Times New Roman" w:hAnsi="Times New Roman" w:cs="Times New Roman"/>
          <w:sz w:val="24"/>
          <w:szCs w:val="24"/>
        </w:rPr>
      </w:pPr>
      <w:r>
        <w:t>Œstrogéno-dépendant, le lobe moyen s’hypertrophie à l’andropause par déséquilibre hormonal entre androgènes et testostérone. Son augmentation de volume comprime l’urètre, rendant la miction difficile et les éjaculations ont un trajet rétrograde vers la vessie.</w:t>
      </w:r>
    </w:p>
    <w:p w:rsidR="004A256D" w:rsidRPr="00F80994" w:rsidRDefault="004A256D" w:rsidP="000D68A4">
      <w:pPr>
        <w:pStyle w:val="Paragraphedeliste"/>
        <w:numPr>
          <w:ilvl w:val="0"/>
          <w:numId w:val="20"/>
        </w:numPr>
        <w:jc w:val="both"/>
        <w:rPr>
          <w:rFonts w:ascii="Times New Roman" w:hAnsi="Times New Roman" w:cs="Times New Roman"/>
          <w:sz w:val="24"/>
          <w:szCs w:val="24"/>
        </w:rPr>
      </w:pPr>
      <w:r>
        <w:t xml:space="preserve">Constitution interne: la prostate comprend  une soixantaine de glandes qui sécrètent et déversent la sécrétion prostatique  dans l’urètre. </w:t>
      </w:r>
    </w:p>
    <w:p w:rsidR="008937F1" w:rsidRPr="00F80994" w:rsidRDefault="007B569C" w:rsidP="000D68A4">
      <w:pPr>
        <w:pStyle w:val="Paragraphedeliste"/>
        <w:numPr>
          <w:ilvl w:val="0"/>
          <w:numId w:val="6"/>
        </w:numPr>
        <w:jc w:val="both"/>
        <w:rPr>
          <w:rFonts w:ascii="Times New Roman" w:hAnsi="Times New Roman" w:cs="Times New Roman"/>
          <w:sz w:val="24"/>
          <w:szCs w:val="24"/>
        </w:rPr>
      </w:pPr>
      <w:r>
        <w:t>Urètre: il est à la fois un conduit urinaire et spermatique. On distingue deux parties:</w:t>
      </w:r>
    </w:p>
    <w:p w:rsidR="008937F1" w:rsidRPr="00F80994" w:rsidRDefault="008937F1" w:rsidP="000D68A4">
      <w:pPr>
        <w:pStyle w:val="Paragraphedeliste"/>
        <w:numPr>
          <w:ilvl w:val="0"/>
          <w:numId w:val="20"/>
        </w:numPr>
        <w:jc w:val="both"/>
        <w:rPr>
          <w:rFonts w:ascii="Times New Roman" w:hAnsi="Times New Roman" w:cs="Times New Roman"/>
          <w:sz w:val="24"/>
          <w:szCs w:val="24"/>
        </w:rPr>
      </w:pPr>
      <w:r>
        <w:t xml:space="preserve">Urètre prostatique (figure 20.10) lors de son trajet intra-prostatique. Il est rejoint par les deux canaux éjaculateurs Une quinzaine de petits orifices permettent l’écoulement du liquide prostatique dans l’urètre. </w:t>
      </w:r>
    </w:p>
    <w:p w:rsidR="00745583" w:rsidRPr="00F80994" w:rsidRDefault="00745583" w:rsidP="000D68A4">
      <w:pPr>
        <w:pStyle w:val="Paragraphedeliste"/>
        <w:numPr>
          <w:ilvl w:val="0"/>
          <w:numId w:val="27"/>
        </w:numPr>
        <w:jc w:val="both"/>
        <w:rPr>
          <w:rFonts w:ascii="Times New Roman" w:hAnsi="Times New Roman" w:cs="Times New Roman"/>
          <w:sz w:val="24"/>
          <w:szCs w:val="24"/>
        </w:rPr>
      </w:pPr>
      <w:r>
        <w:t xml:space="preserve">Culliculus ou veru montanum: c’est une crête  constituée d’un tissu érectile  à la partie moyenne de l’urètre prostatique. Lors de l’érection, le veru montanum se dilate empêchant la miction urinaire pendant l’éjaculation et l’éjaculation rétrograde vers la vessie. </w:t>
      </w:r>
    </w:p>
    <w:p w:rsidR="00745583" w:rsidRPr="00F80994" w:rsidRDefault="00745583" w:rsidP="000D68A4">
      <w:pPr>
        <w:pStyle w:val="Paragraphedeliste"/>
        <w:numPr>
          <w:ilvl w:val="0"/>
          <w:numId w:val="27"/>
        </w:numPr>
        <w:jc w:val="both"/>
        <w:rPr>
          <w:rFonts w:ascii="Times New Roman" w:hAnsi="Times New Roman" w:cs="Times New Roman"/>
          <w:sz w:val="24"/>
          <w:szCs w:val="24"/>
        </w:rPr>
      </w:pPr>
      <w:r>
        <w:t xml:space="preserve">Sphincters: le sphincter lisse entoure l’origine de l’urètre prostatique de la vessie. Il est innervé par le SNA.  Le sphincter strié entoure sa partie caudale. Innervé par le nerf pudendal, Il contrôle la motricité volontaire de l’occlusion vésicale. Les deux sphincters perdent leur efficacité occlusale quand la prostate s’hypertrophie. </w:t>
      </w:r>
    </w:p>
    <w:p w:rsidR="007B569C" w:rsidRPr="00F80994" w:rsidRDefault="008937F1" w:rsidP="000D68A4">
      <w:pPr>
        <w:pStyle w:val="Paragraphedeliste"/>
        <w:numPr>
          <w:ilvl w:val="0"/>
          <w:numId w:val="20"/>
        </w:numPr>
        <w:jc w:val="both"/>
        <w:rPr>
          <w:rFonts w:ascii="Times New Roman" w:hAnsi="Times New Roman" w:cs="Times New Roman"/>
          <w:sz w:val="24"/>
          <w:szCs w:val="24"/>
        </w:rPr>
      </w:pPr>
      <w:r>
        <w:t>Urètre membraneux: il prolonge l’urètre prostatique dans le pénis.</w:t>
      </w:r>
    </w:p>
    <w:p w:rsidR="00621342" w:rsidRPr="00502559" w:rsidRDefault="00621342" w:rsidP="000D68A4">
      <w:pPr>
        <w:pStyle w:val="Titre1"/>
        <w:numPr>
          <w:ilvl w:val="0"/>
          <w:numId w:val="35"/>
        </w:numPr>
        <w:rPr>
          <w:color w:val="auto"/>
          <w:szCs w:val="24"/>
        </w:rPr>
      </w:pPr>
      <w:r>
        <w:t xml:space="preserve">Rapports </w:t>
      </w:r>
    </w:p>
    <w:p w:rsidR="00621342" w:rsidRPr="00F80994" w:rsidRDefault="00710C68" w:rsidP="000D68A4">
      <w:pPr>
        <w:pStyle w:val="Paragraphedeliste"/>
        <w:numPr>
          <w:ilvl w:val="1"/>
          <w:numId w:val="2"/>
        </w:numPr>
        <w:rPr>
          <w:rFonts w:ascii="Times New Roman" w:hAnsi="Times New Roman" w:cs="Times New Roman"/>
          <w:sz w:val="24"/>
          <w:szCs w:val="24"/>
        </w:rPr>
      </w:pPr>
      <w:r>
        <w:t>Loge prostatique: elle contient la prostate entourée de sa capsule périprostatique. Elle présente:</w:t>
      </w:r>
    </w:p>
    <w:p w:rsidR="00621342" w:rsidRPr="00F80994" w:rsidRDefault="001C4440" w:rsidP="000D68A4">
      <w:pPr>
        <w:pStyle w:val="Paragraphedeliste"/>
        <w:numPr>
          <w:ilvl w:val="0"/>
          <w:numId w:val="2"/>
        </w:numPr>
        <w:jc w:val="both"/>
        <w:rPr>
          <w:rFonts w:ascii="Times New Roman" w:hAnsi="Times New Roman" w:cs="Times New Roman"/>
          <w:sz w:val="24"/>
          <w:szCs w:val="24"/>
        </w:rPr>
      </w:pPr>
      <w:r>
        <w:t xml:space="preserve"> Face crâniale: elle sert de maintien à la vessie.</w:t>
      </w:r>
    </w:p>
    <w:p w:rsidR="00621342" w:rsidRPr="00F80994" w:rsidRDefault="00FA6518" w:rsidP="000D68A4">
      <w:pPr>
        <w:pStyle w:val="Paragraphedeliste"/>
        <w:numPr>
          <w:ilvl w:val="0"/>
          <w:numId w:val="2"/>
        </w:numPr>
        <w:jc w:val="both"/>
        <w:rPr>
          <w:rFonts w:ascii="Times New Roman" w:hAnsi="Times New Roman" w:cs="Times New Roman"/>
          <w:sz w:val="24"/>
          <w:szCs w:val="24"/>
        </w:rPr>
      </w:pPr>
      <w:r>
        <w:t>Face ventrale: la symphyse pubienne, les ligaments pubo-urétraux et le plexus veineux de Santorini;</w:t>
      </w:r>
    </w:p>
    <w:p w:rsidR="00DE4318" w:rsidRPr="00F80994" w:rsidRDefault="00FA6518" w:rsidP="000D68A4">
      <w:pPr>
        <w:pStyle w:val="Paragraphedeliste"/>
        <w:numPr>
          <w:ilvl w:val="0"/>
          <w:numId w:val="2"/>
        </w:numPr>
        <w:jc w:val="both"/>
        <w:rPr>
          <w:rFonts w:ascii="Times New Roman" w:hAnsi="Times New Roman" w:cs="Times New Roman"/>
          <w:sz w:val="24"/>
          <w:szCs w:val="24"/>
        </w:rPr>
      </w:pPr>
      <w:r>
        <w:t>Face caudale: le plancher périnéal;</w:t>
      </w:r>
    </w:p>
    <w:p w:rsidR="00DE4318" w:rsidRPr="00F80994" w:rsidRDefault="00FA6518" w:rsidP="000D68A4">
      <w:pPr>
        <w:pStyle w:val="Paragraphedeliste"/>
        <w:numPr>
          <w:ilvl w:val="0"/>
          <w:numId w:val="2"/>
        </w:numPr>
        <w:jc w:val="both"/>
        <w:rPr>
          <w:rFonts w:ascii="Times New Roman" w:hAnsi="Times New Roman" w:cs="Times New Roman"/>
          <w:sz w:val="24"/>
          <w:szCs w:val="24"/>
        </w:rPr>
      </w:pPr>
      <w:r>
        <w:t xml:space="preserve">Face dorsale: l’aponévrose prostato-péritonéale de Denonvilliers, s’étendant du périnée au cul-de-sac de Douglas. Elle est l’équivalent du ligament large chez la femme. Elle est riche en fibres musculaires lisses. </w:t>
      </w:r>
    </w:p>
    <w:p w:rsidR="001C4440" w:rsidRPr="00F80994" w:rsidRDefault="00FA6518" w:rsidP="000D68A4">
      <w:pPr>
        <w:pStyle w:val="Paragraphedeliste"/>
        <w:numPr>
          <w:ilvl w:val="0"/>
          <w:numId w:val="2"/>
        </w:numPr>
        <w:jc w:val="both"/>
        <w:rPr>
          <w:rFonts w:ascii="Times New Roman" w:hAnsi="Times New Roman" w:cs="Times New Roman"/>
          <w:sz w:val="24"/>
          <w:szCs w:val="24"/>
        </w:rPr>
      </w:pPr>
      <w:r>
        <w:t xml:space="preserve">Parois latérales: les membranes obturatrices et les lames sacro-recto-génito-pubienne constituées de fibres  musculaires lisses. Elles sont parcourues par le plexus hypogastrique inférieur. </w:t>
      </w:r>
    </w:p>
    <w:p w:rsidR="00A14CEB" w:rsidRPr="00F80994" w:rsidRDefault="00A14CEB" w:rsidP="000D68A4">
      <w:pPr>
        <w:pStyle w:val="Paragraphedeliste"/>
        <w:numPr>
          <w:ilvl w:val="1"/>
          <w:numId w:val="2"/>
        </w:numPr>
        <w:jc w:val="both"/>
        <w:rPr>
          <w:rFonts w:ascii="Times New Roman" w:hAnsi="Times New Roman" w:cs="Times New Roman"/>
          <w:sz w:val="24"/>
          <w:szCs w:val="24"/>
        </w:rPr>
      </w:pPr>
      <w:r>
        <w:t xml:space="preserve">Vésicules séminales: elles sont en rapport, ventralement, avec le trigone de la vessie, caudalement, avec la prostate, dorsalement, avec le rectum,  crânialement, avec le cul-de-sac recto-vésical de Douglas et le péritoine. </w:t>
      </w:r>
    </w:p>
    <w:p w:rsidR="00EF279D" w:rsidRPr="00502559" w:rsidRDefault="00FA6518" w:rsidP="000D68A4">
      <w:pPr>
        <w:pStyle w:val="Titre1"/>
        <w:numPr>
          <w:ilvl w:val="0"/>
          <w:numId w:val="35"/>
        </w:numPr>
        <w:rPr>
          <w:color w:val="auto"/>
        </w:rPr>
      </w:pPr>
      <w:r>
        <w:t xml:space="preserve">Vascularisation </w:t>
      </w:r>
    </w:p>
    <w:p w:rsidR="009E68C3" w:rsidRPr="00F80994" w:rsidRDefault="009E68C3" w:rsidP="000D68A4">
      <w:pPr>
        <w:pStyle w:val="Paragraphedeliste"/>
        <w:numPr>
          <w:ilvl w:val="0"/>
          <w:numId w:val="4"/>
        </w:numPr>
        <w:jc w:val="both"/>
        <w:rPr>
          <w:rFonts w:ascii="Times New Roman" w:hAnsi="Times New Roman" w:cs="Times New Roman"/>
          <w:sz w:val="24"/>
          <w:szCs w:val="24"/>
        </w:rPr>
      </w:pPr>
      <w:r>
        <w:t>Testicule: par sa migration embryonnaire, le pédicule vasculaire du testicule a une origine haute L2-L3:</w:t>
      </w:r>
    </w:p>
    <w:p w:rsidR="009E68C3" w:rsidRPr="00F80994" w:rsidRDefault="009E68C3" w:rsidP="000D68A4">
      <w:pPr>
        <w:pStyle w:val="Paragraphedeliste"/>
        <w:numPr>
          <w:ilvl w:val="0"/>
          <w:numId w:val="5"/>
        </w:numPr>
        <w:jc w:val="both"/>
        <w:rPr>
          <w:rFonts w:ascii="Times New Roman" w:hAnsi="Times New Roman" w:cs="Times New Roman"/>
          <w:sz w:val="24"/>
          <w:szCs w:val="24"/>
        </w:rPr>
      </w:pPr>
      <w:r>
        <w:t>Artérielle: l’artère spermatique naît de l’aorte abdominale, près de l’artère rénale (figure 16.10);</w:t>
      </w:r>
    </w:p>
    <w:p w:rsidR="00EF279D" w:rsidRPr="00F80994" w:rsidRDefault="009E68C3" w:rsidP="000D68A4">
      <w:pPr>
        <w:pStyle w:val="Paragraphedeliste"/>
        <w:numPr>
          <w:ilvl w:val="0"/>
          <w:numId w:val="5"/>
        </w:numPr>
        <w:jc w:val="both"/>
        <w:rPr>
          <w:rFonts w:ascii="Times New Roman" w:hAnsi="Times New Roman" w:cs="Times New Roman"/>
          <w:sz w:val="24"/>
          <w:szCs w:val="24"/>
        </w:rPr>
      </w:pPr>
      <w:r>
        <w:t>Veineuse : la vascularisation veineuse du testicule présente des particularités proches de celle de l’ovaire (figure 16.10). La veine spermatique droite rejoint la veine cave inférieure, tandis que la veine spermatique gauche rejoint la veine rénale gauche. Une stase veineuse gauche peut favoriser une varicocèle et retentir sur le spermogramme. On parle classiquement d’oligozoospermie lorsque la concentration de spermatozoïdes est inférieure aux valeurs de référence, autour de 15 millions/mL selon les référentiels utilisés ; des valeurs très basses correspondent à des formes plus sévères. L’hypospermie correspond à un volume d’éjaculat inférieur aux valeurs attendues.</w:t>
      </w:r>
    </w:p>
    <w:p w:rsidR="002D101A" w:rsidRPr="00F80994" w:rsidRDefault="00FA6518" w:rsidP="00F370CB">
      <w:pPr>
        <w:pStyle w:val="Paragraphedeliste"/>
        <w:ind w:left="1069"/>
        <w:jc w:val="both"/>
        <w:rPr>
          <w:rFonts w:ascii="Times New Roman" w:hAnsi="Times New Roman" w:cs="Times New Roman"/>
          <w:sz w:val="24"/>
          <w:szCs w:val="24"/>
        </w:rPr>
      </w:pPr>
      <w:r>
        <w:t xml:space="preserve">Le système veineux maintient la prostate en place et amortit les microtraumatismes dont la prostate peut être victime. Le retour veineux est sous le double contrôle du système porte (figure 11.7). Comme pour les hémorroïdes, toute congestion du système porte, et donc du foie, entraîne une congestion de la prostate. </w:t>
      </w:r>
    </w:p>
    <w:p w:rsidR="00B600A9" w:rsidRDefault="00492460" w:rsidP="00B600A9">
      <w:pPr>
        <w:pStyle w:val="Paragraphedeliste"/>
        <w:ind w:left="1069"/>
        <w:jc w:val="both"/>
        <w:rPr>
          <w:rFonts w:ascii="Times New Roman" w:hAnsi="Times New Roman" w:cs="Times New Roman"/>
          <w:sz w:val="24"/>
          <w:szCs w:val="24"/>
        </w:rPr>
      </w:pPr>
      <w:r>
        <w:t xml:space="preserve">Intérêt en ROP </w:t>
      </w:r>
    </w:p>
    <w:p w:rsidR="002D101A" w:rsidRPr="00F80994" w:rsidRDefault="00B600A9" w:rsidP="00B600A9">
      <w:pPr>
        <w:pStyle w:val="Paragraphedeliste"/>
        <w:ind w:left="1069"/>
        <w:jc w:val="both"/>
        <w:rPr>
          <w:rFonts w:ascii="Times New Roman" w:hAnsi="Times New Roman" w:cs="Times New Roman"/>
          <w:sz w:val="24"/>
          <w:szCs w:val="24"/>
        </w:rPr>
      </w:pPr>
      <w:r>
        <w:t>Le foie, le rein gauche et l’intestin grêle font partie des zones réflexes à aborder quand on traite le système uro-génital et les problèmes veineux des membres inférieurs.</w:t>
      </w:r>
    </w:p>
    <w:p w:rsidR="00866C99" w:rsidRPr="00F80994" w:rsidRDefault="00866C99" w:rsidP="009B470D">
      <w:pPr>
        <w:pStyle w:val="Paragraphedeliste"/>
        <w:ind w:left="1069"/>
        <w:jc w:val="both"/>
        <w:rPr>
          <w:rFonts w:ascii="Times New Roman" w:hAnsi="Times New Roman" w:cs="Times New Roman"/>
          <w:sz w:val="24"/>
          <w:szCs w:val="24"/>
        </w:rPr>
      </w:pPr>
      <w:r>
        <w:t>La fixation du rein gauche ou le clampage de la veine rénale par la racine du mésentère ou par la pince aorto-mésentérique  à la suite de ptose de l’intestin grêle (figure 16.10), freine le retour veineux dans la cavité pelvienne, occasionnant des varicocèles gauches et des varices prédominant dans le membre inférieur gauche. Prostate et vésicules séminales:</w:t>
      </w:r>
    </w:p>
    <w:p w:rsidR="00EF279D" w:rsidRPr="00B600A9" w:rsidRDefault="00EF279D" w:rsidP="000D68A4">
      <w:pPr>
        <w:pStyle w:val="Titre1"/>
        <w:numPr>
          <w:ilvl w:val="0"/>
          <w:numId w:val="35"/>
        </w:numPr>
        <w:rPr>
          <w:color w:val="auto"/>
        </w:rPr>
      </w:pPr>
      <w:r>
        <w:t xml:space="preserve">Innervation  </w:t>
      </w:r>
    </w:p>
    <w:p w:rsidR="005E21F1" w:rsidRPr="00F23F36" w:rsidRDefault="005E21F1" w:rsidP="000D68A4">
      <w:pPr>
        <w:pStyle w:val="Paragraphedeliste"/>
        <w:numPr>
          <w:ilvl w:val="0"/>
          <w:numId w:val="4"/>
        </w:numPr>
        <w:jc w:val="both"/>
        <w:rPr>
          <w:rFonts w:ascii="Times New Roman" w:hAnsi="Times New Roman" w:cs="Times New Roman"/>
          <w:b/>
          <w:sz w:val="24"/>
          <w:szCs w:val="24"/>
        </w:rPr>
      </w:pPr>
      <w:r>
        <w:t xml:space="preserve">Testicules: </w:t>
      </w:r>
    </w:p>
    <w:p w:rsidR="00F23F36" w:rsidRDefault="00C555F6" w:rsidP="000D68A4">
      <w:pPr>
        <w:pStyle w:val="Paragraphedeliste"/>
        <w:numPr>
          <w:ilvl w:val="0"/>
          <w:numId w:val="36"/>
        </w:numPr>
        <w:jc w:val="both"/>
        <w:rPr>
          <w:rFonts w:ascii="Times New Roman" w:hAnsi="Times New Roman" w:cs="Times New Roman"/>
          <w:sz w:val="24"/>
          <w:szCs w:val="24"/>
        </w:rPr>
      </w:pPr>
      <w:r>
        <w:t>Sympathique: origine médullaire Th10-Th11 et Th12; (figure 4.26)</w:t>
      </w:r>
    </w:p>
    <w:p w:rsidR="00F23F36" w:rsidRPr="00345562" w:rsidRDefault="00F23F36" w:rsidP="000D68A4">
      <w:pPr>
        <w:pStyle w:val="Paragraphedeliste"/>
        <w:numPr>
          <w:ilvl w:val="0"/>
          <w:numId w:val="36"/>
        </w:numPr>
        <w:jc w:val="both"/>
        <w:rPr>
          <w:rFonts w:ascii="Times New Roman" w:hAnsi="Times New Roman" w:cs="Times New Roman"/>
          <w:sz w:val="24"/>
          <w:szCs w:val="24"/>
        </w:rPr>
      </w:pPr>
      <w:r>
        <w:t>Parasympathique pelvien S2 à S4 (à hauteur de la vertèbre L1);</w:t>
      </w:r>
    </w:p>
    <w:p w:rsidR="005E21F1" w:rsidRPr="005E21F1" w:rsidRDefault="005E21F1" w:rsidP="000D68A4">
      <w:pPr>
        <w:pStyle w:val="Paragraphedeliste"/>
        <w:numPr>
          <w:ilvl w:val="0"/>
          <w:numId w:val="36"/>
        </w:numPr>
        <w:jc w:val="both"/>
        <w:rPr>
          <w:rFonts w:ascii="Times New Roman" w:hAnsi="Times New Roman" w:cs="Times New Roman"/>
          <w:sz w:val="24"/>
          <w:szCs w:val="24"/>
        </w:rPr>
      </w:pPr>
      <w:r>
        <w:t>Plexus aortorénal: situé en avant de l’artère rénale, il reçoit le nerf petit splanchnique issu des 10ème, 11ème et 12ème ganglions thoraciques et du 1er  ganglion lombaire. Il est destiné au rein et au testicule.</w:t>
      </w:r>
    </w:p>
    <w:p w:rsidR="005E21F1" w:rsidRPr="005E21F1" w:rsidRDefault="005E21F1" w:rsidP="000D68A4">
      <w:pPr>
        <w:pStyle w:val="Paragraphedeliste"/>
        <w:numPr>
          <w:ilvl w:val="0"/>
          <w:numId w:val="4"/>
        </w:numPr>
        <w:jc w:val="both"/>
        <w:rPr>
          <w:rFonts w:ascii="Times New Roman" w:hAnsi="Times New Roman" w:cs="Times New Roman"/>
          <w:b/>
          <w:sz w:val="24"/>
          <w:szCs w:val="24"/>
        </w:rPr>
      </w:pPr>
      <w:r>
        <w:t>Prostate:</w:t>
      </w:r>
    </w:p>
    <w:p w:rsidR="00EA229F" w:rsidRDefault="005E21F1" w:rsidP="000D68A4">
      <w:pPr>
        <w:pStyle w:val="Paragraphedeliste"/>
        <w:numPr>
          <w:ilvl w:val="0"/>
          <w:numId w:val="37"/>
        </w:numPr>
        <w:jc w:val="both"/>
        <w:rPr>
          <w:rFonts w:ascii="Times New Roman" w:hAnsi="Times New Roman" w:cs="Times New Roman"/>
          <w:sz w:val="24"/>
          <w:szCs w:val="24"/>
        </w:rPr>
      </w:pPr>
      <w:r>
        <w:t>Sympathique: Th12-L1-L2 et ganglion mésentérique inférieur;</w:t>
      </w:r>
    </w:p>
    <w:p w:rsidR="00EA229F" w:rsidRDefault="00F35A69" w:rsidP="000D68A4">
      <w:pPr>
        <w:pStyle w:val="Paragraphedeliste"/>
        <w:numPr>
          <w:ilvl w:val="0"/>
          <w:numId w:val="37"/>
        </w:numPr>
        <w:jc w:val="both"/>
        <w:rPr>
          <w:rFonts w:ascii="Times New Roman" w:hAnsi="Times New Roman" w:cs="Times New Roman"/>
          <w:sz w:val="24"/>
          <w:szCs w:val="24"/>
        </w:rPr>
      </w:pPr>
      <w:r>
        <w:t>Parasympathique: l’origine est la moelle sacrée S2 à S4, à hauteur de la vertèbre L1. Les  2ème, 3ème et 4ème racines sacrées  forment le nerf érecteur d’Eckardt destiné aux organes pelviens;</w:t>
      </w:r>
    </w:p>
    <w:p w:rsidR="00EA229F" w:rsidRPr="00EA229F" w:rsidRDefault="000B08AA" w:rsidP="000D68A4">
      <w:pPr>
        <w:pStyle w:val="Paragraphedeliste"/>
        <w:numPr>
          <w:ilvl w:val="0"/>
          <w:numId w:val="37"/>
        </w:numPr>
        <w:jc w:val="both"/>
        <w:rPr>
          <w:rFonts w:ascii="Times New Roman" w:hAnsi="Times New Roman" w:cs="Times New Roman"/>
          <w:sz w:val="24"/>
          <w:szCs w:val="24"/>
        </w:rPr>
      </w:pPr>
      <w:r>
        <w:t>Plexus hypogastrique supérieur: il apporte l’innervation sympathique au plexus hypogastrique inférieur. (figure 17.14)</w:t>
      </w:r>
    </w:p>
    <w:p w:rsidR="00BA26AD" w:rsidRPr="00EA229F" w:rsidRDefault="000B08AA" w:rsidP="000D68A4">
      <w:pPr>
        <w:pStyle w:val="Paragraphedeliste"/>
        <w:numPr>
          <w:ilvl w:val="0"/>
          <w:numId w:val="37"/>
        </w:numPr>
        <w:jc w:val="both"/>
        <w:rPr>
          <w:rFonts w:ascii="Times New Roman" w:hAnsi="Times New Roman" w:cs="Times New Roman"/>
          <w:sz w:val="24"/>
          <w:szCs w:val="24"/>
        </w:rPr>
      </w:pPr>
      <w:r>
        <w:t>Plexus hypogastrique inférieur: il est situé dans la cavité pelvienne, contenu dans la lame sacro-recto-génito-pubienne. Il apporte l’innervation autonome aux organes pelviens.</w:t>
      </w:r>
    </w:p>
    <w:p w:rsidR="00EA06C6" w:rsidRPr="00F80994" w:rsidRDefault="00EA06C6" w:rsidP="00BA26AD">
      <w:pPr>
        <w:pStyle w:val="Paragraphedeliste"/>
        <w:ind w:left="660"/>
        <w:jc w:val="both"/>
        <w:rPr>
          <w:rFonts w:ascii="Times New Roman" w:hAnsi="Times New Roman" w:cs="Times New Roman"/>
          <w:sz w:val="24"/>
          <w:szCs w:val="24"/>
        </w:rPr>
      </w:pPr>
      <w:r/>
    </w:p>
    <w:p w:rsidR="005F12FF" w:rsidRPr="00EA229F" w:rsidRDefault="005F12FF" w:rsidP="000D68A4">
      <w:pPr>
        <w:pStyle w:val="Titre1"/>
        <w:numPr>
          <w:ilvl w:val="0"/>
          <w:numId w:val="35"/>
        </w:numPr>
        <w:rPr>
          <w:color w:val="auto"/>
        </w:rPr>
      </w:pPr>
      <w:r>
        <w:t>Physiologie</w:t>
      </w:r>
    </w:p>
    <w:p w:rsidR="00C555F6" w:rsidRPr="00F80994" w:rsidRDefault="005F12FF" w:rsidP="000D68A4">
      <w:pPr>
        <w:pStyle w:val="Paragraphedeliste"/>
        <w:numPr>
          <w:ilvl w:val="0"/>
          <w:numId w:val="4"/>
        </w:numPr>
        <w:jc w:val="both"/>
        <w:rPr>
          <w:rFonts w:ascii="Times New Roman" w:hAnsi="Times New Roman" w:cs="Times New Roman"/>
          <w:sz w:val="24"/>
          <w:szCs w:val="24"/>
        </w:rPr>
      </w:pPr>
      <w:r>
        <w:t>Testicules:   ils ont une  double fonction:</w:t>
      </w:r>
    </w:p>
    <w:p w:rsidR="00915C39" w:rsidRPr="00F80994" w:rsidRDefault="00915C39" w:rsidP="000D68A4">
      <w:pPr>
        <w:pStyle w:val="Paragraphedeliste"/>
        <w:numPr>
          <w:ilvl w:val="0"/>
          <w:numId w:val="7"/>
        </w:numPr>
        <w:rPr>
          <w:rFonts w:ascii="Times New Roman" w:hAnsi="Times New Roman" w:cs="Times New Roman"/>
          <w:sz w:val="24"/>
          <w:szCs w:val="24"/>
        </w:rPr>
      </w:pPr>
      <w:r>
        <w:t>Spermatogénèse: les testicules sont le siège de la sécrétion des spermatozoïdes qui sont produits entre la puberté et la vieillesse à partir de cellules souches germinales (spermatogonie).</w:t>
      </w:r>
    </w:p>
    <w:p w:rsidR="00857C9E" w:rsidRPr="00F80994" w:rsidRDefault="00483364" w:rsidP="000D68A4">
      <w:pPr>
        <w:pStyle w:val="Paragraphedeliste"/>
        <w:numPr>
          <w:ilvl w:val="0"/>
          <w:numId w:val="7"/>
        </w:numPr>
        <w:spacing w:before="100" w:beforeAutospacing="1" w:after="24" w:line="240" w:lineRule="auto"/>
        <w:rPr>
          <w:rFonts w:ascii="Times New Roman" w:eastAsia="Times New Roman" w:hAnsi="Times New Roman" w:cs="Times New Roman"/>
          <w:color w:val="202122"/>
          <w:sz w:val="24"/>
          <w:szCs w:val="24"/>
          <w:lang w:eastAsia="fr-FR"/>
        </w:rPr>
      </w:pPr>
      <w:r>
        <w:t xml:space="preserve">Stéroïdogénèse: la testostérone, hormone sexuelle mâle, a pour fonction de stimuler la différenciation sexuelle  in utero  (après détermination du sexe génétique), le développement sexuel mâle, la spermatogenèse et la pulsion sexuelle chez l’homme. </w:t>
      </w:r>
    </w:p>
    <w:p w:rsidR="00B40D7D" w:rsidRPr="00F80994" w:rsidRDefault="00366CE4" w:rsidP="000D68A4">
      <w:pPr>
        <w:pStyle w:val="Paragraphedeliste"/>
        <w:numPr>
          <w:ilvl w:val="0"/>
          <w:numId w:val="7"/>
        </w:numPr>
        <w:spacing w:before="100" w:beforeAutospacing="1" w:after="24" w:line="240" w:lineRule="auto"/>
        <w:rPr>
          <w:rFonts w:ascii="Times New Roman" w:eastAsia="Times New Roman" w:hAnsi="Times New Roman" w:cs="Times New Roman"/>
          <w:color w:val="202122"/>
          <w:sz w:val="24"/>
          <w:szCs w:val="24"/>
          <w:lang w:eastAsia="fr-FR"/>
        </w:rPr>
      </w:pPr>
      <w:r>
        <w:t>Corticosurrénales: la zone réticulée des corticosurrénales, stimulée par l’ACTH  antéhypophysaire est source de testostérone et d’androgènes anabolisants complémentaires à la testostérone testiculaire.</w:t>
      </w:r>
    </w:p>
    <w:p w:rsidR="00C555F6" w:rsidRPr="00F80994" w:rsidRDefault="0079157E" w:rsidP="000D68A4">
      <w:pPr>
        <w:pStyle w:val="Paragraphedeliste"/>
        <w:numPr>
          <w:ilvl w:val="0"/>
          <w:numId w:val="7"/>
        </w:numPr>
        <w:spacing w:before="100" w:beforeAutospacing="1" w:after="24" w:line="240" w:lineRule="auto"/>
        <w:rPr>
          <w:rFonts w:ascii="Times New Roman" w:eastAsia="Times New Roman" w:hAnsi="Times New Roman" w:cs="Times New Roman"/>
          <w:color w:val="202122"/>
          <w:sz w:val="24"/>
          <w:szCs w:val="24"/>
          <w:lang w:eastAsia="fr-FR"/>
        </w:rPr>
      </w:pPr>
      <w:r>
        <w:t>Centres supérieurs: la spermatogenèse et la production de testostérone, sont régulées par des gonadostimulines FSH et LH. Ces hormones sont produites, sur ordre de l’hypothalamus  par l’hypophyse en relation avec l’épiphyse, les centres limbiques, le cortex. Au niveau du système nerveux central, la testostérone a, en plus des aptitudes de l’homme à s’accoupler, à procréer et un certain rôle dans le comportement comme l’agressivité.</w:t>
      </w:r>
    </w:p>
    <w:p w:rsidR="00771BA4" w:rsidRPr="00F80994" w:rsidRDefault="00F17E16" w:rsidP="000D68A4">
      <w:pPr>
        <w:pStyle w:val="Paragraphedeliste"/>
        <w:numPr>
          <w:ilvl w:val="0"/>
          <w:numId w:val="7"/>
        </w:numPr>
        <w:spacing w:before="100" w:beforeAutospacing="1" w:after="24" w:line="240" w:lineRule="auto"/>
        <w:rPr>
          <w:rFonts w:ascii="Times New Roman" w:eastAsia="Times New Roman" w:hAnsi="Times New Roman" w:cs="Times New Roman"/>
          <w:color w:val="202122"/>
          <w:sz w:val="24"/>
          <w:szCs w:val="24"/>
          <w:lang w:eastAsia="fr-FR"/>
        </w:rPr>
      </w:pPr>
      <w:r>
        <w:t>Immunité: les spermatozoïdes pourraient être considérés comme des corps étrangers par l’organisme féminin. Ils bénéficient de la production de protéines testiculaires spéciales qui inhibent le système immunitaire normal dans le testicule.</w:t>
      </w:r>
    </w:p>
    <w:p w:rsidR="00406625" w:rsidRPr="00F80994" w:rsidRDefault="00406625" w:rsidP="00406625">
      <w:pPr>
        <w:pStyle w:val="Paragraphedeliste"/>
        <w:spacing w:before="100" w:beforeAutospacing="1" w:after="24" w:line="240" w:lineRule="auto"/>
        <w:ind w:left="927"/>
        <w:rPr>
          <w:rFonts w:ascii="Times New Roman" w:eastAsia="Times New Roman" w:hAnsi="Times New Roman" w:cs="Times New Roman"/>
          <w:color w:val="202122"/>
          <w:sz w:val="24"/>
          <w:szCs w:val="24"/>
          <w:lang w:eastAsia="fr-FR"/>
        </w:rPr>
      </w:pPr>
      <w:r/>
    </w:p>
    <w:p w:rsidR="00F17E16" w:rsidRPr="00F80994" w:rsidRDefault="00F17E16" w:rsidP="000D68A4">
      <w:pPr>
        <w:pStyle w:val="Paragraphedeliste"/>
        <w:numPr>
          <w:ilvl w:val="0"/>
          <w:numId w:val="4"/>
        </w:numPr>
        <w:spacing w:before="100" w:beforeAutospacing="1" w:after="24" w:line="240" w:lineRule="auto"/>
        <w:rPr>
          <w:rFonts w:ascii="Times New Roman" w:eastAsia="Times New Roman" w:hAnsi="Times New Roman" w:cs="Times New Roman"/>
          <w:b/>
          <w:color w:val="202122"/>
          <w:sz w:val="24"/>
          <w:szCs w:val="24"/>
          <w:lang w:eastAsia="fr-FR"/>
        </w:rPr>
      </w:pPr>
      <w:r>
        <w:t xml:space="preserve">Prostate et vésicules séminales: </w:t>
      </w:r>
    </w:p>
    <w:p w:rsidR="00991260" w:rsidRPr="00F80994" w:rsidRDefault="00991260" w:rsidP="000D68A4">
      <w:pPr>
        <w:pStyle w:val="Paragraphedeliste"/>
        <w:numPr>
          <w:ilvl w:val="0"/>
          <w:numId w:val="8"/>
        </w:numPr>
        <w:spacing w:before="100" w:beforeAutospacing="1" w:after="24" w:line="240" w:lineRule="auto"/>
        <w:rPr>
          <w:rFonts w:ascii="Times New Roman" w:eastAsia="Times New Roman" w:hAnsi="Times New Roman" w:cs="Times New Roman"/>
          <w:b/>
          <w:color w:val="202122"/>
          <w:sz w:val="24"/>
          <w:szCs w:val="24"/>
          <w:lang w:eastAsia="fr-FR"/>
        </w:rPr>
      </w:pPr>
      <w:r>
        <w:t>Rôle mécanique: la vessie repose sur la prostate  qui lui assure sa stabilité grâce à sa fermeté,  à ses moyens de fixité et au système veineux de Santorini.</w:t>
      </w:r>
    </w:p>
    <w:p w:rsidR="00EF175F" w:rsidRPr="00F80994" w:rsidRDefault="00EF175F" w:rsidP="000D68A4">
      <w:pPr>
        <w:pStyle w:val="Paragraphedeliste"/>
        <w:numPr>
          <w:ilvl w:val="0"/>
          <w:numId w:val="8"/>
        </w:numPr>
        <w:spacing w:before="100" w:beforeAutospacing="1" w:after="24" w:line="240" w:lineRule="auto"/>
        <w:rPr>
          <w:rFonts w:ascii="Times New Roman" w:eastAsia="Times New Roman" w:hAnsi="Times New Roman" w:cs="Times New Roman"/>
          <w:b/>
          <w:color w:val="202122"/>
          <w:sz w:val="24"/>
          <w:szCs w:val="24"/>
          <w:lang w:eastAsia="fr-FR"/>
        </w:rPr>
      </w:pPr>
      <w:r>
        <w:t>Continence urinaire: le sphincter lisse et le sphincter strié contrôlent la continence urinaire de la vessie. La contraction du sphincter strié exerce aussi une compression des glandes prostatiques au moment du passage du sperme dans l’urètre prostatique.</w:t>
      </w:r>
    </w:p>
    <w:p w:rsidR="00EF175F" w:rsidRPr="00F80994" w:rsidRDefault="00EF175F" w:rsidP="000D68A4">
      <w:pPr>
        <w:pStyle w:val="Paragraphedeliste"/>
        <w:numPr>
          <w:ilvl w:val="0"/>
          <w:numId w:val="8"/>
        </w:numPr>
        <w:spacing w:before="100" w:beforeAutospacing="1" w:after="24" w:line="240" w:lineRule="auto"/>
        <w:rPr>
          <w:rFonts w:ascii="Times New Roman" w:eastAsia="Times New Roman" w:hAnsi="Times New Roman" w:cs="Times New Roman"/>
          <w:b/>
          <w:color w:val="202122"/>
          <w:sz w:val="24"/>
          <w:szCs w:val="24"/>
          <w:lang w:eastAsia="fr-FR"/>
        </w:rPr>
      </w:pPr>
      <w:r>
        <w:t>Constitution du sperme : les spermatozoïdes sont produits dans les testicules puis mûrissent et sont stockés principalement dans l’épididyme. Le sperme est alcalin et se compose des spermatozoïdes, des sécrétions de l’épididyme, des vésicules séminales et de la prostate. Une éjaculation est généralement de l’ordre de 2 à 6 cm³. Les vésicules séminales produisent une part importante du liquide séminal, riche notamment en fructose et en prostaglandines.</w:t>
      </w:r>
    </w:p>
    <w:p w:rsidR="00BF2769" w:rsidRDefault="008D5B16" w:rsidP="000D68A4">
      <w:pPr>
        <w:pStyle w:val="Paragraphedeliste"/>
        <w:numPr>
          <w:ilvl w:val="0"/>
          <w:numId w:val="8"/>
        </w:numPr>
        <w:jc w:val="both"/>
        <w:rPr>
          <w:rFonts w:ascii="Times New Roman" w:hAnsi="Times New Roman" w:cs="Times New Roman"/>
          <w:sz w:val="24"/>
          <w:szCs w:val="24"/>
        </w:rPr>
      </w:pPr>
      <w:r>
        <w:t>Rôle des sécrétions prostatiques : la prostate ne fabrique pas d’hormones mais elle est un organe hormono-dépendant. Ses sécrétions, influencées par les androgènes, contribuent à la composition du liquide séminal, à sa fluidité et à son équilibre biochimique.</w:t>
      </w:r>
    </w:p>
    <w:p w:rsidR="00BF2769" w:rsidRDefault="00BF2769" w:rsidP="000D68A4">
      <w:pPr>
        <w:pStyle w:val="Paragraphedeliste"/>
        <w:numPr>
          <w:ilvl w:val="0"/>
          <w:numId w:val="38"/>
        </w:numPr>
        <w:jc w:val="both"/>
        <w:rPr>
          <w:rFonts w:ascii="Times New Roman" w:hAnsi="Times New Roman" w:cs="Times New Roman"/>
          <w:sz w:val="24"/>
          <w:szCs w:val="24"/>
        </w:rPr>
      </w:pPr>
      <w:r>
        <w:t>La fluidité du liquide séminal grâce à des enzymes prostatiques, dont l’antigène prostatique spécifique (PSA) ;</w:t>
      </w:r>
    </w:p>
    <w:p w:rsidR="00BF2769" w:rsidRDefault="00BF2769" w:rsidP="000D68A4">
      <w:pPr>
        <w:pStyle w:val="Paragraphedeliste"/>
        <w:numPr>
          <w:ilvl w:val="0"/>
          <w:numId w:val="38"/>
        </w:numPr>
        <w:jc w:val="both"/>
        <w:rPr>
          <w:rFonts w:ascii="Times New Roman" w:hAnsi="Times New Roman" w:cs="Times New Roman"/>
          <w:sz w:val="24"/>
          <w:szCs w:val="24"/>
        </w:rPr>
      </w:pPr>
      <w:r>
        <w:t>L’apport de composants tels que le citrate, le zinc et des enzymes participant à la fonction du sperme ;</w:t>
      </w:r>
    </w:p>
    <w:p w:rsidR="00944C51" w:rsidRPr="00F80994" w:rsidRDefault="00BF2769" w:rsidP="000D68A4">
      <w:pPr>
        <w:pStyle w:val="Paragraphedeliste"/>
        <w:numPr>
          <w:ilvl w:val="0"/>
          <w:numId w:val="38"/>
        </w:numPr>
        <w:jc w:val="both"/>
        <w:rPr>
          <w:rFonts w:ascii="Times New Roman" w:hAnsi="Times New Roman" w:cs="Times New Roman"/>
          <w:sz w:val="24"/>
          <w:szCs w:val="24"/>
        </w:rPr>
      </w:pPr>
      <w:r>
        <w:t>La participation à l’équilibre du pH du sperme, en complément des sécrétions des vésicules séminales.</w:t>
      </w:r>
    </w:p>
    <w:p w:rsidR="003B5B38" w:rsidRPr="00F80994" w:rsidRDefault="00FB313B" w:rsidP="00BF2769">
      <w:pPr>
        <w:pStyle w:val="Paragraphedeliste"/>
        <w:ind w:left="2046"/>
        <w:jc w:val="both"/>
        <w:rPr>
          <w:rFonts w:ascii="Times New Roman" w:eastAsia="Times New Roman" w:hAnsi="Times New Roman" w:cs="Times New Roman"/>
          <w:color w:val="202122"/>
          <w:sz w:val="24"/>
          <w:szCs w:val="24"/>
          <w:lang w:eastAsia="fr-FR"/>
        </w:rPr>
      </w:pPr>
      <w:r>
        <w:t>Par ses sécrétions, la prostate contribue à la mobilité et à la viabilité des spermatozoïdes, sans être à elle seule responsable de la fécondance du sperme.</w:t>
      </w:r>
    </w:p>
    <w:p w:rsidR="006051B0" w:rsidRPr="00036880" w:rsidRDefault="009B4DAF" w:rsidP="00036880">
      <w:pPr>
        <w:pStyle w:val="Paragraphedeliste"/>
        <w:numPr>
          <w:ilvl w:val="0"/>
          <w:numId w:val="8"/>
        </w:numPr>
        <w:spacing w:before="100" w:beforeAutospacing="1" w:after="24" w:line="240" w:lineRule="auto"/>
        <w:rPr>
          <w:rFonts w:ascii="Times New Roman" w:eastAsia="Times New Roman" w:hAnsi="Times New Roman" w:cs="Times New Roman"/>
          <w:b/>
          <w:color w:val="202122"/>
          <w:sz w:val="24"/>
          <w:szCs w:val="24"/>
          <w:lang w:eastAsia="fr-FR"/>
        </w:rPr>
      </w:pPr>
      <w:r>
        <w:t>Rôle des vésicules séminales : elles produisent une part importante du liquide séminal, alcalin et riche en fructose. Elles ne stockent pas les spermatozoïdes, qui mûrissent et sont stockés principalement dans l’épididyme.</w:t>
      </w:r>
    </w:p>
    <w:p w:rsidR="006051B0" w:rsidRPr="00D734C1" w:rsidRDefault="006051B0" w:rsidP="000D68A4">
      <w:pPr>
        <w:pStyle w:val="Titre1"/>
        <w:numPr>
          <w:ilvl w:val="0"/>
          <w:numId w:val="35"/>
        </w:numPr>
        <w:rPr>
          <w:rFonts w:eastAsia="Times New Roman"/>
          <w:color w:val="auto"/>
          <w:lang w:eastAsia="fr-FR"/>
        </w:rPr>
      </w:pPr>
      <w:r>
        <w:t xml:space="preserve">Pathologies courantes </w:t>
      </w:r>
    </w:p>
    <w:p w:rsidR="006F1136" w:rsidRPr="006F1136" w:rsidRDefault="00AF6835" w:rsidP="000D68A4">
      <w:pPr>
        <w:pStyle w:val="Paragraphedeliste"/>
        <w:numPr>
          <w:ilvl w:val="0"/>
          <w:numId w:val="4"/>
        </w:numPr>
        <w:rPr>
          <w:rFonts w:ascii="Times New Roman" w:hAnsi="Times New Roman" w:cs="Times New Roman"/>
          <w:sz w:val="24"/>
          <w:szCs w:val="24"/>
          <w:lang w:eastAsia="fr-FR"/>
        </w:rPr>
      </w:pPr>
      <w:r>
        <w:t xml:space="preserve">Diagnostic d’exclusion: </w:t>
      </w:r>
    </w:p>
    <w:p w:rsidR="006F1136" w:rsidRPr="00530CE4" w:rsidRDefault="006F1136" w:rsidP="000D68A4">
      <w:pPr>
        <w:pStyle w:val="Paragraphedeliste"/>
        <w:numPr>
          <w:ilvl w:val="0"/>
          <w:numId w:val="9"/>
        </w:numPr>
        <w:rPr>
          <w:rFonts w:ascii="Times New Roman" w:hAnsi="Times New Roman" w:cs="Times New Roman"/>
          <w:sz w:val="24"/>
          <w:szCs w:val="24"/>
          <w:lang w:eastAsia="fr-FR"/>
        </w:rPr>
      </w:pPr>
      <w:r>
        <w:t>Cancer du testicule: il touche en France 2 300 hommes par an, principalement entre 15 et 35 ans.</w:t>
      </w:r>
    </w:p>
    <w:p w:rsidR="006F1136" w:rsidRPr="00530CE4" w:rsidRDefault="006F1136" w:rsidP="006F1136">
      <w:pPr>
        <w:pStyle w:val="Paragraphedeliste"/>
        <w:ind w:left="1353"/>
        <w:rPr>
          <w:rFonts w:ascii="Times New Roman" w:hAnsi="Times New Roman" w:cs="Times New Roman"/>
          <w:color w:val="000000"/>
          <w:sz w:val="24"/>
          <w:szCs w:val="24"/>
          <w:shd w:val="clear" w:color="auto" w:fill="FFFFFF"/>
        </w:rPr>
      </w:pPr>
      <w:r>
        <w:t xml:space="preserve"> Le mode de découverte le plus fréquent est l'augmentation de volume. La cause est une mutation de l'ADN des cellules du testicule qui se multiplient rapidement pour former une tumeur. La cryptorchidie (testicule non descendu) est cause de cancer du testicule.</w:t>
      </w:r>
    </w:p>
    <w:p w:rsidR="00D734C1" w:rsidRDefault="006F1136" w:rsidP="000D68A4">
      <w:pPr>
        <w:pStyle w:val="Paragraphedeliste"/>
        <w:numPr>
          <w:ilvl w:val="0"/>
          <w:numId w:val="39"/>
        </w:numPr>
        <w:rPr>
          <w:rFonts w:ascii="Times New Roman" w:hAnsi="Times New Roman" w:cs="Times New Roman"/>
          <w:color w:val="000000"/>
          <w:sz w:val="24"/>
          <w:szCs w:val="24"/>
          <w:shd w:val="clear" w:color="auto" w:fill="FFFFFF"/>
        </w:rPr>
      </w:pPr>
      <w:r>
        <w:t>Evolution: c’est le risque de métastases aux ganglions lymphatiques, au foie et aux poumons.</w:t>
      </w:r>
    </w:p>
    <w:p w:rsidR="006F1136" w:rsidRPr="00D734C1" w:rsidRDefault="006F1136" w:rsidP="000D68A4">
      <w:pPr>
        <w:pStyle w:val="Paragraphedeliste"/>
        <w:numPr>
          <w:ilvl w:val="0"/>
          <w:numId w:val="39"/>
        </w:numPr>
        <w:rPr>
          <w:rFonts w:ascii="Times New Roman" w:hAnsi="Times New Roman" w:cs="Times New Roman"/>
          <w:color w:val="000000"/>
          <w:sz w:val="24"/>
          <w:szCs w:val="24"/>
          <w:shd w:val="clear" w:color="auto" w:fill="FFFFFF"/>
        </w:rPr>
      </w:pPr>
      <w:r>
        <w:t>Symptômes:</w:t>
      </w:r>
    </w:p>
    <w:p w:rsidR="006F1136" w:rsidRPr="00530CE4" w:rsidRDefault="00D734C1" w:rsidP="000D68A4">
      <w:pPr>
        <w:pStyle w:val="Paragraphedeliste"/>
        <w:numPr>
          <w:ilvl w:val="0"/>
          <w:numId w:val="28"/>
        </w:numPr>
        <w:ind w:left="2138"/>
        <w:rPr>
          <w:rFonts w:ascii="Times New Roman" w:eastAsia="Times New Roman" w:hAnsi="Times New Roman" w:cs="Times New Roman"/>
          <w:color w:val="000000"/>
          <w:sz w:val="24"/>
          <w:szCs w:val="24"/>
          <w:lang w:eastAsia="fr-FR"/>
        </w:rPr>
      </w:pPr>
      <w:r>
        <w:t>Grosseur ou gonflement dans le testicule;</w:t>
      </w:r>
    </w:p>
    <w:p w:rsidR="006F1136" w:rsidRPr="00530CE4" w:rsidRDefault="00D734C1" w:rsidP="000D68A4">
      <w:pPr>
        <w:pStyle w:val="Paragraphedeliste"/>
        <w:numPr>
          <w:ilvl w:val="0"/>
          <w:numId w:val="28"/>
        </w:numPr>
        <w:ind w:left="2138"/>
        <w:rPr>
          <w:rFonts w:ascii="Times New Roman" w:eastAsia="Times New Roman" w:hAnsi="Times New Roman" w:cs="Times New Roman"/>
          <w:color w:val="000000"/>
          <w:sz w:val="24"/>
          <w:szCs w:val="24"/>
          <w:lang w:eastAsia="fr-FR"/>
        </w:rPr>
      </w:pPr>
      <w:r>
        <w:t>Douleur ou une gêne au niveau du testicule;</w:t>
      </w:r>
    </w:p>
    <w:p w:rsidR="006F1136" w:rsidRPr="00530CE4" w:rsidRDefault="00D734C1" w:rsidP="000D68A4">
      <w:pPr>
        <w:pStyle w:val="Paragraphedeliste"/>
        <w:numPr>
          <w:ilvl w:val="0"/>
          <w:numId w:val="28"/>
        </w:numPr>
        <w:ind w:left="2138"/>
        <w:rPr>
          <w:rFonts w:ascii="Times New Roman" w:eastAsia="Times New Roman" w:hAnsi="Times New Roman" w:cs="Times New Roman"/>
          <w:color w:val="000000"/>
          <w:sz w:val="24"/>
          <w:szCs w:val="24"/>
          <w:lang w:eastAsia="fr-FR"/>
        </w:rPr>
      </w:pPr>
      <w:r>
        <w:t>Douleur ou une sensation de lourdeur dans le bas de l'abdomen ou du dos;</w:t>
      </w:r>
    </w:p>
    <w:p w:rsidR="006F1136" w:rsidRPr="00530CE4" w:rsidRDefault="00D734C1" w:rsidP="000D68A4">
      <w:pPr>
        <w:pStyle w:val="Paragraphedeliste"/>
        <w:numPr>
          <w:ilvl w:val="0"/>
          <w:numId w:val="28"/>
        </w:numPr>
        <w:ind w:left="2138"/>
        <w:rPr>
          <w:rFonts w:ascii="Times New Roman" w:eastAsia="Times New Roman" w:hAnsi="Times New Roman" w:cs="Times New Roman"/>
          <w:color w:val="000000"/>
          <w:sz w:val="24"/>
          <w:szCs w:val="24"/>
          <w:lang w:eastAsia="fr-FR"/>
        </w:rPr>
      </w:pPr>
      <w:r>
        <w:t>Hypertrophie du tissu mammaire;</w:t>
      </w:r>
    </w:p>
    <w:p w:rsidR="006F1136" w:rsidRDefault="00D734C1" w:rsidP="000D68A4">
      <w:pPr>
        <w:pStyle w:val="Paragraphedeliste"/>
        <w:numPr>
          <w:ilvl w:val="0"/>
          <w:numId w:val="28"/>
        </w:numPr>
        <w:ind w:left="2138"/>
        <w:rPr>
          <w:rFonts w:ascii="Times New Roman" w:eastAsia="Times New Roman" w:hAnsi="Times New Roman" w:cs="Times New Roman"/>
          <w:color w:val="000000"/>
          <w:sz w:val="24"/>
          <w:szCs w:val="24"/>
          <w:lang w:eastAsia="fr-FR"/>
        </w:rPr>
      </w:pPr>
      <w:r>
        <w:t>Modification de la voix et la croissance des poils du visage et du corps chez les garçons prépubères.</w:t>
      </w:r>
    </w:p>
    <w:p w:rsidR="006F1136" w:rsidRDefault="006F1136" w:rsidP="00D734C1">
      <w:pPr>
        <w:pStyle w:val="Paragraphedeliste"/>
        <w:ind w:left="993"/>
        <w:jc w:val="center"/>
        <w:rPr>
          <w:rFonts w:ascii="Times New Roman" w:hAnsi="Times New Roman" w:cs="Times New Roman"/>
          <w:color w:val="333333"/>
          <w:sz w:val="24"/>
          <w:szCs w:val="24"/>
          <w:shd w:val="clear" w:color="auto" w:fill="FFFFFF"/>
        </w:rPr>
      </w:pPr>
      <w:r>
        <w:t>Le principal traitement est l’ablation du testicule (orchidectomie)</w:t>
      </w:r>
    </w:p>
    <w:p w:rsidR="006F1136" w:rsidRPr="00530CE4" w:rsidRDefault="006F1136" w:rsidP="006F1136">
      <w:pPr>
        <w:pStyle w:val="Paragraphedeliste"/>
        <w:ind w:left="1429"/>
        <w:rPr>
          <w:rFonts w:ascii="Times New Roman" w:eastAsia="Times New Roman" w:hAnsi="Times New Roman" w:cs="Times New Roman"/>
          <w:color w:val="000000"/>
          <w:sz w:val="24"/>
          <w:szCs w:val="24"/>
          <w:lang w:eastAsia="fr-FR"/>
        </w:rPr>
      </w:pPr>
      <w:r/>
    </w:p>
    <w:p w:rsidR="006F1136" w:rsidRPr="00C14D6B" w:rsidRDefault="006F1136" w:rsidP="000D68A4">
      <w:pPr>
        <w:pStyle w:val="Paragraphedeliste"/>
        <w:numPr>
          <w:ilvl w:val="0"/>
          <w:numId w:val="9"/>
        </w:numPr>
        <w:jc w:val="both"/>
        <w:rPr>
          <w:rFonts w:ascii="Times New Roman" w:eastAsia="Times New Roman" w:hAnsi="Times New Roman" w:cs="Times New Roman"/>
          <w:color w:val="000000"/>
          <w:sz w:val="24"/>
          <w:szCs w:val="24"/>
          <w:lang w:eastAsia="fr-FR"/>
        </w:rPr>
      </w:pPr>
      <w:r>
        <w:t>Torsion testiculaire: elle  est une anomalie de fixation du testicule par torsion de son cordon spermatique. Le testicule n’étant plus irrigué, il se nécrose. La nécrose intervient au bout de 6 heures après la survenue des premières douleurs. C’est une urgence chirurgicale.</w:t>
      </w:r>
    </w:p>
    <w:p w:rsidR="006F1136" w:rsidRDefault="006F1136" w:rsidP="006F1136">
      <w:pPr>
        <w:pStyle w:val="Paragraphedeliste"/>
        <w:ind w:left="1494"/>
        <w:rPr>
          <w:rFonts w:ascii="source_sans_proregular" w:hAnsi="source_sans_proregular"/>
          <w:color w:val="000000"/>
          <w:sz w:val="24"/>
          <w:szCs w:val="24"/>
          <w:shd w:val="clear" w:color="auto" w:fill="FFFFFF"/>
        </w:rPr>
      </w:pPr>
      <w:r>
        <w:t>Les deux périodes de découverte de la torsion testiculaire sont:</w:t>
      </w:r>
    </w:p>
    <w:p w:rsidR="006F1136" w:rsidRPr="002C7451" w:rsidRDefault="00D734C1" w:rsidP="000D68A4">
      <w:pPr>
        <w:pStyle w:val="text-align-justify"/>
        <w:numPr>
          <w:ilvl w:val="0"/>
          <w:numId w:val="30"/>
        </w:numPr>
        <w:spacing w:before="0" w:beforeAutospacing="0"/>
        <w:jc w:val="both"/>
        <w:rPr>
          <w:color w:val="000000"/>
        </w:rPr>
      </w:pPr>
      <w:r>
        <w:t>Période périnatale: la torsion testiculaire se manifeste par une augmentation du volume du testicule, qui prend une couleur bleutée ou rouge. Le testicule devient particulièrement sensible au toucher et le nouveau-né manifeste la douleur ressentie par des pleurs soudains.</w:t>
      </w:r>
    </w:p>
    <w:p w:rsidR="006F1136" w:rsidRPr="002C7451" w:rsidRDefault="00D734C1" w:rsidP="000D68A4">
      <w:pPr>
        <w:pStyle w:val="Paragraphedeliste"/>
        <w:numPr>
          <w:ilvl w:val="0"/>
          <w:numId w:val="29"/>
        </w:numPr>
        <w:rPr>
          <w:rFonts w:ascii="Times New Roman" w:hAnsi="Times New Roman" w:cs="Times New Roman"/>
          <w:color w:val="000000"/>
          <w:sz w:val="24"/>
          <w:szCs w:val="24"/>
          <w:shd w:val="clear" w:color="auto" w:fill="FFFFFF"/>
        </w:rPr>
      </w:pPr>
      <w:r>
        <w:t>Période pubertaire: la torsion testiculaire peut survenir à l’adolescence, avec l’augmentation rapide du volume des testicules au moment de la puberté.</w:t>
      </w:r>
    </w:p>
    <w:p w:rsidR="006F1136" w:rsidRPr="002C7451" w:rsidRDefault="006F1136" w:rsidP="00C5123A">
      <w:pPr>
        <w:pStyle w:val="Paragraphedeliste"/>
        <w:ind w:left="1636"/>
        <w:rPr>
          <w:rFonts w:ascii="Times New Roman" w:hAnsi="Times New Roman" w:cs="Times New Roman"/>
          <w:color w:val="000000"/>
          <w:sz w:val="24"/>
          <w:szCs w:val="24"/>
          <w:shd w:val="clear" w:color="auto" w:fill="FFFFFF"/>
        </w:rPr>
      </w:pPr>
      <w:r>
        <w:t>Les symptômes sont une douleur intense et soudaine ressentie au niveau du testicule. Elle peut se propager au niveau de l’aine et/ou dans la région lombaire. L’intervention chirurgicale est le seul traitement viable: l’ablation du testicule (orchidectomie).</w:t>
      </w:r>
    </w:p>
    <w:p w:rsidR="00AF6835" w:rsidRPr="006F1136" w:rsidRDefault="006F1136" w:rsidP="006F1136">
      <w:pPr>
        <w:ind w:left="1429"/>
        <w:rPr>
          <w:rFonts w:ascii="Times New Roman" w:hAnsi="Times New Roman" w:cs="Times New Roman"/>
          <w:color w:val="000000"/>
          <w:sz w:val="24"/>
          <w:szCs w:val="24"/>
          <w:shd w:val="clear" w:color="auto" w:fill="FFFFFF"/>
        </w:rPr>
      </w:pPr>
      <w:r>
        <w:t>La torsion testiculaire ne constitue pas un facteur d’infertilité pour l’homme. Le testicule restant suffit à la production de spermatozoïdes, bien que l’on constate souvent une diminution de la fertilité.</w:t>
      </w:r>
    </w:p>
    <w:p w:rsidR="0030099D" w:rsidRPr="00F80994" w:rsidRDefault="00B279AC" w:rsidP="000D68A4">
      <w:pPr>
        <w:pStyle w:val="Paragraphedeliste"/>
        <w:numPr>
          <w:ilvl w:val="0"/>
          <w:numId w:val="8"/>
        </w:numPr>
        <w:jc w:val="both"/>
        <w:rPr>
          <w:rFonts w:ascii="Times New Roman" w:hAnsi="Times New Roman" w:cs="Times New Roman"/>
          <w:sz w:val="24"/>
          <w:szCs w:val="24"/>
        </w:rPr>
      </w:pPr>
      <w:r>
        <w:t>Cancer de la prostate : le cancer de la prostate est le plus souvent un adénocarcinome développé à partir des cellules glandulaires prostatiques, fréquemment dans la zone périphérique. La prostate ne produit pas d’androgènes, mais elle est hormono-dépendante : les androgènes influencent sa croissance et son fonctionnement. C’est l’un des cancers les plus fréquents chez l’homme.</w:t>
      </w:r>
    </w:p>
    <w:p w:rsidR="0030099D" w:rsidRPr="00F80994" w:rsidRDefault="009B470D" w:rsidP="000D68A4">
      <w:pPr>
        <w:pStyle w:val="Paragraphedeliste"/>
        <w:numPr>
          <w:ilvl w:val="0"/>
          <w:numId w:val="21"/>
        </w:numPr>
        <w:jc w:val="both"/>
        <w:rPr>
          <w:rFonts w:ascii="Times New Roman" w:hAnsi="Times New Roman" w:cs="Times New Roman"/>
          <w:sz w:val="24"/>
          <w:szCs w:val="24"/>
        </w:rPr>
      </w:pPr>
      <w:r>
        <w:t>Diagnostic: il se fait par le toucher rectal (prostate pierreuse, relief induré, anomalie de contour) et par la recherche du taux de PSA qui est produit en trop grande quantité par les cellules cancéreuses. Ce taux doit être inférieur à 4ng/ml de sang après 50 ans. Cependant, toute augmentation du taux de PSA n’est pas synonyme de cancer. Il existe deux types de PSA dans le sang. Ce qui est important dans la prise de sang, c’est le dosage de PSA libre par rapport au PSA total. Plus ce rapport baisse, plus la probabilité de cancer augmente. La biopsie confirme le cancer.</w:t>
      </w:r>
    </w:p>
    <w:p w:rsidR="009B470D" w:rsidRPr="00F80994" w:rsidRDefault="009B470D" w:rsidP="000D68A4">
      <w:pPr>
        <w:pStyle w:val="Paragraphedeliste"/>
        <w:numPr>
          <w:ilvl w:val="0"/>
          <w:numId w:val="21"/>
        </w:numPr>
        <w:jc w:val="both"/>
        <w:rPr>
          <w:rFonts w:ascii="Times New Roman" w:hAnsi="Times New Roman" w:cs="Times New Roman"/>
          <w:sz w:val="24"/>
          <w:szCs w:val="24"/>
        </w:rPr>
      </w:pPr>
      <w:r>
        <w:t>Evolution: le PSA est un bon marqueur pour surveiller l’évolution du cancer. L’âge après 50 ans, les facteurs génétiques, ethniques (afro-américains) et hygiéno-diététiques favorisent le cancer de la prostate.</w:t>
      </w:r>
    </w:p>
    <w:p w:rsidR="0030099D" w:rsidRPr="00F80994" w:rsidRDefault="009B470D" w:rsidP="000D68A4">
      <w:pPr>
        <w:pStyle w:val="Paragraphedeliste"/>
        <w:numPr>
          <w:ilvl w:val="0"/>
          <w:numId w:val="21"/>
        </w:numPr>
        <w:jc w:val="both"/>
        <w:rPr>
          <w:rFonts w:ascii="Times New Roman" w:hAnsi="Times New Roman" w:cs="Times New Roman"/>
          <w:sz w:val="24"/>
          <w:szCs w:val="24"/>
        </w:rPr>
      </w:pPr>
      <w:r>
        <w:t>Métastases: c’est un cancer qui métastase et qui est souvent de diagnostic tardif car les symptômes du début sont ceux de l’hypertrophie bénigne de la prostate (HBP) mais plus tardifs et moins significatifs car ne concernent pas le lobe moyen qui entoure l’urètre. Mais quand les métastases ont migré, les douleurs vertébrales sont très importantes: les patients souffrent de lombalgie et de sciatalgie aiguës, à prédominance nocturne.</w:t>
      </w:r>
    </w:p>
    <w:p w:rsidR="0030099D" w:rsidRPr="00F80994" w:rsidRDefault="0030099D" w:rsidP="007A2946">
      <w:pPr>
        <w:ind w:left="1353"/>
        <w:jc w:val="both"/>
        <w:rPr>
          <w:rFonts w:ascii="Times New Roman" w:hAnsi="Times New Roman" w:cs="Times New Roman"/>
          <w:sz w:val="24"/>
          <w:szCs w:val="24"/>
        </w:rPr>
      </w:pPr>
      <w:r>
        <w:t>La ROP ne peut pas grand-chose pour eux. Le traitement médical repose sur le blocage androgénique (chimiothérapie, hormonothérapie) et morphine.</w:t>
      </w:r>
    </w:p>
    <w:p w:rsidR="00B758B7" w:rsidRPr="00F80994" w:rsidRDefault="00B758B7" w:rsidP="000D68A4">
      <w:pPr>
        <w:pStyle w:val="Paragraphedeliste"/>
        <w:numPr>
          <w:ilvl w:val="0"/>
          <w:numId w:val="9"/>
        </w:numPr>
        <w:rPr>
          <w:rFonts w:ascii="Times New Roman" w:hAnsi="Times New Roman" w:cs="Times New Roman"/>
          <w:sz w:val="24"/>
          <w:szCs w:val="24"/>
          <w:lang w:eastAsia="fr-FR"/>
        </w:rPr>
      </w:pPr>
      <w:r>
        <w:t>Prostatite aiguë : c’est le plus souvent une infection bactérienne de la prostate, parfois sévère. Elle associe fièvre, douleurs pelviennes ou périnéales, brûlures mictionnelles, troubles urinaires et grande fatigue. Chez les hommes jeunes, une origine sexuellement transmissible peut être recherchée selon le contexte, mais elle ne résume pas l’ensemble des prostatites aiguës. Le traitement est médical, avec antibiothérapie adaptée, repos et hydratation.</w:t>
      </w:r>
    </w:p>
    <w:p w:rsidR="00530CE4" w:rsidRDefault="001A1D5B" w:rsidP="00530CE4">
      <w:pPr>
        <w:pStyle w:val="Paragraphedeliste"/>
        <w:ind w:left="1353"/>
        <w:rPr>
          <w:rFonts w:ascii="Times New Roman" w:hAnsi="Times New Roman" w:cs="Times New Roman"/>
          <w:sz w:val="24"/>
          <w:szCs w:val="24"/>
          <w:lang w:eastAsia="fr-FR"/>
        </w:rPr>
      </w:pPr>
      <w:r>
        <w:t>Au toucher rectal, la prostate est peu dure et très douloureuse.</w:t>
      </w:r>
    </w:p>
    <w:p w:rsidR="00530CE4" w:rsidRDefault="00530CE4" w:rsidP="00530CE4">
      <w:pPr>
        <w:pStyle w:val="Paragraphedeliste"/>
        <w:ind w:left="1353"/>
        <w:rPr>
          <w:rFonts w:ascii="Times New Roman" w:hAnsi="Times New Roman" w:cs="Times New Roman"/>
          <w:sz w:val="24"/>
          <w:szCs w:val="24"/>
          <w:lang w:eastAsia="fr-FR"/>
        </w:rPr>
      </w:pPr>
      <w:r/>
    </w:p>
    <w:p w:rsidR="00561C5B" w:rsidRPr="00F80994" w:rsidRDefault="00561C5B" w:rsidP="000D68A4">
      <w:pPr>
        <w:pStyle w:val="Paragraphedeliste"/>
        <w:numPr>
          <w:ilvl w:val="0"/>
          <w:numId w:val="4"/>
        </w:numPr>
        <w:rPr>
          <w:rFonts w:ascii="Times New Roman" w:hAnsi="Times New Roman" w:cs="Times New Roman"/>
          <w:b/>
          <w:sz w:val="24"/>
          <w:szCs w:val="24"/>
          <w:lang w:eastAsia="fr-FR"/>
        </w:rPr>
      </w:pPr>
      <w:r>
        <w:t xml:space="preserve">Indications: pathologies fonctionnelles </w:t>
      </w:r>
    </w:p>
    <w:p w:rsidR="001760D0" w:rsidRPr="00F80994" w:rsidRDefault="009F3B12" w:rsidP="000D68A4">
      <w:pPr>
        <w:pStyle w:val="Paragraphedeliste"/>
        <w:numPr>
          <w:ilvl w:val="0"/>
          <w:numId w:val="15"/>
        </w:numPr>
        <w:jc w:val="both"/>
        <w:rPr>
          <w:rFonts w:ascii="Times New Roman" w:hAnsi="Times New Roman" w:cs="Times New Roman"/>
          <w:b/>
          <w:sz w:val="24"/>
          <w:szCs w:val="24"/>
        </w:rPr>
      </w:pPr>
      <w:r>
        <w:t xml:space="preserve">Hypertrophie bénigne de la prostate (HBP)  ou adénome de la prostate: on estime qu’à partir de 60 ans, 50% des hommes auront une HBP. C’est une tumeur bénigne qui se développe au niveau du lobe moyen et qui ne cancérise pas. </w:t>
      </w:r>
    </w:p>
    <w:p w:rsidR="00F41D04" w:rsidRPr="00F80994" w:rsidRDefault="001760D0" w:rsidP="000D68A4">
      <w:pPr>
        <w:pStyle w:val="Paragraphedeliste"/>
        <w:numPr>
          <w:ilvl w:val="0"/>
          <w:numId w:val="11"/>
        </w:numPr>
        <w:rPr>
          <w:rFonts w:ascii="Times New Roman" w:hAnsi="Times New Roman" w:cs="Times New Roman"/>
          <w:b/>
          <w:sz w:val="24"/>
          <w:szCs w:val="24"/>
          <w:lang w:eastAsia="fr-FR"/>
        </w:rPr>
      </w:pPr>
      <w:r>
        <w:t>Cause: elle est hormonale. Les facteurs favorisants sont  l’alcool, le tabac, les excès de protéines animales, le manque d’activité physique, des désordres vertébraux et coccygiens.</w:t>
      </w:r>
    </w:p>
    <w:p w:rsidR="00A00824" w:rsidRPr="00F80994" w:rsidRDefault="001760D0" w:rsidP="000D68A4">
      <w:pPr>
        <w:pStyle w:val="Paragraphedeliste"/>
        <w:numPr>
          <w:ilvl w:val="0"/>
          <w:numId w:val="11"/>
        </w:numPr>
        <w:rPr>
          <w:rFonts w:ascii="Times New Roman" w:hAnsi="Times New Roman" w:cs="Times New Roman"/>
          <w:b/>
          <w:sz w:val="24"/>
          <w:szCs w:val="24"/>
          <w:lang w:eastAsia="fr-FR"/>
        </w:rPr>
      </w:pPr>
      <w:r>
        <w:t xml:space="preserve">Signes cliniques: </w:t>
      </w:r>
    </w:p>
    <w:p w:rsidR="001760D0" w:rsidRPr="00F80994" w:rsidRDefault="00A00824" w:rsidP="000D68A4">
      <w:pPr>
        <w:pStyle w:val="Paragraphedeliste"/>
        <w:numPr>
          <w:ilvl w:val="0"/>
          <w:numId w:val="22"/>
        </w:numPr>
        <w:rPr>
          <w:rFonts w:ascii="Times New Roman" w:hAnsi="Times New Roman" w:cs="Times New Roman"/>
          <w:b/>
          <w:sz w:val="24"/>
          <w:szCs w:val="24"/>
          <w:lang w:eastAsia="fr-FR"/>
        </w:rPr>
      </w:pPr>
      <w:r>
        <w:t>Urinaires: jet faible et intermittent avec participation abdominale, besoin impérieux et pollakiurie. Le besoin de pousser pour uriner hypertrophie le détrusor: c’est la vessie de lutte. Des diverticules se forment et favorisent une mauvaise vidange de la vessie et des infections. Ce n’est pas tant l’hypertrophie de la prostate qui est responsable des troubles urinaires mais sa dureté qui va comprimer l’urètre.</w:t>
      </w:r>
    </w:p>
    <w:p w:rsidR="001A1D5B" w:rsidRPr="00F80994" w:rsidRDefault="008C49D7" w:rsidP="001A1D5B">
      <w:pPr>
        <w:pStyle w:val="Paragraphedeliste"/>
        <w:ind w:left="2124"/>
        <w:rPr>
          <w:rFonts w:ascii="Times New Roman" w:hAnsi="Times New Roman" w:cs="Times New Roman"/>
          <w:sz w:val="24"/>
          <w:szCs w:val="24"/>
          <w:lang w:eastAsia="fr-FR"/>
        </w:rPr>
      </w:pPr>
      <w:r>
        <w:t>L’hypertrophie rend les sphincters moins fonctionnels entraînant une incontinence.</w:t>
      </w:r>
    </w:p>
    <w:p w:rsidR="00773D6B" w:rsidRPr="00F80994" w:rsidRDefault="00773D6B" w:rsidP="000D68A4">
      <w:pPr>
        <w:pStyle w:val="Paragraphedeliste"/>
        <w:numPr>
          <w:ilvl w:val="0"/>
          <w:numId w:val="22"/>
        </w:numPr>
        <w:rPr>
          <w:rFonts w:ascii="Times New Roman" w:hAnsi="Times New Roman" w:cs="Times New Roman"/>
          <w:sz w:val="24"/>
          <w:szCs w:val="24"/>
          <w:lang w:eastAsia="fr-FR"/>
        </w:rPr>
      </w:pPr>
      <w:r>
        <w:t>Lombo-sciatalgies: elles sont le plus souvent du côté gauche en raison du retour veineux spermatique vers la veine rénale gauche;</w:t>
      </w:r>
    </w:p>
    <w:p w:rsidR="005B4CAC" w:rsidRPr="00F80994" w:rsidRDefault="00A00824" w:rsidP="000D68A4">
      <w:pPr>
        <w:pStyle w:val="Paragraphedeliste"/>
        <w:numPr>
          <w:ilvl w:val="0"/>
          <w:numId w:val="16"/>
        </w:numPr>
        <w:rPr>
          <w:rFonts w:ascii="Times New Roman" w:hAnsi="Times New Roman" w:cs="Times New Roman"/>
          <w:sz w:val="24"/>
          <w:szCs w:val="24"/>
          <w:lang w:eastAsia="fr-FR"/>
        </w:rPr>
      </w:pPr>
      <w:r>
        <w:t>Sexuels: impuissance, éjaculation rétrograde;</w:t>
      </w:r>
    </w:p>
    <w:p w:rsidR="00773D6B" w:rsidRDefault="005B4CAC" w:rsidP="000D68A4">
      <w:pPr>
        <w:pStyle w:val="Paragraphedeliste"/>
        <w:numPr>
          <w:ilvl w:val="0"/>
          <w:numId w:val="16"/>
        </w:numPr>
        <w:rPr>
          <w:rFonts w:ascii="Times New Roman" w:hAnsi="Times New Roman" w:cs="Times New Roman"/>
          <w:sz w:val="24"/>
          <w:szCs w:val="24"/>
          <w:lang w:eastAsia="fr-FR"/>
        </w:rPr>
      </w:pPr>
      <w:r>
        <w:t>Vasculaires: hémorroïdes, hernies inguinales.</w:t>
      </w:r>
    </w:p>
    <w:p w:rsidR="00787009" w:rsidRPr="00F80994" w:rsidRDefault="00787009" w:rsidP="00787009">
      <w:pPr>
        <w:pStyle w:val="Paragraphedeliste"/>
        <w:ind w:left="2345"/>
        <w:rPr>
          <w:rFonts w:ascii="Times New Roman" w:hAnsi="Times New Roman" w:cs="Times New Roman"/>
          <w:sz w:val="24"/>
          <w:szCs w:val="24"/>
          <w:lang w:eastAsia="fr-FR"/>
        </w:rPr>
      </w:pPr>
      <w:r/>
    </w:p>
    <w:p w:rsidR="00787009" w:rsidRDefault="00F41D04" w:rsidP="003B5B38">
      <w:pPr>
        <w:pStyle w:val="Paragraphedeliste"/>
        <w:ind w:left="1778"/>
        <w:jc w:val="both"/>
        <w:rPr>
          <w:rFonts w:ascii="Times New Roman" w:hAnsi="Times New Roman" w:cs="Times New Roman"/>
          <w:sz w:val="24"/>
          <w:szCs w:val="24"/>
        </w:rPr>
      </w:pPr>
      <w:r>
        <w:t xml:space="preserve">Intérêt en ROP </w:t>
      </w:r>
    </w:p>
    <w:p w:rsidR="00F41D04" w:rsidRPr="00F80994" w:rsidRDefault="00F41D04" w:rsidP="003B5B38">
      <w:pPr>
        <w:pStyle w:val="Paragraphedeliste"/>
        <w:ind w:left="1778"/>
        <w:jc w:val="both"/>
        <w:rPr>
          <w:rFonts w:ascii="Times New Roman" w:hAnsi="Times New Roman" w:cs="Times New Roman"/>
          <w:sz w:val="24"/>
          <w:szCs w:val="24"/>
        </w:rPr>
      </w:pPr>
      <w:r>
        <w:t xml:space="preserve"> L’hypertrophie de la prostate rend les faces latérales de la loge prostatique plus rigides. Elle met en tension les lames sacro-recto-génito-pubiennes et les plexus hypogastriques inférieurs. Elle perturbe la mobilité des sacro-iliaques et explique les lombo-sciatalgies ou périnéalgies d’origine congestive ou irritative et non de type mécanique, signes avant-coureurs bien avant les troubles mictionnels. </w:t>
      </w:r>
    </w:p>
    <w:p w:rsidR="00F41D04" w:rsidRPr="00F80994" w:rsidRDefault="00F41D04" w:rsidP="001A1D5B">
      <w:pPr>
        <w:pStyle w:val="Paragraphedeliste"/>
        <w:ind w:left="1985"/>
        <w:rPr>
          <w:rFonts w:ascii="Times New Roman" w:hAnsi="Times New Roman" w:cs="Times New Roman"/>
          <w:sz w:val="24"/>
          <w:szCs w:val="24"/>
          <w:lang w:eastAsia="fr-FR"/>
        </w:rPr>
      </w:pPr>
      <w:r/>
    </w:p>
    <w:p w:rsidR="00912EDE" w:rsidRPr="00F80994" w:rsidRDefault="00912EDE" w:rsidP="000D68A4">
      <w:pPr>
        <w:pStyle w:val="Paragraphedeliste"/>
        <w:numPr>
          <w:ilvl w:val="0"/>
          <w:numId w:val="10"/>
        </w:numPr>
        <w:rPr>
          <w:rFonts w:ascii="Times New Roman" w:hAnsi="Times New Roman" w:cs="Times New Roman"/>
          <w:b/>
          <w:sz w:val="24"/>
          <w:szCs w:val="24"/>
          <w:lang w:eastAsia="fr-FR"/>
        </w:rPr>
      </w:pPr>
      <w:r>
        <w:t>Prostatite chronique: elle concerne les hommes autour de la cinquantaine. Elle peut récidiver sur des années. Elle ne donne pas de fièvre. L’infection chronique crée à la longue des troubles hépatiques.</w:t>
      </w:r>
    </w:p>
    <w:p w:rsidR="0030099D" w:rsidRPr="00F80994" w:rsidRDefault="0030099D" w:rsidP="000D68A4">
      <w:pPr>
        <w:pStyle w:val="Paragraphedeliste"/>
        <w:numPr>
          <w:ilvl w:val="0"/>
          <w:numId w:val="23"/>
        </w:numPr>
        <w:rPr>
          <w:rFonts w:ascii="Times New Roman" w:hAnsi="Times New Roman" w:cs="Times New Roman"/>
          <w:sz w:val="24"/>
          <w:szCs w:val="24"/>
          <w:lang w:eastAsia="fr-FR"/>
        </w:rPr>
      </w:pPr>
      <w:r>
        <w:t xml:space="preserve">Signes cliniques: </w:t>
      </w:r>
    </w:p>
    <w:p w:rsidR="001A1D5B" w:rsidRPr="00F80994" w:rsidRDefault="00504150" w:rsidP="000D68A4">
      <w:pPr>
        <w:pStyle w:val="Paragraphedeliste"/>
        <w:numPr>
          <w:ilvl w:val="0"/>
          <w:numId w:val="24"/>
        </w:numPr>
        <w:jc w:val="both"/>
        <w:rPr>
          <w:rFonts w:ascii="Times New Roman" w:hAnsi="Times New Roman" w:cs="Times New Roman"/>
          <w:sz w:val="24"/>
          <w:szCs w:val="24"/>
        </w:rPr>
      </w:pPr>
      <w:r>
        <w:t>dysurie: difficulté à uriner;</w:t>
      </w:r>
    </w:p>
    <w:p w:rsidR="001A1D5B" w:rsidRPr="00F80994" w:rsidRDefault="00504150" w:rsidP="000D68A4">
      <w:pPr>
        <w:pStyle w:val="Paragraphedeliste"/>
        <w:numPr>
          <w:ilvl w:val="0"/>
          <w:numId w:val="24"/>
        </w:numPr>
        <w:jc w:val="both"/>
        <w:rPr>
          <w:rFonts w:ascii="Times New Roman" w:hAnsi="Times New Roman" w:cs="Times New Roman"/>
          <w:sz w:val="24"/>
          <w:szCs w:val="24"/>
        </w:rPr>
      </w:pPr>
      <w:r>
        <w:t>pollakiurie: urine souvent et peu;</w:t>
      </w:r>
    </w:p>
    <w:p w:rsidR="00504150" w:rsidRDefault="00504150" w:rsidP="000D68A4">
      <w:pPr>
        <w:pStyle w:val="Paragraphedeliste"/>
        <w:numPr>
          <w:ilvl w:val="0"/>
          <w:numId w:val="24"/>
        </w:numPr>
        <w:jc w:val="both"/>
        <w:rPr>
          <w:rFonts w:ascii="Times New Roman" w:hAnsi="Times New Roman" w:cs="Times New Roman"/>
          <w:sz w:val="24"/>
          <w:szCs w:val="24"/>
        </w:rPr>
      </w:pPr>
      <w:r>
        <w:t>brûlure à la miction;</w:t>
      </w:r>
    </w:p>
    <w:p w:rsidR="002A4EC3" w:rsidRDefault="002A4EC3" w:rsidP="000D68A4">
      <w:pPr>
        <w:pStyle w:val="Paragraphedeliste"/>
        <w:numPr>
          <w:ilvl w:val="0"/>
          <w:numId w:val="24"/>
        </w:numPr>
        <w:jc w:val="both"/>
        <w:rPr>
          <w:rFonts w:ascii="Times New Roman" w:hAnsi="Times New Roman" w:cs="Times New Roman"/>
          <w:sz w:val="24"/>
          <w:szCs w:val="24"/>
        </w:rPr>
      </w:pPr>
      <w:r>
        <w:t>douleurs lombaires, pelviennes et génitales;</w:t>
      </w:r>
    </w:p>
    <w:p w:rsidR="002A4EC3" w:rsidRPr="002A4EC3" w:rsidRDefault="002A4EC3" w:rsidP="000D68A4">
      <w:pPr>
        <w:pStyle w:val="Paragraphedeliste"/>
        <w:numPr>
          <w:ilvl w:val="0"/>
          <w:numId w:val="24"/>
        </w:numPr>
        <w:jc w:val="both"/>
        <w:rPr>
          <w:rFonts w:ascii="Times New Roman" w:hAnsi="Times New Roman" w:cs="Times New Roman"/>
          <w:sz w:val="24"/>
          <w:szCs w:val="24"/>
        </w:rPr>
      </w:pPr>
      <w:r>
        <w:t xml:space="preserve"> stérilité, impuissance.</w:t>
      </w:r>
    </w:p>
    <w:p w:rsidR="00EF279D" w:rsidRPr="00F80994" w:rsidRDefault="00504150" w:rsidP="000D68A4">
      <w:pPr>
        <w:pStyle w:val="Paragraphedeliste"/>
        <w:numPr>
          <w:ilvl w:val="0"/>
          <w:numId w:val="23"/>
        </w:numPr>
        <w:jc w:val="both"/>
        <w:rPr>
          <w:rFonts w:ascii="Times New Roman" w:hAnsi="Times New Roman" w:cs="Times New Roman"/>
          <w:sz w:val="24"/>
          <w:szCs w:val="24"/>
        </w:rPr>
      </w:pPr>
      <w:r>
        <w:t>Examen: au toucher rectal, la prostate est augmentée de volume, de consistance ferme mais non douloureuse.</w:t>
      </w:r>
    </w:p>
    <w:p w:rsidR="00492766" w:rsidRPr="00F80994" w:rsidRDefault="00492766" w:rsidP="00492766">
      <w:pPr>
        <w:pStyle w:val="Paragraphedeliste"/>
        <w:ind w:left="2203"/>
        <w:jc w:val="both"/>
        <w:rPr>
          <w:rFonts w:ascii="Times New Roman" w:hAnsi="Times New Roman" w:cs="Times New Roman"/>
          <w:sz w:val="24"/>
          <w:szCs w:val="24"/>
        </w:rPr>
      </w:pPr>
      <w:r/>
    </w:p>
    <w:p w:rsidR="00796EE9" w:rsidRPr="00502559" w:rsidRDefault="00502559" w:rsidP="00502559">
      <w:pPr>
        <w:pStyle w:val="Titre1"/>
        <w:numPr>
          <w:ilvl w:val="0"/>
          <w:numId w:val="35"/>
        </w:numPr>
        <w:rPr>
          <w:color w:val="auto"/>
        </w:rPr>
      </w:pPr>
      <w:r>
        <w:t xml:space="preserve">Relations viscéro-somatiques </w:t>
      </w:r>
    </w:p>
    <w:p w:rsidR="0015100A" w:rsidRPr="00F80994" w:rsidRDefault="0015100A" w:rsidP="000D68A4">
      <w:pPr>
        <w:pStyle w:val="Paragraphedeliste"/>
        <w:numPr>
          <w:ilvl w:val="0"/>
          <w:numId w:val="4"/>
        </w:numPr>
        <w:rPr>
          <w:rFonts w:ascii="Times New Roman" w:hAnsi="Times New Roman" w:cs="Times New Roman"/>
          <w:sz w:val="24"/>
          <w:szCs w:val="24"/>
        </w:rPr>
      </w:pPr>
      <w:r>
        <w:t>Vertèbres Th12-L1, L5-sacrum, coccyx;</w:t>
      </w:r>
    </w:p>
    <w:p w:rsidR="0015100A" w:rsidRPr="00F80994" w:rsidRDefault="0015100A" w:rsidP="000D68A4">
      <w:pPr>
        <w:pStyle w:val="Paragraphedeliste"/>
        <w:numPr>
          <w:ilvl w:val="0"/>
          <w:numId w:val="4"/>
        </w:numPr>
        <w:rPr>
          <w:rFonts w:ascii="Times New Roman" w:hAnsi="Times New Roman" w:cs="Times New Roman"/>
          <w:sz w:val="24"/>
          <w:szCs w:val="24"/>
        </w:rPr>
      </w:pPr>
      <w:r>
        <w:t>Membre inférieur, pied.</w:t>
      </w:r>
    </w:p>
    <w:p w:rsidR="0015100A" w:rsidRPr="00E038B7" w:rsidRDefault="00796EE9" w:rsidP="00502559">
      <w:pPr>
        <w:pStyle w:val="Titre1"/>
        <w:numPr>
          <w:ilvl w:val="0"/>
          <w:numId w:val="35"/>
        </w:numPr>
        <w:rPr/>
      </w:pPr>
      <w:r>
        <w:t xml:space="preserve">Relations viscéro-émotionnelles </w:t>
      </w:r>
    </w:p>
    <w:p w:rsidR="00D60773" w:rsidRPr="00F80994" w:rsidRDefault="00D60773" w:rsidP="00D60773">
      <w:pPr>
        <w:pStyle w:val="Paragraphedeliste"/>
        <w:ind w:left="644"/>
        <w:jc w:val="both"/>
        <w:rPr>
          <w:rFonts w:ascii="Times New Roman" w:hAnsi="Times New Roman" w:cs="Times New Roman"/>
          <w:sz w:val="24"/>
          <w:szCs w:val="24"/>
        </w:rPr>
      </w:pPr>
      <w:r>
        <w:t>Très hormono-dépendante, la prostate réagit fortement aux déséquilibres hormonaux provoqués par des états de stress. A l’andropause, l’âge  de la retraite fait perdre à l’homme sa position sociale, il se sent dévalorisé par sa perte de reconnaissance. Il veut retrouver des occupations revalorisantes et se prouver qu’il reste jeune. Il veut séduire. Il se lance dans des défis déraisonnés. Sur le plan sexuel, c’est la peur de la panne sexuelle et de ne plus être à la hauteur qui domine.</w:t>
      </w:r>
    </w:p>
    <w:p w:rsidR="00C27D1B" w:rsidRPr="00F80994" w:rsidRDefault="00C27D1B" w:rsidP="00C27D1B">
      <w:pPr>
        <w:ind w:left="644"/>
        <w:jc w:val="both"/>
        <w:rPr>
          <w:rFonts w:ascii="Times New Roman" w:hAnsi="Times New Roman" w:cs="Times New Roman"/>
          <w:sz w:val="24"/>
          <w:szCs w:val="24"/>
        </w:rPr>
      </w:pPr>
      <w:r>
        <w:t>Le couple: il doit réapprendre à vivre à deux, éviter les conflits et que chacun trouve sa place. La maison familiale doit rester un nid accueillant dans lequel les enfants et petits-enfants sont contents de se retrouver.</w:t>
      </w:r>
    </w:p>
    <w:p w:rsidR="00C27D1B" w:rsidRPr="001E7168" w:rsidRDefault="00C27D1B" w:rsidP="00C27D1B">
      <w:pPr>
        <w:rPr>
          <w:rFonts w:ascii="Times New Roman" w:hAnsi="Times New Roman" w:cs="Times New Roman"/>
          <w:sz w:val="24"/>
          <w:szCs w:val="24"/>
        </w:rPr>
      </w:pPr>
      <w:r/>
    </w:p>
    <w:p w:rsidR="00C27D1B" w:rsidRPr="006A7779" w:rsidRDefault="00C27D1B" w:rsidP="00D60773">
      <w:pPr>
        <w:pStyle w:val="Paragraphedeliste"/>
        <w:ind w:left="644"/>
        <w:jc w:val="both"/>
        <w:rPr>
          <w:rFonts w:ascii="Times New Roman" w:hAnsi="Times New Roman" w:cs="Times New Roman"/>
          <w:sz w:val="24"/>
          <w:szCs w:val="24"/>
        </w:rPr>
      </w:pPr>
      <w:r/>
    </w:p>
    <w:p w:rsidR="004A5861" w:rsidRPr="001463EE" w:rsidRDefault="004A5861" w:rsidP="008440D3">
      <w:pPr/>
      <w:r/>
    </w:p>
    <w:p w:rsidR="007B79AF" w:rsidRDefault="007B79AF" w:rsidP="00C9269C">
      <w:pPr>
        <w:jc w:val="both"/>
        <w:rPr>
          <w:rFonts w:ascii="Arial" w:eastAsia="Times New Roman" w:hAnsi="Arial" w:cs="Arial"/>
          <w:color w:val="525255"/>
          <w:sz w:val="13"/>
          <w:szCs w:val="13"/>
          <w:lang w:eastAsia="fr-FR"/>
        </w:rPr>
      </w:pPr>
      <w:r/>
    </w:p>
    <w:p w:rsidR="006F1136" w:rsidRPr="00036880" w:rsidRDefault="00D311D6" w:rsidP="000D68A4">
      <w:pPr>
        <w:pStyle w:val="Titre1"/>
        <w:numPr>
          <w:ilvl w:val="0"/>
          <w:numId w:val="35"/>
        </w:numPr>
        <w:rPr>
          <w:color w:val="auto"/>
        </w:rPr>
      </w:pPr>
      <w:r>
        <w:t xml:space="preserve">Zones réflexes podales </w:t>
      </w:r>
    </w:p>
    <w:p w:rsidR="00F23F36" w:rsidRPr="00660C0A" w:rsidRDefault="00F23F36" w:rsidP="00893C52">
      <w:pPr>
        <w:pStyle w:val="Paragraphedeliste"/>
        <w:numPr>
          <w:ilvl w:val="2"/>
          <w:numId w:val="40"/>
        </w:numPr>
        <w:rPr>
          <w:rFonts w:ascii="Times New Roman" w:hAnsi="Times New Roman" w:cs="Times New Roman"/>
          <w:sz w:val="24"/>
          <w:szCs w:val="24"/>
        </w:rPr>
      </w:pPr>
      <w:r>
        <w:t>Syndrome général d’adaptation: Chapitre 2, page…)</w:t>
      </w:r>
    </w:p>
    <w:p w:rsidR="00191814" w:rsidRPr="00893C52" w:rsidRDefault="00824F28" w:rsidP="00893C52">
      <w:pPr>
        <w:pStyle w:val="Paragraphedeliste"/>
        <w:numPr>
          <w:ilvl w:val="0"/>
          <w:numId w:val="40"/>
        </w:numPr>
        <w:jc w:val="both"/>
        <w:rPr>
          <w:rFonts w:ascii="Times New Roman" w:hAnsi="Times New Roman" w:cs="Times New Roman"/>
          <w:sz w:val="24"/>
          <w:szCs w:val="24"/>
        </w:rPr>
      </w:pPr>
      <w:r>
        <w:t xml:space="preserve">Colonne vertébrale: étage médullaire sympathique Th10 à Th12 (à hauteur des  vertèbres Th10 à Th12), L5, sacrum, coccyx), chaîne ganglionnaire latéro-vertébrale lombaire et sacrée; (figures 4.29 et 4.32) </w:t>
      </w:r>
    </w:p>
    <w:p w:rsidR="00893C52" w:rsidRPr="00893C52" w:rsidRDefault="00893C52" w:rsidP="00893C52">
      <w:pPr>
        <w:pStyle w:val="Paragraphedeliste"/>
        <w:numPr>
          <w:ilvl w:val="0"/>
          <w:numId w:val="33"/>
        </w:numPr>
        <w:jc w:val="both"/>
        <w:rPr>
          <w:rFonts w:ascii="Times New Roman" w:hAnsi="Times New Roman" w:cs="Times New Roman"/>
          <w:sz w:val="24"/>
          <w:szCs w:val="24"/>
        </w:rPr>
      </w:pPr>
      <w:r>
        <w:t>Parasympathique pelvien (sacré): moelle sacrée  S2-S3-S4 (étage vertébral L1-L2); (figures 4.23)</w:t>
      </w:r>
    </w:p>
    <w:p w:rsidR="00B05B49" w:rsidRPr="00B05B49" w:rsidRDefault="00B05B49" w:rsidP="000D68A4">
      <w:pPr>
        <w:pStyle w:val="Paragraphedeliste"/>
        <w:numPr>
          <w:ilvl w:val="0"/>
          <w:numId w:val="33"/>
        </w:numPr>
        <w:jc w:val="both"/>
        <w:rPr>
          <w:rFonts w:ascii="Times New Roman" w:hAnsi="Times New Roman" w:cs="Times New Roman"/>
          <w:color w:val="FF0000"/>
          <w:sz w:val="24"/>
          <w:szCs w:val="24"/>
        </w:rPr>
      </w:pPr>
      <w:r>
        <w:t xml:space="preserve">Foie; (figures 11.10 et 11.11) </w:t>
      </w:r>
    </w:p>
    <w:p w:rsidR="00C05F67" w:rsidRPr="00B05B49" w:rsidRDefault="00B05B49" w:rsidP="000D68A4">
      <w:pPr>
        <w:pStyle w:val="Paragraphedeliste"/>
        <w:numPr>
          <w:ilvl w:val="0"/>
          <w:numId w:val="33"/>
        </w:numPr>
        <w:jc w:val="both"/>
        <w:rPr>
          <w:rFonts w:ascii="Times New Roman" w:hAnsi="Times New Roman" w:cs="Times New Roman"/>
          <w:color w:val="FF0000"/>
          <w:sz w:val="24"/>
          <w:szCs w:val="24"/>
        </w:rPr>
      </w:pPr>
      <w:r>
        <w:t xml:space="preserve">Rein gauche. (figures 16.13 et figure 16.14) </w:t>
      </w:r>
    </w:p>
    <w:p w:rsidR="00B05B49" w:rsidRDefault="00B05B49" w:rsidP="00B05B49">
      <w:pPr>
        <w:pStyle w:val="Paragraphedeliste"/>
        <w:ind w:left="2880"/>
        <w:jc w:val="both"/>
        <w:rPr>
          <w:rFonts w:ascii="Times New Roman" w:hAnsi="Times New Roman" w:cs="Times New Roman"/>
          <w:sz w:val="24"/>
          <w:szCs w:val="24"/>
        </w:rPr>
      </w:pPr>
      <w:r/>
    </w:p>
    <w:p w:rsidR="00B05B49" w:rsidRPr="00893C52" w:rsidRDefault="00502559" w:rsidP="00893C52">
      <w:pPr>
        <w:ind w:left="360"/>
        <w:jc w:val="both"/>
        <w:rPr>
          <w:rFonts w:ascii="Times New Roman" w:hAnsi="Times New Roman" w:cs="Times New Roman"/>
          <w:b/>
          <w:sz w:val="24"/>
          <w:szCs w:val="24"/>
        </w:rPr>
      </w:pPr>
      <w:r>
        <w:t xml:space="preserve">   2. Syndrome loco-régional:</w:t>
      </w:r>
    </w:p>
    <w:p w:rsidR="00E23961" w:rsidRPr="00E23961" w:rsidRDefault="00191814" w:rsidP="00E23961">
      <w:pPr>
        <w:pStyle w:val="Paragraphedeliste"/>
        <w:numPr>
          <w:ilvl w:val="0"/>
          <w:numId w:val="33"/>
        </w:numPr>
        <w:jc w:val="both"/>
        <w:rPr>
          <w:rFonts w:ascii="Times New Roman" w:hAnsi="Times New Roman" w:cs="Times New Roman"/>
          <w:color w:val="FF0000"/>
          <w:sz w:val="24"/>
          <w:szCs w:val="24"/>
        </w:rPr>
      </w:pPr>
      <w:r>
        <w:t xml:space="preserve">Cavité pelvienne, périnée : (figures 17.15, 17.16 et 17.17) </w:t>
      </w:r>
    </w:p>
    <w:p w:rsidR="00E23961" w:rsidRPr="00E23961" w:rsidRDefault="00824F28" w:rsidP="00E23961">
      <w:pPr>
        <w:pStyle w:val="Paragraphedeliste"/>
        <w:numPr>
          <w:ilvl w:val="0"/>
          <w:numId w:val="33"/>
        </w:numPr>
        <w:jc w:val="both"/>
        <w:rPr>
          <w:rFonts w:ascii="Times New Roman" w:hAnsi="Times New Roman" w:cs="Times New Roman"/>
          <w:color w:val="FF0000"/>
          <w:sz w:val="24"/>
          <w:szCs w:val="24"/>
        </w:rPr>
      </w:pPr>
      <w:r>
        <w:t xml:space="preserve">Testicule: c’est la même zone réflexe que l’ovaire: bord antérieur du talon, à l’aplomb des 4ème et 5ème orteils; (figures 20.11 et 19.8).  </w:t>
      </w:r>
    </w:p>
    <w:p w:rsidR="00E23961" w:rsidRDefault="001C52DB" w:rsidP="00E23961">
      <w:pPr>
        <w:pStyle w:val="Paragraphedeliste"/>
        <w:numPr>
          <w:ilvl w:val="0"/>
          <w:numId w:val="33"/>
        </w:numPr>
        <w:jc w:val="both"/>
        <w:rPr>
          <w:rFonts w:ascii="Times New Roman" w:hAnsi="Times New Roman" w:cs="Times New Roman"/>
          <w:color w:val="FF0000"/>
          <w:sz w:val="24"/>
          <w:szCs w:val="24"/>
        </w:rPr>
      </w:pPr>
      <w:r>
        <w:t>Canal inguinal, cordon spermatique et muscle crémaster: au niveau de l’interligne tibio-tarsien antérieur; (figures 19.4 et 20.12)</w:t>
      </w:r>
    </w:p>
    <w:p w:rsidR="00A24EF3" w:rsidRPr="00502559" w:rsidRDefault="00294713" w:rsidP="00E23961">
      <w:pPr>
        <w:pStyle w:val="Paragraphedeliste"/>
        <w:numPr>
          <w:ilvl w:val="0"/>
          <w:numId w:val="33"/>
        </w:numPr>
        <w:jc w:val="both"/>
        <w:rPr>
          <w:rFonts w:ascii="Times New Roman" w:hAnsi="Times New Roman" w:cs="Times New Roman"/>
          <w:color w:val="FF0000"/>
          <w:sz w:val="24"/>
          <w:szCs w:val="24"/>
        </w:rPr>
      </w:pPr>
      <w:r>
        <w:t xml:space="preserve">Prostate, vésicule séminale et plexus hypogastrique inférieur (partie moyenne): petite dépression en avant de l’articulation sacro-coccygienne. (figures 18.7 et 18.9) </w:t>
      </w:r>
    </w:p>
    <w:p w:rsidR="00502559" w:rsidRPr="00E23961" w:rsidRDefault="00502559" w:rsidP="00502559">
      <w:pPr>
        <w:pStyle w:val="Paragraphedeliste"/>
        <w:ind w:left="644"/>
        <w:jc w:val="both"/>
        <w:rPr>
          <w:rFonts w:ascii="Times New Roman" w:hAnsi="Times New Roman" w:cs="Times New Roman"/>
          <w:color w:val="FF0000"/>
          <w:sz w:val="24"/>
          <w:szCs w:val="24"/>
        </w:rPr>
      </w:pPr>
      <w:r/>
    </w:p>
    <w:p w:rsidR="00502559" w:rsidRPr="00502559" w:rsidRDefault="00502559" w:rsidP="00502559">
      <w:pPr>
        <w:pStyle w:val="Paragraphedeliste"/>
        <w:numPr>
          <w:ilvl w:val="0"/>
          <w:numId w:val="42"/>
        </w:numPr>
        <w:rPr>
          <w:rFonts w:ascii="Times New Roman" w:hAnsi="Times New Roman" w:cs="Times New Roman"/>
          <w:sz w:val="24"/>
          <w:szCs w:val="24"/>
        </w:rPr>
      </w:pPr>
      <w:r>
        <w:t xml:space="preserve">  Système limbique: Chapitre 2, page…)</w:t>
      </w:r>
    </w:p>
    <w:p w:rsidR="00502559" w:rsidRPr="00502559" w:rsidRDefault="00502559" w:rsidP="00502559">
      <w:pPr>
        <w:pStyle w:val="Paragraphedeliste"/>
        <w:numPr>
          <w:ilvl w:val="2"/>
          <w:numId w:val="32"/>
        </w:numPr>
        <w:jc w:val="both"/>
        <w:rPr>
          <w:rFonts w:ascii="Times New Roman" w:hAnsi="Times New Roman" w:cs="Times New Roman"/>
          <w:sz w:val="24"/>
          <w:szCs w:val="24"/>
        </w:rPr>
      </w:pPr>
      <w:r>
        <w:t>Balance cerveau limbique-prostate: écoute-induction,  un pouce sur la prostate, l’autre pouce sur cerveau limbique. (figure 1.12)</w:t>
      </w:r>
    </w:p>
    <w:sectPr w:rsidR="007B79AF" w:rsidSect="00CC364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_sans_proregular">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abstractNumId w:val="1"/>
  </w:num>
  <w:num w:numId="2">
    <w:abstractNumId w:val="41"/>
  </w:num>
  <w:num w:numId="3">
    <w:abstractNumId w:val="19"/>
  </w:num>
  <w:num w:numId="4">
    <w:abstractNumId w:val="25"/>
  </w:num>
  <w:num w:numId="5">
    <w:abstractNumId w:val="37"/>
  </w:num>
  <w:num w:numId="6">
    <w:abstractNumId w:val="23"/>
  </w:num>
  <w:num w:numId="7">
    <w:abstractNumId w:val="6"/>
  </w:num>
  <w:num w:numId="8">
    <w:abstractNumId w:val="35"/>
  </w:num>
  <w:num w:numId="9">
    <w:abstractNumId w:val="39"/>
  </w:num>
  <w:num w:numId="10">
    <w:abstractNumId w:val="40"/>
  </w:num>
  <w:num w:numId="11">
    <w:abstractNumId w:val="3"/>
  </w:num>
  <w:num w:numId="12">
    <w:abstractNumId w:val="13"/>
  </w:num>
  <w:num w:numId="13">
    <w:abstractNumId w:val="17"/>
  </w:num>
  <w:num w:numId="14">
    <w:abstractNumId w:val="31"/>
  </w:num>
  <w:num w:numId="15">
    <w:abstractNumId w:val="29"/>
  </w:num>
  <w:num w:numId="16">
    <w:abstractNumId w:val="33"/>
  </w:num>
  <w:num w:numId="17">
    <w:abstractNumId w:val="14"/>
  </w:num>
  <w:num w:numId="18">
    <w:abstractNumId w:val="9"/>
  </w:num>
  <w:num w:numId="19">
    <w:abstractNumId w:val="28"/>
  </w:num>
  <w:num w:numId="20">
    <w:abstractNumId w:val="36"/>
  </w:num>
  <w:num w:numId="21">
    <w:abstractNumId w:val="4"/>
  </w:num>
  <w:num w:numId="22">
    <w:abstractNumId w:val="24"/>
  </w:num>
  <w:num w:numId="23">
    <w:abstractNumId w:val="18"/>
  </w:num>
  <w:num w:numId="24">
    <w:abstractNumId w:val="22"/>
  </w:num>
  <w:num w:numId="25">
    <w:abstractNumId w:val="7"/>
  </w:num>
  <w:num w:numId="26">
    <w:abstractNumId w:val="15"/>
  </w:num>
  <w:num w:numId="27">
    <w:abstractNumId w:val="43"/>
  </w:num>
  <w:num w:numId="28">
    <w:abstractNumId w:val="5"/>
  </w:num>
  <w:num w:numId="29">
    <w:abstractNumId w:val="12"/>
  </w:num>
  <w:num w:numId="30">
    <w:abstractNumId w:val="11"/>
  </w:num>
  <w:num w:numId="31">
    <w:abstractNumId w:val="10"/>
  </w:num>
  <w:num w:numId="32">
    <w:abstractNumId w:val="26"/>
  </w:num>
  <w:num w:numId="33">
    <w:abstractNumId w:val="34"/>
  </w:num>
  <w:num w:numId="34">
    <w:abstractNumId w:val="27"/>
  </w:num>
  <w:num w:numId="35">
    <w:abstractNumId w:val="20"/>
  </w:num>
  <w:num w:numId="36">
    <w:abstractNumId w:val="42"/>
  </w:num>
  <w:num w:numId="37">
    <w:abstractNumId w:val="0"/>
  </w:num>
  <w:num w:numId="38">
    <w:abstractNumId w:val="38"/>
  </w:num>
  <w:num w:numId="39">
    <w:abstractNumId w:val="32"/>
  </w:num>
  <w:num w:numId="40">
    <w:abstractNumId w:val="16"/>
  </w:num>
  <w:num w:numId="41">
    <w:abstractNumId w:val="2"/>
  </w:num>
  <w:num w:numId="42">
    <w:abstractNumId w:val="8"/>
  </w:num>
  <w:num w:numId="43">
    <w:abstractNumId w:val="21"/>
  </w:num>
  <w:num w:numId="44">
    <w:abstractNumId w:val="30"/>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7C57"/>
    <w:rsid w:val="001D2873"/>
    <w:rsid w:val="001D4779"/>
    <w:rsid w:val="001E38EB"/>
    <w:rsid w:val="001E7168"/>
    <w:rsid w:val="001F3E0C"/>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92460"/>
    <w:rsid w:val="00492766"/>
    <w:rsid w:val="004950D3"/>
    <w:rsid w:val="004953A9"/>
    <w:rsid w:val="004A0805"/>
    <w:rsid w:val="004A256D"/>
    <w:rsid w:val="004A5861"/>
    <w:rsid w:val="004A7BB4"/>
    <w:rsid w:val="004B31A2"/>
    <w:rsid w:val="004D0174"/>
    <w:rsid w:val="004D042B"/>
    <w:rsid w:val="004D3161"/>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424D"/>
    <w:rsid w:val="00991260"/>
    <w:rsid w:val="009921A2"/>
    <w:rsid w:val="009B470D"/>
    <w:rsid w:val="009B4DAF"/>
    <w:rsid w:val="009B6A09"/>
    <w:rsid w:val="009D38E2"/>
    <w:rsid w:val="009E68C3"/>
    <w:rsid w:val="009E7846"/>
    <w:rsid w:val="009F00C7"/>
    <w:rsid w:val="009F1415"/>
    <w:rsid w:val="009F3B12"/>
    <w:rsid w:val="009F7FA0"/>
    <w:rsid w:val="00A00824"/>
    <w:rsid w:val="00A10176"/>
    <w:rsid w:val="00A14CEB"/>
    <w:rsid w:val="00A24EF3"/>
    <w:rsid w:val="00A51147"/>
    <w:rsid w:val="00A56D53"/>
    <w:rsid w:val="00A57F7B"/>
    <w:rsid w:val="00A72250"/>
    <w:rsid w:val="00A736D9"/>
    <w:rsid w:val="00AA5A78"/>
    <w:rsid w:val="00AB26B5"/>
    <w:rsid w:val="00AB7E71"/>
    <w:rsid w:val="00AC30FB"/>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79D"/>
  </w:style>
  <w:style w:type="paragraph" w:styleId="Titre1">
    <w:name w:val="heading 1"/>
    <w:basedOn w:val="Normal"/>
    <w:next w:val="Normal"/>
    <w:link w:val="Titre1C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EF279D"/>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C555F6"/>
    <w:rPr>
      <w:color w:val="0000FF"/>
      <w:u w:val="single"/>
    </w:rPr>
  </w:style>
  <w:style w:type="character" w:customStyle="1" w:styleId="lang-la">
    <w:name w:val="lang-la"/>
    <w:basedOn w:val="Policepardfaut"/>
    <w:rsid w:val="00C555F6"/>
  </w:style>
  <w:style w:type="character" w:customStyle="1" w:styleId="cite-bracket">
    <w:name w:val="cite-bracket"/>
    <w:basedOn w:val="Policepardfaut"/>
    <w:rsid w:val="00F17E16"/>
  </w:style>
  <w:style w:type="character" w:customStyle="1" w:styleId="Titre3Car">
    <w:name w:val="Titre 3 Car"/>
    <w:basedOn w:val="Policepardfaut"/>
    <w:link w:val="Titre3"/>
    <w:uiPriority w:val="9"/>
    <w:rsid w:val="001463EE"/>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C87A4E"/>
    <w:pPr>
      <w:spacing w:after="0" w:line="240" w:lineRule="auto"/>
    </w:pPr>
  </w:style>
</w:styles>
</file>

<file path=word/webSettings.xml><?xml version="1.0" encoding="utf-8"?>
<w:webSettings xmlns:r="http://schemas.openxmlformats.org/officeDocument/2006/relationships" xmlns:w="http://schemas.openxmlformats.org/wordprocessingml/2006/main">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r.wikipedia.org/wiki/Hormone_st%C3%A9ro%C3%AFdienn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4721</TotalTime>
  <Pages>1</Pages>
  <Words>3772</Words>
  <Characters>20747</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99</cp:revision>
  <cp:lastPrinted>2026-02-05T16:56:00Z</cp:lastPrinted>
  <dcterms:created xsi:type="dcterms:W3CDTF">2025-07-02T15:17:00Z</dcterms:created>
  <dcterms:modified xsi:type="dcterms:W3CDTF">2026-02-05T17:00:00Z</dcterms:modified>
</cp:coreProperties>
</file>