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line="252" w:lineRule="auto"/>
        <w:jc w:val="center"/>
      </w:pPr>
      <w:r>
        <w:t>Chapter 14. Small Intestine</w:t>
      </w:r>
    </w:p>
    <w:p>
      <w:pPr>
        <w:pStyle w:val="Heading1"/>
        <w:spacing w:after="80" w:line="252" w:lineRule="auto"/>
      </w:pPr>
      <w:r>
        <w:t>Presentation</w:t>
      </w:r>
    </w:p>
    <w:p>
      <w:pPr>
        <w:spacing w:after="80" w:line="252" w:lineRule="auto"/>
      </w:pPr>
      <w:r>
        <w:t>The small intestine is the longest abdominal viscus in the body. In the cadaver, it measures approximately 6 to 7 metres; in the living subject, it is considerably shorter because of its muscular tone. It consists of two parts:</w:t>
      </w:r>
    </w:p>
    <w:p>
      <w:pPr>
        <w:pStyle w:val="ListBullet"/>
        <w:spacing w:after="80" w:line="252" w:lineRule="auto"/>
      </w:pPr>
      <w:r>
        <w:t>The duodenum</w:t>
      </w:r>
    </w:p>
    <w:p>
      <w:pPr>
        <w:pStyle w:val="ListBullet"/>
        <w:spacing w:after="80" w:line="252" w:lineRule="auto"/>
      </w:pPr>
      <w:r>
        <w:t>The jejuno-ileum</w:t>
      </w:r>
    </w:p>
    <w:p>
      <w:pPr>
        <w:spacing w:after="80" w:line="252" w:lineRule="auto"/>
      </w:pPr>
      <w:r>
        <w:t>Together, they extend from the pylorus to the ileocaecal valve and play a major role in digestion and absorption. Although the duodenum belongs to the small intestine, it is covered in a separate chapter (see Chapter 10, Duodenum, page...) because of its specific anatomical and physiological characteristics.</w:t>
      </w:r>
    </w:p>
    <w:p>
      <w:pPr>
        <w:spacing w:after="80" w:line="252" w:lineRule="auto"/>
      </w:pPr>
      <w:r>
        <w:t>The jejuno-ileum differs from the duodenum in several respects:</w:t>
      </w:r>
    </w:p>
    <w:p>
      <w:pPr>
        <w:pStyle w:val="ListBullet"/>
        <w:spacing w:after="80" w:line="252" w:lineRule="auto"/>
      </w:pPr>
      <w:r>
        <w:t>It has a thin, smooth, completely peritonealised, highly mobile wall. Its lumen measures only 2 to 3 cm in diameter;</w:t>
      </w:r>
    </w:p>
    <w:p>
      <w:pPr>
        <w:pStyle w:val="ListBullet"/>
        <w:spacing w:after="80" w:line="252" w:lineRule="auto"/>
      </w:pPr>
      <w:r>
        <w:t>It plays a major digestive role through the interaction between the mucosa, intestinal secretions and the microbiota, also known as the intestinal flora;</w:t>
      </w:r>
    </w:p>
    <w:p>
      <w:pPr>
        <w:pStyle w:val="ListBullet"/>
        <w:spacing w:after="80" w:line="252" w:lineRule="auto"/>
      </w:pPr>
      <w:r>
        <w:t>It contributes significantly to metabolism and immunity;</w:t>
      </w:r>
    </w:p>
    <w:p>
      <w:pPr>
        <w:pStyle w:val="ListBullet"/>
        <w:spacing w:after="80" w:line="252" w:lineRule="auto"/>
      </w:pPr>
      <w:r>
        <w:t>It has a particularly well-developed intrinsic nervous system;</w:t>
      </w:r>
    </w:p>
    <w:p>
      <w:pPr>
        <w:pStyle w:val="ListBullet"/>
        <w:spacing w:after="80" w:line="252" w:lineRule="auto"/>
      </w:pPr>
      <w:r>
        <w:t>It interacts closely with the gut-brain axis, with possible effects on the emotional sphere.</w:t>
      </w:r>
    </w:p>
    <w:p>
      <w:pPr>
        <w:pStyle w:val="ListBullet"/>
        <w:spacing w:after="80" w:line="252" w:lineRule="auto"/>
      </w:pPr>
      <w:r>
        <w:t>Functionally, the small intestine and the colon are interdependent.</w:t>
      </w:r>
    </w:p>
    <w:p>
      <w:pPr>
        <w:pStyle w:val="Heading1"/>
        <w:spacing w:after="80" w:line="252" w:lineRule="auto"/>
      </w:pPr>
      <w:r>
        <w:t>Location</w:t>
      </w:r>
    </w:p>
    <w:p>
      <w:pPr>
        <w:spacing w:after="80" w:line="252" w:lineRule="auto"/>
      </w:pPr>
      <w:r>
        <w:t>The jejuno-ileum occupies a large part of the abdominal cavity, more often on the left than on the right, within the colonic frame (Figure 14.1). The jejunum is primarily located in the upper left quadrant of the abdomen. The ileum is mainly located in the lower right quadrant.</w:t>
      </w:r>
    </w:p>
    <w:p>
      <w:pPr>
        <w:pStyle w:val="Caption"/>
        <w:spacing w:after="80" w:line="252" w:lineRule="auto"/>
        <w:jc w:val="center"/>
      </w:pPr>
      <w:r>
        <w:rPr>
          <w:i/>
        </w:rPr>
        <w:t>Figure 14.1. Abdominal topography in four quadrants</w:t>
      </w:r>
    </w:p>
    <w:p>
      <w:pPr>
        <w:pStyle w:val="Heading1"/>
        <w:spacing w:after="80" w:line="252" w:lineRule="auto"/>
      </w:pPr>
      <w:r>
        <w:t>Anatomy</w:t>
      </w:r>
    </w:p>
    <w:p>
      <w:pPr>
        <w:pStyle w:val="ListBullet"/>
        <w:spacing w:after="80" w:line="252" w:lineRule="auto"/>
      </w:pPr>
      <w:r>
        <w:t>Jejuno-ileum: it comprises 15 to 16 U-shaped intestinal loops, arranged in two groups:</w:t>
      </w:r>
    </w:p>
    <w:p>
      <w:pPr>
        <w:pStyle w:val="ListBullet"/>
        <w:spacing w:after="80" w:line="252" w:lineRule="auto"/>
      </w:pPr>
      <w:r>
        <w:t>An upper left group, corresponding to the jejunum, which is more developed than the ileum. Its loops and vascular network are generally oriented horizontally. The jejunum overlies the descending colon.</w:t>
      </w:r>
    </w:p>
    <w:p>
      <w:pPr>
        <w:pStyle w:val="ListBullet"/>
        <w:spacing w:after="80" w:line="252" w:lineRule="auto"/>
      </w:pPr>
      <w:r>
        <w:t>A lower right group, corresponding to the ileum, whose loops and vascular network are generally oriented vertically. The ileum does not overlap the ascending colon.</w:t>
      </w:r>
    </w:p>
    <w:p>
      <w:pPr>
        <w:pStyle w:val="ListBullet"/>
        <w:spacing w:after="80" w:line="252" w:lineRule="auto"/>
      </w:pPr>
      <w:r>
        <w:t>Mesentery: the mesentery is a meso (Figure 14.2; see Chapter 1, General Principles), that is, a double-layered peritoneal fold. It envelops the jejuno-ileum and attaches it to the posterior abdominal wall through the root of the mesentery. See Chapter 1, General Principles, and Chapter 7, Abdominal and Peritoneal Cavities, page...</w:t>
      </w:r>
    </w:p>
    <w:p>
      <w:pPr>
        <w:pStyle w:val="Caption"/>
        <w:spacing w:after="80" w:line="252" w:lineRule="auto"/>
        <w:jc w:val="center"/>
      </w:pPr>
      <w:r>
        <w:rPr>
          <w:i/>
        </w:rPr>
        <w:t>Figure 14.2. Mesos</w:t>
      </w:r>
    </w:p>
    <w:p>
      <w:pPr>
        <w:pStyle w:val="ListBullet"/>
        <w:spacing w:after="80" w:line="252" w:lineRule="auto"/>
      </w:pPr>
      <w:r>
        <w:t>Root of the mesentery: the root of the mesentery (Figure 14.3) forms the attachment line of the mesentery and contributes to the stability of the small intestine, which is otherwise highly mobile (see Chapter 7, Abdominal and Peritoneal Cavities). It measures 16 to 18 cm and extends from the duodenojejunal junction to the ileocaecal junction, crossing the abdominal midline at the level of the umbilicus, opposite the L3-L4 disc. The duodenojejunal junction is supported by the suspensory muscle of the duodenum, or muscle of Treitz (Figure 14.4), whose smooth muscle fibres attach to the right crus of the diaphragm (see Chapter 10, Duodenum).</w:t>
      </w:r>
    </w:p>
    <w:p>
      <w:pPr>
        <w:pStyle w:val="Caption"/>
        <w:spacing w:after="80" w:line="252" w:lineRule="auto"/>
        <w:jc w:val="center"/>
      </w:pPr>
      <w:r>
        <w:rPr>
          <w:i/>
        </w:rPr>
        <w:t>Figure 14.3. Root of the mesentery</w:t>
      </w:r>
    </w:p>
    <w:p>
      <w:pPr>
        <w:pStyle w:val="Caption"/>
        <w:spacing w:after="80" w:line="252" w:lineRule="auto"/>
        <w:jc w:val="center"/>
      </w:pPr>
      <w:r>
        <w:rPr>
          <w:i/>
        </w:rPr>
        <w:t>Figure 14.4. Suspensory muscle of the duodenum, or muscle of Treitz</w:t>
      </w:r>
    </w:p>
    <w:p>
      <w:pPr>
        <w:pStyle w:val="ListBullet"/>
        <w:spacing w:after="80" w:line="252" w:lineRule="auto"/>
      </w:pPr>
      <w:r>
        <w:t>The muscle of Treitz helps maintain the duodenojejunal angle by contracting and drawing the root of the mesentery upward and to the left. By creating longitudinal tension, it contributes to duodenal emptying into the jejunum (see Chapter 10, Duodenum, page...). The root of the mesentery also carries the vascular and nervous supply of the small intestine.</w:t>
      </w:r>
    </w:p>
    <w:p>
      <w:pPr>
        <w:pStyle w:val="Heading2"/>
        <w:spacing w:after="80" w:line="252" w:lineRule="auto"/>
      </w:pPr>
      <w:r>
        <w:t>Interest in ROP</w:t>
      </w:r>
    </w:p>
    <w:p>
      <w:pPr>
        <w:pStyle w:val="ListBullet"/>
        <w:spacing w:after="80" w:line="252" w:lineRule="auto"/>
      </w:pPr>
      <w:r>
        <w:t>Clinically, loss of longitudinal tension in the root of the mesentery should be considered in relation to superior mesenteric artery syndrome, or nutcracker syndrome: compression of the fourth part of the duodenum and of the left renal vein between the aorta and the superior mesenteric artery (see Chapter 10, Duodenum, page...). Duodenal emptying into the jejunum may be delayed, increasing the risk of gastroduodenal reflux.</w:t>
      </w:r>
    </w:p>
    <w:p>
      <w:pPr>
        <w:pStyle w:val="ListBullet"/>
        <w:spacing w:after="80" w:line="252" w:lineRule="auto"/>
      </w:pPr>
      <w:r>
        <w:t>The rich vascular, nervous and lymphatic network of the mesenteric root is highly reflexogenic. Stimulation of its reflex zone aims to facilitate a functional response of the jejuno-ileum.</w:t>
      </w:r>
    </w:p>
    <w:p>
      <w:pPr>
        <w:pStyle w:val="Heading1"/>
        <w:spacing w:after="80" w:line="252" w:lineRule="auto"/>
      </w:pPr>
      <w:r>
        <w:t>Relations</w:t>
      </w:r>
    </w:p>
    <w:p>
      <w:pPr>
        <w:pStyle w:val="ListBullet"/>
        <w:spacing w:after="80" w:line="252" w:lineRule="auto"/>
      </w:pPr>
      <w:r>
        <w:t>The small intestine is intraperitoneal;</w:t>
      </w:r>
    </w:p>
    <w:p>
      <w:pPr>
        <w:pStyle w:val="ListBullet"/>
        <w:spacing w:after="80" w:line="252" w:lineRule="auto"/>
      </w:pPr>
      <w:r>
        <w:t>On the left, the jejunum overlies the descending colon;</w:t>
      </w:r>
    </w:p>
    <w:p>
      <w:pPr>
        <w:pStyle w:val="ListBullet"/>
        <w:spacing w:after="80" w:line="252" w:lineRule="auto"/>
      </w:pPr>
      <w:r>
        <w:t>On the right, the ileum does not overlap the ascending colon;</w:t>
      </w:r>
    </w:p>
    <w:p>
      <w:pPr>
        <w:pStyle w:val="ListBullet"/>
        <w:spacing w:after="80" w:line="252" w:lineRule="auto"/>
      </w:pPr>
      <w:r>
        <w:t>Dorsally, the small intestine is related to the posterior abdominal wall and to the retroperitoneal organs, particularly the supramesocolic part of the duodenum, the kidneys, the ureters and the ascending and descending colons;</w:t>
      </w:r>
    </w:p>
    <w:p>
      <w:pPr>
        <w:pStyle w:val="ListBullet"/>
        <w:spacing w:after="80" w:line="252" w:lineRule="auto"/>
      </w:pPr>
      <w:r>
        <w:t>Ventrally: the greater omentum;</w:t>
      </w:r>
    </w:p>
    <w:p>
      <w:pPr>
        <w:pStyle w:val="ListBullet"/>
        <w:spacing w:after="80" w:line="252" w:lineRule="auto"/>
      </w:pPr>
      <w:r>
        <w:t>Caudally: the pelvic organs, especially the bladder;</w:t>
      </w:r>
    </w:p>
    <w:p>
      <w:pPr>
        <w:pStyle w:val="ListBullet"/>
        <w:spacing w:after="80" w:line="252" w:lineRule="auto"/>
      </w:pPr>
      <w:r>
        <w:t>Cephalically: the transverse mesocolon.</w:t>
      </w:r>
    </w:p>
    <w:p>
      <w:pPr>
        <w:pStyle w:val="Heading1"/>
        <w:spacing w:after="80" w:line="252" w:lineRule="auto"/>
      </w:pPr>
      <w:r>
        <w:t>Vascularisation</w:t>
      </w:r>
    </w:p>
    <w:p>
      <w:pPr>
        <w:spacing w:after="80" w:line="252" w:lineRule="auto"/>
      </w:pPr>
      <w:r>
        <w:t>The small intestine requires a substantial vascular and lymphatic supply to perform its digestive, absorptive and immune functions.</w:t>
      </w:r>
    </w:p>
    <w:p>
      <w:pPr>
        <w:pStyle w:val="ListBullet"/>
        <w:spacing w:after="80" w:line="252" w:lineRule="auto"/>
      </w:pPr>
      <w:r>
        <w:t>Superior mesenteric artery: the superior mesenteric artery is the main arterial axis of the small intestine (Figure 14.5). It arises from the abdominal aorta, 1 cm below the coeliac trunk, opposite the Th12-L1 intervertebral disc. It first passes behind the pancreas and then anterior to the third part of the duodenum before running between the two layers of the mesentery. It gives off numerous collateral branches and supplies the entire small intestine, the ascending colon and the proximal two-thirds of the transverse colon.</w:t>
      </w:r>
    </w:p>
    <w:p>
      <w:pPr>
        <w:pStyle w:val="Caption"/>
        <w:spacing w:after="80" w:line="252" w:lineRule="auto"/>
        <w:jc w:val="center"/>
      </w:pPr>
      <w:r>
        <w:rPr>
          <w:i/>
        </w:rPr>
        <w:t>Figure 14.5. Superior mesenteric artery</w:t>
      </w:r>
    </w:p>
    <w:p>
      <w:pPr>
        <w:pStyle w:val="ListBullet"/>
        <w:spacing w:after="80" w:line="252" w:lineRule="auto"/>
      </w:pPr>
      <w:r>
        <w:t>Its pulse, which is palpable at the level of the third part of the duodenum, to the right of the umbilicus, may serve as a vascular clinical landmark, although it does not by itself indicate intestinal function (Figure 14.6).</w:t>
      </w:r>
    </w:p>
    <w:p>
      <w:pPr>
        <w:pStyle w:val="Caption"/>
        <w:spacing w:after="80" w:line="252" w:lineRule="auto"/>
        <w:jc w:val="center"/>
      </w:pPr>
      <w:r>
        <w:rPr>
          <w:i/>
        </w:rPr>
        <w:t>Figure 14.6. Pulses of the arteries of the abdominal cavity</w:t>
      </w:r>
    </w:p>
    <w:p>
      <w:pPr>
        <w:pStyle w:val="ListBullet"/>
        <w:spacing w:after="80" w:line="252" w:lineRule="auto"/>
      </w:pPr>
      <w:r>
        <w:t>Superior mesenteric vein: located to the right of the superior mesenteric artery, the superior mesenteric vein belongs to the portal system (Figure 14.7). It drains nutrient-rich venous blood from the small intestine toward the liver (see Chapter 11, Liver, page...).</w:t>
      </w:r>
    </w:p>
    <w:p>
      <w:pPr>
        <w:pStyle w:val="Caption"/>
        <w:spacing w:after="80" w:line="252" w:lineRule="auto"/>
        <w:jc w:val="center"/>
      </w:pPr>
      <w:r>
        <w:rPr>
          <w:i/>
        </w:rPr>
        <w:t>Figure 14.7. Portal system</w:t>
      </w:r>
    </w:p>
    <w:p>
      <w:pPr>
        <w:pStyle w:val="ListBullet"/>
        <w:spacing w:after="80" w:line="252" w:lineRule="auto"/>
      </w:pPr>
      <w:r>
        <w:t>Lymphatic network: the small intestine has a well-developed lymphatic network (Figure 14.8), which participates in immune function. It transports long-chain lipid and protein molecules, as well as the fat-soluble vitamins A, D, E and K, toward the left jugulo-subclavian junction via the cisterna chyli and the thoracic duct (see Chapter 11, Liver and Gallbladder).</w:t>
      </w:r>
    </w:p>
    <w:p>
      <w:pPr>
        <w:pStyle w:val="Caption"/>
        <w:spacing w:after="80" w:line="252" w:lineRule="auto"/>
        <w:jc w:val="center"/>
      </w:pPr>
      <w:r>
        <w:rPr>
          <w:i/>
        </w:rPr>
        <w:t>Figure 14.8. Lymphatic system</w:t>
      </w:r>
    </w:p>
    <w:p>
      <w:pPr>
        <w:pStyle w:val="Heading1"/>
        <w:spacing w:after="80" w:line="252" w:lineRule="auto"/>
      </w:pPr>
      <w:r>
        <w:t>Innervation</w:t>
      </w:r>
    </w:p>
    <w:p>
      <w:pPr>
        <w:pStyle w:val="Heading1"/>
        <w:spacing w:after="80" w:line="252" w:lineRule="auto"/>
      </w:pPr>
      <w:r>
        <w:t>Innervation of the peritoneum:</w:t>
      </w:r>
    </w:p>
    <w:p>
      <w:pPr>
        <w:pStyle w:val="ListBullet"/>
        <w:spacing w:after="80" w:line="252" w:lineRule="auto"/>
      </w:pPr>
      <w:r>
        <w:t>It has dual innervation, both somatic and autonomic:</w:t>
      </w:r>
    </w:p>
    <w:p>
      <w:pPr>
        <w:pStyle w:val="ListBullet"/>
        <w:spacing w:after="80" w:line="252" w:lineRule="auto"/>
      </w:pPr>
      <w:r>
        <w:t>Parietal peritoneum: see Chapter 7, Innervation of the Peritoneum, page...</w:t>
      </w:r>
    </w:p>
    <w:p>
      <w:pPr>
        <w:pStyle w:val="ListBullet"/>
        <w:spacing w:after="80" w:line="252" w:lineRule="auto"/>
      </w:pPr>
      <w:r>
        <w:t>The parietal peritoneum receives somatic innervation shared with the abdominal wall via the phrenic nerves (Figure 14.9), the lower six intercostal nerves (Figure 14.10) and the nerves of the lumbar plexus (Figure 14.11). It contains numerous nerve endings sensitive to temperature, pressure and pain.</w:t>
      </w:r>
    </w:p>
    <w:p>
      <w:pPr>
        <w:pStyle w:val="Caption"/>
        <w:spacing w:after="80" w:line="252" w:lineRule="auto"/>
        <w:jc w:val="center"/>
      </w:pPr>
      <w:r>
        <w:rPr>
          <w:i/>
        </w:rPr>
        <w:t>Figure 14.9. Phrenic nerve</w:t>
      </w:r>
    </w:p>
    <w:p>
      <w:pPr>
        <w:pStyle w:val="Caption"/>
        <w:spacing w:after="80" w:line="252" w:lineRule="auto"/>
        <w:jc w:val="center"/>
      </w:pPr>
      <w:r>
        <w:rPr>
          <w:i/>
        </w:rPr>
        <w:t>Figure 14.10. Intercostal nerves</w:t>
      </w:r>
    </w:p>
    <w:p>
      <w:pPr>
        <w:pStyle w:val="Caption"/>
        <w:spacing w:after="80" w:line="252" w:lineRule="auto"/>
        <w:jc w:val="center"/>
      </w:pPr>
      <w:r>
        <w:rPr>
          <w:i/>
        </w:rPr>
        <w:t>Figure 14.11. Nerves of the lumbar plexus</w:t>
      </w:r>
    </w:p>
    <w:p>
      <w:pPr>
        <w:pStyle w:val="ListBullet"/>
        <w:spacing w:after="80" w:line="252" w:lineRule="auto"/>
      </w:pPr>
      <w:r>
        <w:t>This shared innervation with the abdominal wall helps explain the referral of cervical, scapular, abdominal and lumbar pain of peritoneal or visceral origin - functional, infectious, surgical or traumatic - to the osteo-musculo-articular system through the somatic fibres of the parietal layer (see Chapter 7, Peritoneo-somatic Relations, page...).</w:t>
      </w:r>
    </w:p>
    <w:p>
      <w:pPr>
        <w:pStyle w:val="ListBullet"/>
        <w:spacing w:after="80" w:line="252" w:lineRule="auto"/>
      </w:pPr>
      <w:r>
        <w:t>Visceral peritoneum: it receives extrinsic autonomic innervation shared with the viscera:</w:t>
      </w:r>
    </w:p>
    <w:p>
      <w:pPr>
        <w:pStyle w:val="ListBullet"/>
        <w:spacing w:after="80" w:line="252" w:lineRule="auto"/>
      </w:pPr>
      <w:r>
        <w:t>Sympathetic: sympathetic roots arise from Th8 to Th11 and reach the prevertebral coeliac and superior mesenteric plexuses (Figure 14.12) via the greater and lesser splanchnic nerves.</w:t>
      </w:r>
    </w:p>
    <w:p>
      <w:pPr>
        <w:pStyle w:val="Caption"/>
        <w:spacing w:after="80" w:line="252" w:lineRule="auto"/>
        <w:jc w:val="center"/>
      </w:pPr>
      <w:r>
        <w:rPr>
          <w:i/>
        </w:rPr>
        <w:t>Figure 14.12. Autonomic nervous system</w:t>
      </w:r>
    </w:p>
    <w:p>
      <w:pPr>
        <w:pStyle w:val="ListBullet"/>
        <w:spacing w:after="80" w:line="252" w:lineRule="auto"/>
      </w:pPr>
      <w:r>
        <w:t>Sensitivity: the visceral peritoneum is relatively insensitive to touch, temperature changes and surgical incision. Visceral sensitivity depends on the sympathetic system, which is stimulated by intestinal distension and chemical substances (see Chapter 4, Autonomic Nervous System, page...).</w:t>
      </w:r>
    </w:p>
    <w:p>
      <w:pPr>
        <w:pStyle w:val="ListBullet"/>
        <w:spacing w:after="80" w:line="252" w:lineRule="auto"/>
      </w:pPr>
      <w:r>
        <w:t>Motility: the sympathetic system reduces peristalsis and intestinal secretions, particularly during stress, anxiety, fear or physical exertion.</w:t>
      </w:r>
    </w:p>
    <w:p>
      <w:pPr>
        <w:pStyle w:val="ListBullet"/>
        <w:spacing w:after="80" w:line="252" w:lineRule="auto"/>
      </w:pPr>
      <w:r>
        <w:t>Vagus nerve: the vagus nerve helps regulate digestive function:</w:t>
      </w:r>
    </w:p>
    <w:p>
      <w:pPr>
        <w:pStyle w:val="ListBullet"/>
        <w:spacing w:after="80" w:line="252" w:lineRule="auto"/>
      </w:pPr>
      <w:r>
        <w:t>Motility: the vagus nerve is broadly antagonistic to the sympathetic system. It promotes peristalsis, intestinal secretions and physiological intestinal permeability, thereby facilitating absorption. Depending on the context, this may be accompanied by coordinated intestinal relaxation.</w:t>
      </w:r>
    </w:p>
    <w:p>
      <w:pPr>
        <w:pStyle w:val="ListBullet"/>
        <w:spacing w:after="80" w:line="252" w:lineRule="auto"/>
      </w:pPr>
      <w:r>
        <w:t>Sensitivity: the vagus nerve contains 70 to 80% sensory fibres, which continuously inform the brain about the state of the viscera. It is connected to the intrinsic nervous system.</w:t>
      </w:r>
    </w:p>
    <w:p>
      <w:pPr>
        <w:pStyle w:val="ListBullet"/>
        <w:spacing w:after="80" w:line="252" w:lineRule="auto"/>
      </w:pPr>
      <w:r>
        <w:t>Intrinsic or enteric nervous system (ENS): the ENS is often referred to as the second brain or abdominal brain. It consists of intramural plexuses (Figure 14.13) located within the wall of the small intestine itself: Auerbach's myenteric plexus and Meissner's submucosal plexus.</w:t>
      </w:r>
    </w:p>
    <w:p>
      <w:pPr>
        <w:pStyle w:val="Caption"/>
        <w:spacing w:after="80" w:line="252" w:lineRule="auto"/>
        <w:jc w:val="center"/>
      </w:pPr>
      <w:r>
        <w:rPr>
          <w:i/>
        </w:rPr>
        <w:t>Figure 14.13. Enteric intramural plexuses</w:t>
      </w:r>
    </w:p>
    <w:p>
      <w:pPr>
        <w:pStyle w:val="ListBullet"/>
        <w:spacing w:after="80" w:line="252" w:lineRule="auto"/>
      </w:pPr>
      <w:r>
        <w:t>The ENS is sensitive to neurohormonal signals and to the chemical composition of the intestinal contents.</w:t>
      </w:r>
    </w:p>
    <w:p>
      <w:pPr>
        <w:pStyle w:val="ListBullet"/>
        <w:spacing w:after="80" w:line="252" w:lineRule="auto"/>
      </w:pPr>
      <w:r>
        <w:t>Function: the ENS can operate largely independently of the brain and spinal cord, provided physiological conditions allow.</w:t>
      </w:r>
    </w:p>
    <w:p>
      <w:pPr>
        <w:pStyle w:val="ListBullet"/>
        <w:spacing w:after="80" w:line="252" w:lineRule="auto"/>
      </w:pPr>
      <w:r>
        <w:t>It plays a major role in producing neurochemical mediators, including a substantial proportion of the body's serotonin, as well as acetylcholine, noradrenaline and GABA. It also forms part of a particularly important intestinal immune environment (see Chapter 4, Autonomic Nervous System, page...).</w:t>
      </w:r>
    </w:p>
    <w:p>
      <w:pPr>
        <w:pStyle w:val="ListBullet"/>
        <w:spacing w:after="80" w:line="252" w:lineRule="auto"/>
      </w:pPr>
      <w:r>
        <w:t>Intestinal pacemaker: the wall of the small intestine also contains specialised cells, the interstitial cells of Cajal, located within the longitudinal and circular muscle layers. They generate slow waves, distinct from peristaltic waves, and help coordinate intestinal motility.</w:t>
      </w:r>
    </w:p>
    <w:p>
      <w:pPr>
        <w:pStyle w:val="Heading1"/>
        <w:spacing w:after="80" w:line="252" w:lineRule="auto"/>
      </w:pPr>
      <w:r>
        <w:t>Physiology</w:t>
      </w:r>
    </w:p>
    <w:p>
      <w:pPr>
        <w:pStyle w:val="Heading1"/>
        <w:spacing w:after="80" w:line="252" w:lineRule="auto"/>
      </w:pPr>
      <w:r>
        <w:t>Motility:</w:t>
      </w:r>
    </w:p>
    <w:p>
      <w:pPr>
        <w:spacing w:after="80" w:line="252" w:lineRule="auto"/>
      </w:pPr>
      <w:r>
        <w:t>Motility is triggered by three main types of mechanism:</w:t>
      </w:r>
    </w:p>
    <w:p>
      <w:pPr>
        <w:pStyle w:val="ListBullet"/>
        <w:spacing w:after="80" w:line="252" w:lineRule="auto"/>
      </w:pPr>
      <w:r>
        <w:t>Mechanical: distension of the intestinal wall during the passage of chyme;</w:t>
      </w:r>
    </w:p>
    <w:p>
      <w:pPr>
        <w:pStyle w:val="ListBullet"/>
        <w:spacing w:after="80" w:line="252" w:lineRule="auto"/>
      </w:pPr>
      <w:r>
        <w:t>Neurological: activation of the vagus nerve, influenced by cephalic signals such as the sight, smell, taste and touch of food, and by intestinal mechanoreceptors. Vagal stimulation is modulated by the secretion of an intestinal hormone, gastric inhibitory peptide (GIP).</w:t>
      </w:r>
    </w:p>
    <w:p>
      <w:pPr>
        <w:pStyle w:val="ListBullet"/>
        <w:spacing w:after="80" w:line="252" w:lineRule="auto"/>
      </w:pPr>
      <w:r>
        <w:t>Hormono-chemical: gastric, duodenal, hepatobiliary and pancreatic secretions.</w:t>
      </w:r>
    </w:p>
    <w:p>
      <w:pPr>
        <w:spacing w:after="80" w:line="252" w:lineRule="auto"/>
      </w:pPr>
      <w:r>
        <w:t>The small intestine is animated by rhythmic contractions, back-and-forth movements and segmentation, which homogenise the chyme, and by peristalsis, which propels it forward.</w:t>
      </w:r>
    </w:p>
    <w:p>
      <w:pPr>
        <w:pStyle w:val="ListBullet"/>
        <w:spacing w:after="80" w:line="252" w:lineRule="auto"/>
      </w:pPr>
      <w:r>
        <w:t>Ecosystem: the small intestine forms an ecosystem composed of:</w:t>
      </w:r>
    </w:p>
    <w:p>
      <w:pPr>
        <w:pStyle w:val="ListBullet"/>
        <w:spacing w:after="80" w:line="252" w:lineRule="auto"/>
      </w:pPr>
      <w:r>
        <w:t>the intestinal mucosa;</w:t>
      </w:r>
    </w:p>
    <w:p>
      <w:pPr>
        <w:pStyle w:val="ListBullet"/>
        <w:spacing w:after="80" w:line="252" w:lineRule="auto"/>
      </w:pPr>
      <w:r>
        <w:t>the immune system;</w:t>
      </w:r>
    </w:p>
    <w:p>
      <w:pPr>
        <w:pStyle w:val="ListBullet"/>
        <w:spacing w:after="80" w:line="252" w:lineRule="auto"/>
      </w:pPr>
      <w:r>
        <w:t>the intestinal microbiota.</w:t>
      </w:r>
    </w:p>
    <w:p>
      <w:pPr>
        <w:pStyle w:val="ListBullet"/>
        <w:spacing w:after="80" w:line="252" w:lineRule="auto"/>
      </w:pPr>
      <w:r>
        <w:t>Intestinal mucosa: the intestinal mucosa forms the interface between the body's internal milieu and the contents of the digestive lumen:</w:t>
      </w:r>
    </w:p>
    <w:p>
      <w:pPr>
        <w:pStyle w:val="ListBullet"/>
        <w:spacing w:after="80" w:line="252" w:lineRule="auto"/>
      </w:pPr>
      <w:r>
        <w:t>External environment: the lumen of the digestive tract, from the oral cavity to the anus, is in contact with the external environment.</w:t>
      </w:r>
    </w:p>
    <w:p>
      <w:pPr>
        <w:pStyle w:val="ListBullet"/>
        <w:spacing w:after="80" w:line="252" w:lineRule="auto"/>
      </w:pPr>
      <w:r>
        <w:t>Internal milieu: this comprises the body fluids - blood, lymph and interstitial fluid - in which the cells are bathed. Its composition is kept within narrow limits by homeostasis.</w:t>
      </w:r>
    </w:p>
    <w:p>
      <w:pPr>
        <w:pStyle w:val="ListBullet"/>
        <w:spacing w:after="80" w:line="252" w:lineRule="auto"/>
      </w:pPr>
      <w:r>
        <w:t>The mucosa acts as a selective barrier between these two environments, allowing digestion and absorption to occur. The small intestine regulates a very large proportion of both functions.</w:t>
      </w:r>
    </w:p>
    <w:p>
      <w:pPr>
        <w:pStyle w:val="ListBullet"/>
        <w:spacing w:after="80" w:line="252" w:lineRule="auto"/>
      </w:pPr>
      <w:r>
        <w:t>Digestion: digestion transforms food into simple molecules that can then be absorbed. The intestinal mucosa contains several specialised cell types:</w:t>
      </w:r>
    </w:p>
    <w:p>
      <w:pPr>
        <w:pStyle w:val="ListBullet"/>
        <w:spacing w:after="80" w:line="252" w:lineRule="auto"/>
      </w:pPr>
      <w:r>
        <w:t>Goblet cells: these produce protective mucus that lines the mucosa.</w:t>
      </w:r>
    </w:p>
    <w:p>
      <w:pPr>
        <w:pStyle w:val="ListBullet"/>
        <w:spacing w:after="80" w:line="252" w:lineRule="auto"/>
      </w:pPr>
      <w:r>
        <w:t>Lieberkuhn cells: these contribute to the slightly alkaline intestinal secretion and to enzymatic and antimicrobial functions. The daily production of intestinal digestive juice is approximately 1 L.</w:t>
      </w:r>
    </w:p>
    <w:p>
      <w:pPr>
        <w:pStyle w:val="ListBullet"/>
        <w:spacing w:after="80" w:line="252" w:lineRule="auto"/>
      </w:pPr>
      <w:r>
        <w:t>Enterocytes, or absorptive cells: through their intercellular arrangement and desmosomes, these cells perform a selective barrier function, allowing micronutrient absorption while limiting the passage of insufficiently degraded or undesirable macromolecules.</w:t>
      </w:r>
    </w:p>
    <w:p>
      <w:pPr>
        <w:pStyle w:val="ListBullet"/>
        <w:spacing w:after="80" w:line="252" w:lineRule="auto"/>
      </w:pPr>
      <w:r>
        <w:t>Absorption: absorption requires physiological intestinal permeability. The intestinal mucosa is covered with villi, finger-like projections (Figure 14.14) whose central axis contains smooth muscle cells as well as blood and lymphatic vessels.</w:t>
      </w:r>
    </w:p>
    <w:p>
      <w:pPr>
        <w:pStyle w:val="Caption"/>
        <w:spacing w:after="80" w:line="252" w:lineRule="auto"/>
        <w:jc w:val="center"/>
      </w:pPr>
      <w:r>
        <w:rPr>
          <w:i/>
        </w:rPr>
        <w:t>Figure 14.14. Intestinal villi</w:t>
      </w:r>
    </w:p>
    <w:p>
      <w:pPr>
        <w:pStyle w:val="ListBullet"/>
        <w:spacing w:after="80" w:line="252" w:lineRule="auto"/>
      </w:pPr>
      <w:r>
        <w:t>The villi are themselves covered with microvilli, which form a brush border and greatly increase the exchange surface between micronutrients and capillaries. If spread out, the small intestine would have a surface area equivalent to a tennis court.</w:t>
      </w:r>
    </w:p>
    <w:p>
      <w:pPr>
        <w:pStyle w:val="ListBullet"/>
        <w:spacing w:after="80" w:line="252" w:lineRule="auto"/>
      </w:pPr>
      <w:r>
        <w:t>Peristaltic movements, together with contraction of the smooth muscle cells in the villi, shorten the villi and facilitate the transfer of micronutrients into the blood and lymphatic circulations:</w:t>
      </w:r>
    </w:p>
    <w:p>
      <w:pPr>
        <w:pStyle w:val="ListBullet"/>
        <w:spacing w:after="80" w:line="252" w:lineRule="auto"/>
      </w:pPr>
      <w:r>
        <w:t>Blood pathway: blood capillaries absorb water, mineral salts, simple sugars, amino acids, short-chain fatty acids and water-soluble vitamins. These nutrients are then transported to the liver through the portal system.</w:t>
      </w:r>
    </w:p>
    <w:p>
      <w:pPr>
        <w:pStyle w:val="ListBullet"/>
        <w:spacing w:after="80" w:line="252" w:lineRule="auto"/>
      </w:pPr>
      <w:r>
        <w:t>Lymphatic pathway: lymphatic capillaries, or lacteals, mainly absorb fats, long-chain proteins and the fat-soluble vitamins A, D, E and K. They drain successively into the lymphatic network, the cisterna chyli and the thoracic duct before emptying into the venous network at the left jugulo-subclavian junction (Figure 14.8).</w:t>
      </w:r>
    </w:p>
    <w:p>
      <w:pPr>
        <w:pStyle w:val="Heading2"/>
        <w:spacing w:after="80" w:line="252" w:lineRule="auto"/>
      </w:pPr>
      <w:r>
        <w:t>Interest in ROP</w:t>
      </w:r>
    </w:p>
    <w:p>
      <w:pPr>
        <w:pStyle w:val="ListBullet"/>
        <w:spacing w:after="80" w:line="252" w:lineRule="auto"/>
      </w:pPr>
      <w:r>
        <w:t>Reflex action on intestinal motility aims to support digestion and absorption;</w:t>
      </w:r>
    </w:p>
    <w:p>
      <w:pPr>
        <w:pStyle w:val="ListBullet"/>
        <w:spacing w:after="80" w:line="252" w:lineRule="auto"/>
      </w:pPr>
      <w:r>
        <w:t>Reflex action on the liver and lymphatic system aims to support absorption quality and immune function.</w:t>
      </w:r>
    </w:p>
    <w:p>
      <w:pPr>
        <w:pStyle w:val="ListBullet"/>
        <w:spacing w:after="80" w:line="252" w:lineRule="auto"/>
      </w:pPr>
      <w:r>
        <w:t>Immune system: receptors located on the intestinal surface identify certain pathogens or potentially harmful substances and present them to intestinal immune cells:</w:t>
      </w:r>
    </w:p>
    <w:p>
      <w:pPr>
        <w:pStyle w:val="ListBullet"/>
        <w:spacing w:after="80" w:line="252" w:lineRule="auto"/>
      </w:pPr>
      <w:r>
        <w:t>Mast cells: these are involved in allergic, immune and inflammatory responses;</w:t>
      </w:r>
    </w:p>
    <w:p>
      <w:pPr>
        <w:pStyle w:val="ListBullet"/>
        <w:spacing w:after="80" w:line="252" w:lineRule="auto"/>
      </w:pPr>
      <w:r>
        <w:t>Paneth cells: these release antimicrobial peptides into the intestinal lumen in response to certain microbial stimuli;</w:t>
      </w:r>
    </w:p>
    <w:p>
      <w:pPr>
        <w:pStyle w:val="ListBullet"/>
        <w:spacing w:after="80" w:line="252" w:lineRule="auto"/>
      </w:pPr>
      <w:r>
        <w:t>Gut-associated lymphoid tissue (GALT): this lines the internal surface of the intestinal mucosa. It consists of lymphocytes, either isolated or grouped into Peyer's patches.</w:t>
      </w:r>
    </w:p>
    <w:p>
      <w:pPr>
        <w:pStyle w:val="ListBullet"/>
        <w:spacing w:after="80" w:line="252" w:lineRule="auto"/>
      </w:pPr>
      <w:r>
        <w:t>It helps prevent pathogenic bacteria from entering the bloodstream. Under physiological conditions, the microbial load of the small intestine is clearly lower than that of the colon, owing to the combined effects of immune defences, motility and the luminal environment.</w:t>
      </w:r>
    </w:p>
    <w:p>
      <w:pPr>
        <w:pStyle w:val="ListBullet"/>
        <w:spacing w:after="80" w:line="252" w:lineRule="auto"/>
      </w:pPr>
      <w:r>
        <w:t>Intestinal microbiota, or intestinal flora: the microbiota is a community of bacteria, fungi, yeasts, viruses and protozoa that live in interaction with their host. Under balanced conditions, this relationship is commensal or symbiotic. The number of bacteria in the human body is estimated to be on the order of approximately 38 billion.</w:t>
      </w:r>
    </w:p>
    <w:p>
      <w:pPr>
        <w:pStyle w:val="ListBullet"/>
        <w:spacing w:after="80" w:line="252" w:lineRule="auto"/>
      </w:pPr>
      <w:r>
        <w:t>The microbiota colonises not only the intestine, but also other cavities (oral cavity, respiratory and genital systems) and surfaces.</w:t>
      </w:r>
    </w:p>
    <w:p>
      <w:pPr>
        <w:pStyle w:val="ListBullet"/>
        <w:spacing w:after="80" w:line="252" w:lineRule="auto"/>
      </w:pPr>
      <w:r>
        <w:t>Each individual has a specific microbiota signature. From birth, the newborn digestive tract is progressively colonised, and microorganisms rapidly establish reciprocal commensal interactions with it.</w:t>
      </w:r>
    </w:p>
    <w:p>
      <w:pPr>
        <w:spacing w:after="80" w:line="252" w:lineRule="auto"/>
      </w:pPr>
      <w:r>
        <w:t>The microbiota is an important determinant of health: it contributes to immunity, digestion and absorption, and it also interacts with cerebral and emotional functions via the gut-brain axis.</w:t>
      </w:r>
    </w:p>
    <w:p>
      <w:pPr>
        <w:pStyle w:val="Heading1"/>
        <w:spacing w:after="80" w:line="252" w:lineRule="auto"/>
      </w:pPr>
      <w:r>
        <w:t>Common Pathologies</w:t>
      </w:r>
    </w:p>
    <w:p>
      <w:pPr>
        <w:pStyle w:val="ListBullet"/>
        <w:spacing w:after="80" w:line="252" w:lineRule="auto"/>
      </w:pPr>
      <w:r>
        <w:t>Intestinal hyperpermeability and dysbiosis are often described as associated conditions that may reinforce each other.</w:t>
      </w:r>
    </w:p>
    <w:p>
      <w:pPr>
        <w:pStyle w:val="ListBullet"/>
        <w:spacing w:after="80" w:line="252" w:lineRule="auto"/>
      </w:pPr>
      <w:r>
        <w:t>Intestinal hyperpermeability: when the intercellular junctions between enterocytes are altered, intestinal permeability may increase. This may allow greater passage of insufficiently degraded luminal macromolecules, potentially leading to immune or inflammatory activation.</w:t>
      </w:r>
    </w:p>
    <w:p>
      <w:pPr>
        <w:pStyle w:val="ListBullet"/>
        <w:spacing w:after="80" w:line="252" w:lineRule="auto"/>
      </w:pPr>
      <w:r>
        <w:t>Causes:</w:t>
      </w:r>
    </w:p>
    <w:p>
      <w:pPr>
        <w:pStyle w:val="ListBullet"/>
        <w:spacing w:after="80" w:line="252" w:lineRule="auto"/>
      </w:pPr>
      <w:r>
        <w:t>Infectious agents: staphylococci, streptococci, colibacilli, salmonella and Candida albicans, which release toxins.</w:t>
      </w:r>
    </w:p>
    <w:p>
      <w:pPr>
        <w:pStyle w:val="ListBullet"/>
        <w:spacing w:after="80" w:line="252" w:lineRule="auto"/>
      </w:pPr>
      <w:r>
        <w:t>Chronic stress: excess sympathetic activity and stress hormones (adrenaline, cortisol) cause vasoconstriction and increased arterial pressure, reducing intestinal blood flow and thereby weakening the mucosa.</w:t>
      </w:r>
    </w:p>
    <w:p>
      <w:pPr>
        <w:pStyle w:val="ListBullet"/>
        <w:spacing w:after="80" w:line="252" w:lineRule="auto"/>
      </w:pPr>
      <w:r>
        <w:t>Food: highly processed or refined foods, high-glycaemic-index foods, saturated fatty acids, excess cow's milk, gluten and meat, and cooking at temperatures above 110°C may alter the intestinal ecosystem.</w:t>
      </w:r>
    </w:p>
    <w:p>
      <w:pPr>
        <w:pStyle w:val="ListBullet"/>
        <w:spacing w:after="80" w:line="252" w:lineRule="auto"/>
      </w:pPr>
      <w:r>
        <w:t>Prolonged sports activities (such as long-distance running): they may transiently reduce splanchnic perfusion in favour of the locomotor system.</w:t>
      </w:r>
    </w:p>
    <w:p>
      <w:pPr>
        <w:pStyle w:val="ListBullet"/>
        <w:spacing w:after="80" w:line="252" w:lineRule="auto"/>
      </w:pPr>
      <w:r>
        <w:t>Medication: non-steroidal anti-inflammatory drugs, salicylates, corticosteroids, antibiotics and chemotherapy may alter the mucosa or microbiota. Dysbiosis may then be a cause, a consequence, or both, of intestinal hyperpermeability.</w:t>
      </w:r>
    </w:p>
    <w:p>
      <w:pPr>
        <w:pStyle w:val="ListBullet"/>
        <w:spacing w:after="80" w:line="252" w:lineRule="auto"/>
      </w:pPr>
      <w:r>
        <w:t>Consequences: these may be numerous:</w:t>
      </w:r>
    </w:p>
    <w:p>
      <w:pPr>
        <w:pStyle w:val="ListBullet"/>
        <w:spacing w:after="80" w:line="252" w:lineRule="auto"/>
      </w:pPr>
      <w:r>
        <w:t>Food allergies: alteration of the intestinal barrier may increase immune-system exposure to certain food antigens. In some individuals, this may be accompanied by allergic phenomena, particularly involving mast cells and histamine.</w:t>
      </w:r>
    </w:p>
    <w:p>
      <w:pPr>
        <w:pStyle w:val="ListBullet"/>
        <w:spacing w:after="80" w:line="252" w:lineRule="auto"/>
      </w:pPr>
      <w:r>
        <w:t>Autoimmune diseases: intestinal hyperpermeability is described as an associated factor in certain autoimmune diseases. Insufficiently degraded proteins that cross an excessively permeable mucosa may be recognised as “non-self”. Antibodies may then target the “non-self” component as well as the tissue to which it has attached.</w:t>
      </w:r>
    </w:p>
    <w:p>
      <w:pPr>
        <w:pStyle w:val="ListBullet"/>
        <w:spacing w:after="80" w:line="252" w:lineRule="auto"/>
      </w:pPr>
      <w:r>
        <w:t>Micronutrient deficiencies: impaired absorption may lead to deficiencies in vitamins, minerals, essential fatty acids and other micronutrients.</w:t>
      </w:r>
    </w:p>
    <w:p>
      <w:pPr>
        <w:pStyle w:val="ListBullet"/>
        <w:spacing w:after="80" w:line="252" w:lineRule="auto"/>
      </w:pPr>
      <w:r>
        <w:t>Hepatic overload: an increased portal-system load of substances originating from the intestinal lumen may increase the liver's detoxification workload.</w:t>
      </w:r>
    </w:p>
    <w:p>
      <w:pPr>
        <w:pStyle w:val="ListBullet"/>
        <w:spacing w:after="80" w:line="252" w:lineRule="auto"/>
      </w:pPr>
      <w:r>
        <w:t>Toxins are taken up by the liver. “This additional workload slows hepatic metabolism. The liver gradually allows a large number of metabolic wastes to pass into the blood. The body will attempt to eliminate these toxic substances through other natural elimination pathways, the emunctories: skin, lungs, kidneys and intestines. When the capacity of the elimination pathway is exceeded, these substances are deposited in the tissues (muscles, joints, brain, vessels, etc.).” This corresponds to the theory of tissue overload or intoxication, defended by Dr Jean Seignalet in his book L’alimentation ou la troisième médecine, Collection Ecologie humaine.</w:t>
      </w:r>
    </w:p>
    <w:p>
      <w:pPr>
        <w:pStyle w:val="ListBullet"/>
        <w:spacing w:after="80" w:line="252" w:lineRule="auto"/>
      </w:pPr>
      <w:r>
        <w:t>Within this model, this dysfunction is described as contributing to digestive disorders, osteoarticular, muscular and tendinous pain, recurrent infections and behavioural disorders.</w:t>
      </w:r>
    </w:p>
    <w:p>
      <w:pPr>
        <w:pStyle w:val="Heading2"/>
        <w:spacing w:after="80" w:line="252" w:lineRule="auto"/>
      </w:pPr>
      <w:r>
        <w:t>Interest in ROP</w:t>
      </w:r>
    </w:p>
    <w:p>
      <w:pPr>
        <w:spacing w:after="80" w:line="252" w:lineRule="auto"/>
      </w:pPr>
      <w:r>
        <w:t>When osteo-musculo-articular pain and fixations are present, especially in the absence of obvious trauma or overuse, the ROP approach invites the practitioner to consider a possible link with visceral dysfunction.</w:t>
      </w:r>
    </w:p>
    <w:p>
      <w:pPr>
        <w:pStyle w:val="ListBullet"/>
        <w:spacing w:after="80" w:line="252" w:lineRule="auto"/>
      </w:pPr>
      <w:r>
        <w:t>Dysbiosis: dysbiosis corresponds to disruption of the microbiota.</w:t>
      </w:r>
    </w:p>
    <w:p>
      <w:pPr>
        <w:pStyle w:val="ListBullet"/>
        <w:spacing w:after="80" w:line="252" w:lineRule="auto"/>
      </w:pPr>
      <w:r>
        <w:t>Causes: the harmonious, commensal relationship between bacteria and their intestinal host may be disrupted by stress, inflammation, infection, poor lifestyle habits or dietary imbalance - excess alcohol, sugar or protein, or insufficient fibre - antibiotic therapy, certain environmental exposures, as well as vertebral fixations and fibrosis of the intestine and its attachments.</w:t>
      </w:r>
    </w:p>
    <w:p>
      <w:pPr>
        <w:spacing w:after="80" w:line="252" w:lineRule="auto"/>
      </w:pPr>
      <w:r>
        <w:t>When the composition of the microbiota changes, with reduced diversity or an imbalance between commensal and potentially pathogenic species, mucosal protection may be altered.</w:t>
      </w:r>
    </w:p>
    <w:p>
      <w:pPr>
        <w:spacing w:after="80" w:line="252" w:lineRule="auto"/>
      </w:pPr>
      <w:r>
        <w:t>Physiological food fermentation may then give way to abnormal fermentation or putrefaction.</w:t>
      </w:r>
    </w:p>
    <w:p>
      <w:pPr>
        <w:spacing w:after="80" w:line="252" w:lineRule="auto"/>
      </w:pPr>
      <w:r>
        <w:t>Intestinal hyperpermeability may be considered either a cause or a consequence of dysbiosis; the two conditions may sustain each other.</w:t>
      </w:r>
    </w:p>
    <w:p>
      <w:pPr>
        <w:spacing w:after="80" w:line="252" w:lineRule="auto"/>
      </w:pPr>
      <w:r>
        <w:t>Consequences: Hippocrates' maxim, “all disease begins in the gut”, should be understood as a historical intuition rather than a universal literal statement. More rigorously, according to Professor Sokol, correlation and causation should not be confused when discussing dysbiosis and intestinal hyperpermeability, which frequently coexist.</w:t>
      </w:r>
    </w:p>
    <w:p>
      <w:pPr>
        <w:spacing w:after="80" w:line="252" w:lineRule="auto"/>
      </w:pPr>
      <w:r>
        <w:t>Dysbiosis is considered an associated factor in many pathologies, including in particular:</w:t>
      </w:r>
    </w:p>
    <w:p>
      <w:pPr>
        <w:pStyle w:val="ListBullet"/>
        <w:spacing w:after="80" w:line="252" w:lineRule="auto"/>
      </w:pPr>
      <w:r>
        <w:t>Ulcerative colitis, thyroiditis, adrenalitis;</w:t>
      </w:r>
    </w:p>
    <w:p>
      <w:pPr>
        <w:pStyle w:val="ListBullet"/>
        <w:spacing w:after="80" w:line="252" w:lineRule="auto"/>
      </w:pPr>
      <w:r>
        <w:t>Asthma, sinusitis;</w:t>
      </w:r>
    </w:p>
    <w:p>
      <w:pPr>
        <w:pStyle w:val="ListBullet"/>
        <w:spacing w:after="80" w:line="252" w:lineRule="auto"/>
      </w:pPr>
      <w:r>
        <w:t>Allergies;</w:t>
      </w:r>
    </w:p>
    <w:p>
      <w:pPr>
        <w:pStyle w:val="ListBullet"/>
        <w:spacing w:after="80" w:line="252" w:lineRule="auto"/>
      </w:pPr>
      <w:r>
        <w:t>Arthralgia, especially low back pain;</w:t>
      </w:r>
    </w:p>
    <w:p>
      <w:pPr>
        <w:pStyle w:val="ListBullet"/>
        <w:spacing w:after="80" w:line="252" w:lineRule="auto"/>
      </w:pPr>
      <w:r>
        <w:t>Fibromyalgia;</w:t>
      </w:r>
    </w:p>
    <w:p>
      <w:pPr>
        <w:pStyle w:val="ListBullet"/>
        <w:spacing w:after="80" w:line="252" w:lineRule="auto"/>
      </w:pPr>
      <w:r>
        <w:t>Cystitis;</w:t>
      </w:r>
    </w:p>
    <w:p>
      <w:pPr>
        <w:pStyle w:val="ListBullet"/>
        <w:spacing w:after="80" w:line="252" w:lineRule="auto"/>
      </w:pPr>
      <w:r>
        <w:t>Certain depressive states;</w:t>
      </w:r>
    </w:p>
    <w:p>
      <w:pPr>
        <w:pStyle w:val="ListBullet"/>
        <w:spacing w:after="80" w:line="252" w:lineRule="auto"/>
      </w:pPr>
      <w:r>
        <w:t>Dental plaque disorders;</w:t>
      </w:r>
    </w:p>
    <w:p>
      <w:pPr>
        <w:pStyle w:val="ListBullet"/>
        <w:spacing w:after="80" w:line="252" w:lineRule="auto"/>
      </w:pPr>
      <w:r>
        <w:t>Etc.</w:t>
      </w:r>
    </w:p>
    <w:p>
      <w:pPr>
        <w:spacing w:after="80" w:line="252" w:lineRule="auto"/>
      </w:pPr>
      <w:r>
        <w:t>Some authors, including Dr Donatini, a microbiota specialist, suggest that certain neurodegenerative diseases, such as Parkinson's disease, multiple sclerosis or Alzheimer's disease, could be linked to the enteric nervous system via the vagus nerve.</w:t>
      </w:r>
    </w:p>
    <w:p>
      <w:pPr>
        <w:pStyle w:val="ListBullet"/>
        <w:spacing w:after="80" w:line="252" w:lineRule="auto"/>
      </w:pPr>
      <w:r>
        <w:t>Warning signs of dysbiosis and intestinal hyperpermeability:</w:t>
      </w:r>
    </w:p>
    <w:p>
      <w:pPr>
        <w:pStyle w:val="ListBullet"/>
        <w:spacing w:after="80" w:line="252" w:lineRule="auto"/>
      </w:pPr>
      <w:r>
        <w:t>Bad breath;</w:t>
      </w:r>
    </w:p>
    <w:p>
      <w:pPr>
        <w:pStyle w:val="ListBullet"/>
        <w:spacing w:after="80" w:line="252" w:lineRule="auto"/>
      </w:pPr>
      <w:r>
        <w:t>Belching;</w:t>
      </w:r>
    </w:p>
    <w:p>
      <w:pPr>
        <w:pStyle w:val="ListBullet"/>
        <w:spacing w:after="80" w:line="252" w:lineRule="auto"/>
      </w:pPr>
      <w:r>
        <w:t>Aerocoly;</w:t>
      </w:r>
    </w:p>
    <w:p>
      <w:pPr>
        <w:pStyle w:val="ListBullet"/>
        <w:spacing w:after="80" w:line="252" w:lineRule="auto"/>
      </w:pPr>
      <w:r>
        <w:t>Foul-smelling gas;</w:t>
      </w:r>
    </w:p>
    <w:p>
      <w:pPr>
        <w:pStyle w:val="ListBullet"/>
        <w:spacing w:after="80" w:line="252" w:lineRule="auto"/>
      </w:pPr>
      <w:r>
        <w:t>Constipation/diarrhoea;</w:t>
      </w:r>
    </w:p>
    <w:p>
      <w:pPr>
        <w:pStyle w:val="ListBullet"/>
        <w:spacing w:after="80" w:line="252" w:lineRule="auto"/>
      </w:pPr>
      <w:r>
        <w:t>Heartburn;</w:t>
      </w:r>
    </w:p>
    <w:p>
      <w:pPr>
        <w:pStyle w:val="ListBullet"/>
        <w:spacing w:after="80" w:line="252" w:lineRule="auto"/>
      </w:pPr>
      <w:r>
        <w:t>Excessive craving for sugar and raw meat.</w:t>
      </w:r>
    </w:p>
    <w:p>
      <w:pPr>
        <w:pStyle w:val="ListBullet"/>
        <w:spacing w:after="80" w:line="252" w:lineRule="auto"/>
      </w:pPr>
      <w:r>
        <w:t>Diagnosis of exclusion: certain symptoms should prompt the patient to seek medical advice:</w:t>
      </w:r>
    </w:p>
    <w:p>
      <w:pPr>
        <w:pStyle w:val="ListBullet"/>
        <w:spacing w:after="80" w:line="252" w:lineRule="auto"/>
      </w:pPr>
      <w:r>
        <w:t>Fever;</w:t>
      </w:r>
    </w:p>
    <w:p>
      <w:pPr>
        <w:pStyle w:val="ListBullet"/>
        <w:spacing w:after="80" w:line="252" w:lineRule="auto"/>
      </w:pPr>
      <w:r>
        <w:t>Red or black blood in the stool;</w:t>
      </w:r>
    </w:p>
    <w:p>
      <w:pPr>
        <w:pStyle w:val="ListBullet"/>
        <w:spacing w:after="80" w:line="252" w:lineRule="auto"/>
      </w:pPr>
      <w:r>
        <w:t>Significant dehydration;</w:t>
      </w:r>
    </w:p>
    <w:p>
      <w:pPr>
        <w:pStyle w:val="ListBullet"/>
        <w:spacing w:after="80" w:line="252" w:lineRule="auto"/>
      </w:pPr>
      <w:r>
        <w:t>Significant and unexplained weight loss;</w:t>
      </w:r>
    </w:p>
    <w:p>
      <w:pPr>
        <w:pStyle w:val="ListBullet"/>
        <w:spacing w:after="80" w:line="252" w:lineRule="auto"/>
      </w:pPr>
      <w:r>
        <w:t>Alternating constipation and diarrhoea;</w:t>
      </w:r>
    </w:p>
    <w:p>
      <w:pPr>
        <w:pStyle w:val="ListBullet"/>
        <w:spacing w:after="80" w:line="252" w:lineRule="auto"/>
      </w:pPr>
      <w:r>
        <w:t>Vomiting;</w:t>
      </w:r>
    </w:p>
    <w:p>
      <w:pPr>
        <w:pStyle w:val="ListBullet"/>
        <w:spacing w:after="80" w:line="252" w:lineRule="auto"/>
      </w:pPr>
      <w:r>
        <w:t>Colicky pain in the umbilical region;</w:t>
      </w:r>
    </w:p>
    <w:p>
      <w:pPr>
        <w:pStyle w:val="ListBullet"/>
        <w:spacing w:after="80" w:line="252" w:lineRule="auto"/>
      </w:pPr>
      <w:r>
        <w:t>Meteorism;</w:t>
      </w:r>
    </w:p>
    <w:p>
      <w:pPr>
        <w:pStyle w:val="ListBullet"/>
        <w:spacing w:after="80" w:line="252" w:lineRule="auto"/>
      </w:pPr>
      <w:r>
        <w:t>Bowel obstruction: cessation of stool and gas may result from either mechanical ileus or paralytic ileus. The term ileus refers to a disturbance of intestinal transit. Mechanical ileus is caused by an obstruction, such as a tumour, adhesions or postoperative bands, whereas paralytic ileus corresponds to functional obstruction due to atony of intestinal peristalsis (see Indications).</w:t>
      </w:r>
    </w:p>
    <w:p>
      <w:pPr>
        <w:pStyle w:val="ListBullet"/>
        <w:spacing w:after="80" w:line="252" w:lineRule="auto"/>
      </w:pPr>
      <w:r>
        <w:t>Unlike peritonitis, bowel obstruction is not associated with abdominal guarding. At the beginning, visible upstream hyperperistalsis may be observed as the intestine attempts to overcome the obstruction. Upstream distension may then stop downstream intestinal motility through the intestino-intestinal reflex.</w:t>
      </w:r>
    </w:p>
    <w:p>
      <w:pPr>
        <w:pStyle w:val="ListBullet"/>
        <w:spacing w:after="80" w:line="252" w:lineRule="auto"/>
      </w:pPr>
      <w:r>
        <w:t>Irreducible strangulated inguinal hernia;</w:t>
      </w:r>
    </w:p>
    <w:p>
      <w:pPr>
        <w:pStyle w:val="ListBullet"/>
        <w:spacing w:after="80" w:line="252" w:lineRule="auto"/>
      </w:pPr>
      <w:r>
        <w:t>Presence of lymph nodes on abdominal palpation and at the left jugulo-subclavian junction (Troisier's node): suspicion of cancer;</w:t>
      </w:r>
    </w:p>
    <w:p>
      <w:pPr>
        <w:pStyle w:val="ListBullet"/>
        <w:spacing w:after="80" w:line="252" w:lineRule="auto"/>
      </w:pPr>
      <w:r>
        <w:t>The ice-cube sign, suggesting intra-abdominal effusion or ascites.</w:t>
      </w:r>
    </w:p>
    <w:p>
      <w:pPr>
        <w:pStyle w:val="ListBullet"/>
        <w:spacing w:after="80" w:line="252" w:lineRule="auto"/>
      </w:pPr>
      <w:r>
        <w:t>Indications: functional pathologies:</w:t>
      </w:r>
    </w:p>
    <w:p>
      <w:pPr>
        <w:pStyle w:val="ListBullet"/>
        <w:spacing w:after="80" w:line="252" w:lineRule="auto"/>
      </w:pPr>
      <w:r>
        <w:t>Dysbioses;</w:t>
      </w:r>
    </w:p>
    <w:p>
      <w:pPr>
        <w:pStyle w:val="ListBullet"/>
        <w:spacing w:after="80" w:line="252" w:lineRule="auto"/>
      </w:pPr>
      <w:r>
        <w:t>Sequelae of gastroenteritis;</w:t>
      </w:r>
    </w:p>
    <w:p>
      <w:pPr>
        <w:pStyle w:val="ListBullet"/>
        <w:spacing w:after="80" w:line="252" w:lineRule="auto"/>
      </w:pPr>
      <w:r>
        <w:t>Enteroptosis: the intestinal mass is drawn downward. Abnormal tension in the small intestine is associated with vasoconstriction, venous and lymphatic stasis, and spasms caused by irritation of the perivascular nerve plexuses. An unfavourable effect on the liver via portal pressure is also possible. Enteroptosis is also described as potentially pushing the bladder caudally and contributing over the long term to stress urinary incontinence. See Chapter 18, Bladder, page...</w:t>
      </w:r>
    </w:p>
    <w:p>
      <w:pPr>
        <w:pStyle w:val="ListBullet"/>
        <w:spacing w:after="80" w:line="252" w:lineRule="auto"/>
      </w:pPr>
      <w:r>
        <w:t>Paralytic ileus:</w:t>
      </w:r>
    </w:p>
    <w:p>
      <w:pPr>
        <w:pStyle w:val="ListBullet"/>
        <w:spacing w:after="80" w:line="252" w:lineRule="auto"/>
      </w:pPr>
      <w:r>
        <w:t>Symptoms:</w:t>
      </w:r>
    </w:p>
    <w:p>
      <w:pPr>
        <w:pStyle w:val="ListBullet"/>
        <w:spacing w:after="80" w:line="252" w:lineRule="auto"/>
      </w:pPr>
      <w:r>
        <w:t>Little or no pain related to intestinal distension;</w:t>
      </w:r>
    </w:p>
    <w:p>
      <w:pPr>
        <w:pStyle w:val="ListBullet"/>
        <w:spacing w:after="80" w:line="252" w:lineRule="auto"/>
      </w:pPr>
      <w:r>
        <w:t>Incomplete cessation of stool and gas;</w:t>
      </w:r>
    </w:p>
    <w:p>
      <w:pPr>
        <w:pStyle w:val="ListBullet"/>
        <w:spacing w:after="80" w:line="252" w:lineRule="auto"/>
      </w:pPr>
      <w:r>
        <w:t>Meteorism;</w:t>
      </w:r>
    </w:p>
    <w:p>
      <w:pPr>
        <w:pStyle w:val="ListBullet"/>
        <w:spacing w:after="80" w:line="252" w:lineRule="auto"/>
      </w:pPr>
      <w:r>
        <w:t>Few borborygmi.</w:t>
      </w:r>
    </w:p>
    <w:p>
      <w:pPr>
        <w:pStyle w:val="ListBullet"/>
        <w:spacing w:after="80" w:line="252" w:lineRule="auto"/>
      </w:pPr>
      <w:r>
        <w:t>Pathophysiology: paralytic ileus corresponds to inhibition of intestinal motility and secretions caused by irritation of the predominantly sympathetic peritoneum (see Innervation of the Peritoneum, page...).</w:t>
      </w:r>
    </w:p>
    <w:p>
      <w:pPr>
        <w:pStyle w:val="ListBullet"/>
        <w:spacing w:after="80" w:line="252" w:lineRule="auto"/>
      </w:pPr>
      <w:r>
        <w:t>Causes:</w:t>
      </w:r>
    </w:p>
    <w:p>
      <w:pPr>
        <w:pStyle w:val="ListBullet"/>
        <w:spacing w:after="80" w:line="252" w:lineRule="auto"/>
      </w:pPr>
      <w:r>
        <w:t>Surgery: anaesthesia, particularly opioid analgesia, slows intestinal transit;</w:t>
      </w:r>
    </w:p>
    <w:p>
      <w:pPr>
        <w:pStyle w:val="ListBullet"/>
        <w:spacing w:after="80" w:line="252" w:lineRule="auto"/>
      </w:pPr>
      <w:r>
        <w:t>Hypokalaemia due to vomiting, diarrhoea or digestive diseases;</w:t>
      </w:r>
    </w:p>
    <w:p>
      <w:pPr>
        <w:pStyle w:val="ListBullet"/>
        <w:spacing w:after="80" w:line="252" w:lineRule="auto"/>
      </w:pPr>
      <w:r>
        <w:t>Excessive use of irritant laxatives;</w:t>
      </w:r>
    </w:p>
    <w:p>
      <w:pPr>
        <w:pStyle w:val="ListBullet"/>
        <w:spacing w:after="80" w:line="252" w:lineRule="auto"/>
      </w:pPr>
      <w:r>
        <w:t>Mesenteric infarction;</w:t>
      </w:r>
    </w:p>
    <w:p>
      <w:pPr>
        <w:pStyle w:val="ListBullet"/>
        <w:spacing w:after="80" w:line="252" w:lineRule="auto"/>
      </w:pPr>
      <w:r>
        <w:t>Postprandial intestinal angina pain;</w:t>
      </w:r>
    </w:p>
    <w:p>
      <w:pPr>
        <w:pStyle w:val="ListBullet"/>
        <w:spacing w:after="80" w:line="252" w:lineRule="auto"/>
      </w:pPr>
      <w:r>
        <w:t>Any abdominopelvic pain: renal colic, appendicitis, salpingitis.</w:t>
      </w:r>
    </w:p>
    <w:p>
      <w:pPr>
        <w:pStyle w:val="Heading1"/>
        <w:spacing w:after="80" w:line="252" w:lineRule="auto"/>
      </w:pPr>
      <w:r>
        <w:t>Crohn's disease: Crohn's disease mainly affects the ileum and colon.</w:t>
      </w:r>
    </w:p>
    <w:p>
      <w:pPr>
        <w:pStyle w:val="ListBullet"/>
        <w:spacing w:after="80" w:line="252" w:lineRule="auto"/>
      </w:pPr>
      <w:r>
        <w:t>Causes: several factors are associated with Crohn's disease:</w:t>
      </w:r>
    </w:p>
    <w:p>
      <w:pPr>
        <w:pStyle w:val="ListBullet"/>
        <w:spacing w:after="80" w:line="252" w:lineRule="auto"/>
      </w:pPr>
      <w:r>
        <w:t>Genetics;</w:t>
      </w:r>
    </w:p>
    <w:p>
      <w:pPr>
        <w:pStyle w:val="ListBullet"/>
        <w:spacing w:after="80" w:line="252" w:lineRule="auto"/>
      </w:pPr>
      <w:r>
        <w:t>Dysbiosis;</w:t>
      </w:r>
    </w:p>
    <w:p>
      <w:pPr>
        <w:pStyle w:val="ListBullet"/>
        <w:spacing w:after="80" w:line="252" w:lineRule="auto"/>
      </w:pPr>
      <w:r>
        <w:t>Environment;</w:t>
      </w:r>
    </w:p>
    <w:p>
      <w:pPr>
        <w:pStyle w:val="ListBullet"/>
        <w:spacing w:after="80" w:line="252" w:lineRule="auto"/>
      </w:pPr>
      <w:r>
        <w:t>Emotional factors, which may modulate the lived experience of the disease and, in some cases, flare-ups.</w:t>
      </w:r>
    </w:p>
    <w:p>
      <w:pPr>
        <w:pStyle w:val="ListBullet"/>
        <w:spacing w:after="80" w:line="252" w:lineRule="auto"/>
      </w:pPr>
      <w:r>
        <w:t>Symptoms:</w:t>
      </w:r>
    </w:p>
    <w:p>
      <w:pPr>
        <w:pStyle w:val="ListBullet"/>
        <w:spacing w:after="80" w:line="252" w:lineRule="auto"/>
      </w:pPr>
      <w:r>
        <w:t>Diarrhoea related to inflammation of the intestinal wall;</w:t>
      </w:r>
    </w:p>
    <w:p>
      <w:pPr>
        <w:pStyle w:val="ListBullet"/>
        <w:spacing w:after="80" w:line="252" w:lineRule="auto"/>
      </w:pPr>
      <w:r>
        <w:t>Abdominopelvic pain;</w:t>
      </w:r>
    </w:p>
    <w:p>
      <w:pPr>
        <w:pStyle w:val="ListBullet"/>
        <w:spacing w:after="80" w:line="252" w:lineRule="auto"/>
      </w:pPr>
      <w:r>
        <w:t>Weight loss;</w:t>
      </w:r>
    </w:p>
    <w:p>
      <w:pPr>
        <w:pStyle w:val="ListBullet"/>
        <w:spacing w:after="80" w:line="252" w:lineRule="auto"/>
      </w:pPr>
      <w:r>
        <w:t>Asthenia;</w:t>
      </w:r>
    </w:p>
    <w:p>
      <w:pPr>
        <w:pStyle w:val="ListBullet"/>
        <w:spacing w:after="80" w:line="252" w:lineRule="auto"/>
      </w:pPr>
      <w:r>
        <w:t>Oral aphthae;</w:t>
      </w:r>
    </w:p>
    <w:p>
      <w:pPr>
        <w:pStyle w:val="ListBullet"/>
        <w:spacing w:after="80" w:line="252" w:lineRule="auto"/>
      </w:pPr>
      <w:r>
        <w:t>Low back pain;</w:t>
      </w:r>
    </w:p>
    <w:p>
      <w:pPr>
        <w:pStyle w:val="ListBullet"/>
        <w:spacing w:after="80" w:line="252" w:lineRule="auto"/>
      </w:pPr>
      <w:r>
        <w:t>Erythema nodosum of the limbs;</w:t>
      </w:r>
    </w:p>
    <w:p>
      <w:pPr>
        <w:pStyle w:val="ListBullet"/>
        <w:spacing w:after="80" w:line="252" w:lineRule="auto"/>
      </w:pPr>
      <w:r>
        <w:t>Pancreatic involvement;</w:t>
      </w:r>
    </w:p>
    <w:p>
      <w:pPr>
        <w:pStyle w:val="ListBullet"/>
        <w:spacing w:after="80" w:line="252" w:lineRule="auto"/>
      </w:pPr>
      <w:r>
        <w:t>Depressive syndrome.</w:t>
      </w:r>
    </w:p>
    <w:p>
      <w:pPr>
        <w:pStyle w:val="ListBullet"/>
        <w:spacing w:after="80" w:line="252" w:lineRule="auto"/>
      </w:pPr>
      <w:r>
        <w:t>Course:</w:t>
      </w:r>
    </w:p>
    <w:p>
      <w:pPr>
        <w:pStyle w:val="ListBullet"/>
        <w:spacing w:after="80" w:line="252" w:lineRule="auto"/>
      </w:pPr>
      <w:r>
        <w:t>Chronicity;</w:t>
      </w:r>
    </w:p>
    <w:p>
      <w:pPr>
        <w:pStyle w:val="ListBullet"/>
        <w:spacing w:after="80" w:line="252" w:lineRule="auto"/>
      </w:pPr>
      <w:r>
        <w:t>Increased risk of colorectal cancer depending on the extent and duration of the disease;</w:t>
      </w:r>
    </w:p>
    <w:p>
      <w:pPr>
        <w:pStyle w:val="ListBullet"/>
        <w:spacing w:after="80" w:line="252" w:lineRule="auto"/>
      </w:pPr>
      <w:r>
        <w:t>These patients are often required to follow a strict low-fibre diet.</w:t>
      </w:r>
    </w:p>
    <w:p>
      <w:pPr>
        <w:pStyle w:val="Heading2"/>
        <w:spacing w:after="80" w:line="252" w:lineRule="auto"/>
      </w:pPr>
      <w:r>
        <w:t>Interest in ROP</w:t>
      </w:r>
    </w:p>
    <w:p>
      <w:pPr>
        <w:spacing w:after="80" w:line="252" w:lineRule="auto"/>
      </w:pPr>
      <w:r>
        <w:t>In our clinical experience, the ROP approach may help relieve certain abdominopelvic pains associated with Crohn's disease and support improved intestinal transit.</w:t>
      </w:r>
    </w:p>
    <w:p>
      <w:pPr>
        <w:pStyle w:val="ListBullet"/>
        <w:spacing w:after="80" w:line="252" w:lineRule="auto"/>
      </w:pPr>
      <w:r>
        <w:t>Podal reflex zones: plantar surfaces of both feet:</w:t>
      </w:r>
    </w:p>
    <w:p>
      <w:pPr>
        <w:pStyle w:val="ListBullet"/>
        <w:spacing w:after="80" w:line="252" w:lineRule="auto"/>
      </w:pPr>
      <w:r>
        <w:t>General adaptation syndrome: see Chapter 2, Treatment, and Chapter 4, Autonomic Nervous System.</w:t>
      </w:r>
    </w:p>
    <w:p>
      <w:pPr>
        <w:pStyle w:val="ListBullet"/>
        <w:spacing w:after="80" w:line="252" w:lineRule="auto"/>
      </w:pPr>
      <w:r>
        <w:t>Vagus nerve (Figures 14.15 and 14.16);</w:t>
      </w:r>
    </w:p>
    <w:p>
      <w:pPr>
        <w:pStyle w:val="Caption"/>
        <w:spacing w:after="80" w:line="252" w:lineRule="auto"/>
        <w:jc w:val="center"/>
      </w:pPr>
      <w:r>
        <w:rPr>
          <w:i/>
        </w:rPr>
        <w:t>Figure 14.15. Cranial and cervical territory of the vagus nerve (in yellow)</w:t>
      </w:r>
    </w:p>
    <w:p>
      <w:pPr>
        <w:pStyle w:val="Caption"/>
        <w:spacing w:after="80" w:line="252" w:lineRule="auto"/>
        <w:jc w:val="center"/>
      </w:pPr>
      <w:r>
        <w:rPr>
          <w:i/>
        </w:rPr>
        <w:t>Figure 14.16. Left abdominal territory of the vagus nerve and coeliac (solar) plexus</w:t>
      </w:r>
    </w:p>
    <w:p>
      <w:pPr>
        <w:pStyle w:val="Caption"/>
        <w:spacing w:after="80" w:line="252" w:lineRule="auto"/>
        <w:jc w:val="center"/>
      </w:pPr>
      <w:r>
        <w:rPr>
          <w:i/>
        </w:rPr>
        <w:t>Figure 14.17. Oesophageal hiatus (right and left vagus nerves) and cardia</w:t>
      </w:r>
    </w:p>
    <w:p>
      <w:pPr>
        <w:pStyle w:val="Caption"/>
        <w:spacing w:after="80" w:line="252" w:lineRule="auto"/>
        <w:jc w:val="center"/>
      </w:pPr>
      <w:r>
        <w:rPr>
          <w:i/>
        </w:rPr>
        <w:t>Figure 14.18. Lesser curvature of the stomach, rich in vagal fibres (between the two thumbs)</w:t>
      </w:r>
    </w:p>
    <w:p>
      <w:pPr>
        <w:pStyle w:val="ListBullet"/>
        <w:spacing w:after="80" w:line="252" w:lineRule="auto"/>
      </w:pPr>
      <w:r>
        <w:t>Vertebral column and costotransverse joints: thoracic laterovertebral ganglionic chain Th8-Th10 (Figures 14.19 and 14.20);</w:t>
      </w:r>
    </w:p>
    <w:p>
      <w:pPr>
        <w:pStyle w:val="Caption"/>
        <w:spacing w:after="80" w:line="252" w:lineRule="auto"/>
        <w:jc w:val="center"/>
      </w:pPr>
      <w:r>
        <w:rPr>
          <w:i/>
        </w:rPr>
        <w:t>Figure 14.19. Sympathetic system (spinal origin)</w:t>
      </w:r>
    </w:p>
    <w:p>
      <w:pPr>
        <w:pStyle w:val="Caption"/>
        <w:spacing w:after="80" w:line="252" w:lineRule="auto"/>
        <w:jc w:val="center"/>
      </w:pPr>
      <w:r>
        <w:rPr>
          <w:i/>
        </w:rPr>
        <w:t>Figure 14.20. Lumbar ganglionic chain and crura of the diaphragm (between the two thumbs)</w:t>
      </w:r>
    </w:p>
    <w:p>
      <w:pPr>
        <w:pStyle w:val="ListBullet"/>
        <w:spacing w:after="80" w:line="252" w:lineRule="auto"/>
      </w:pPr>
      <w:r>
        <w:t>Coeliac (solar) plexus; (Figures 14.16 and 14.21)</w:t>
      </w:r>
    </w:p>
    <w:p>
      <w:pPr>
        <w:pStyle w:val="Caption"/>
        <w:spacing w:after="80" w:line="252" w:lineRule="auto"/>
        <w:jc w:val="center"/>
      </w:pPr>
      <w:r>
        <w:rPr>
          <w:i/>
        </w:rPr>
        <w:t>Figure 14.21. Coeliac (solar) plexus</w:t>
      </w:r>
    </w:p>
    <w:p>
      <w:pPr>
        <w:pStyle w:val="ListBullet"/>
        <w:spacing w:after="80" w:line="252" w:lineRule="auto"/>
      </w:pPr>
      <w:r>
        <w:t>Lumbar plexus, as a viscerosomatic link (Figures 14.19 and 14.20).</w:t>
      </w:r>
    </w:p>
    <w:p>
      <w:pPr>
        <w:pStyle w:val="ListBullet"/>
        <w:spacing w:after="80" w:line="252" w:lineRule="auto"/>
      </w:pPr>
      <w:r>
        <w:t>N.B. In our clinical experience, functional intestinal disorders are often observed in women in association with hormonal and emotional factors.</w:t>
      </w:r>
    </w:p>
    <w:p>
      <w:pPr>
        <w:pStyle w:val="ListBullet"/>
        <w:spacing w:after="80" w:line="252" w:lineRule="auto"/>
      </w:pPr>
      <w:r>
        <w:t>Locoregional syndrome:</w:t>
      </w:r>
    </w:p>
    <w:p>
      <w:pPr>
        <w:pStyle w:val="ListBullet"/>
        <w:spacing w:after="80" w:line="252" w:lineRule="auto"/>
      </w:pPr>
      <w:r>
        <w:t>Diaphragm: attachment of the suspensory muscle of the duodenum, or muscle of Treitz, to the right crus (Figures 14.16 and 14.21);</w:t>
      </w:r>
    </w:p>
    <w:p>
      <w:pPr>
        <w:pStyle w:val="ListBullet"/>
        <w:spacing w:after="80" w:line="252" w:lineRule="auto"/>
      </w:pPr>
      <w:r>
        <w:t>Stomach (gastroenteric reflex) (Figure 14.16);</w:t>
      </w:r>
    </w:p>
    <w:p>
      <w:pPr>
        <w:pStyle w:val="ListBullet"/>
        <w:spacing w:after="80" w:line="252" w:lineRule="auto"/>
      </w:pPr>
      <w:r>
        <w:t>Root of the mesentery: a line from the duodenojejunal junction to the umbilicus, at the level of L3-L4 on the plantar surface of the left foot (Figures 14.22 and 14.25), followed by a line from the ileocaecal valve to the umbilicus on the plantar surface of the right foot (Figures 14.23 and 14.27);</w:t>
      </w:r>
    </w:p>
    <w:p>
      <w:pPr>
        <w:pStyle w:val="Caption"/>
        <w:spacing w:after="80" w:line="252" w:lineRule="auto"/>
        <w:jc w:val="center"/>
      </w:pPr>
      <w:r>
        <w:rPr>
          <w:i/>
        </w:rPr>
        <w:t>Figure 14.22. Root of the mesentery (between the duodenojejunal junction and the umbilicus)</w:t>
      </w:r>
    </w:p>
    <w:p>
      <w:pPr>
        <w:pStyle w:val="Caption"/>
        <w:spacing w:after="80" w:line="252" w:lineRule="auto"/>
        <w:jc w:val="center"/>
      </w:pPr>
      <w:r>
        <w:rPr>
          <w:i/>
        </w:rPr>
        <w:t>Figure 14.23. Root of the mesentery (between the ileocaecal valve and the umbilicus)</w:t>
      </w:r>
    </w:p>
    <w:p>
      <w:pPr>
        <w:pStyle w:val="ListBullet"/>
        <w:spacing w:after="80" w:line="252" w:lineRule="auto"/>
      </w:pPr>
      <w:r>
        <w:t>Small intestine: (Figures 14.24, 14.25, 14.26 and 14.27)</w:t>
      </w:r>
    </w:p>
    <w:p>
      <w:pPr>
        <w:pStyle w:val="ListBullet"/>
        <w:spacing w:after="80" w:line="252" w:lineRule="auto"/>
      </w:pPr>
      <w:r>
        <w:t>Upper limit: a horizontal line at the level of the styloid processes of the fifth metatarsals;</w:t>
      </w:r>
    </w:p>
    <w:p>
      <w:pPr>
        <w:pStyle w:val="ListBullet"/>
        <w:spacing w:after="80" w:line="252" w:lineRule="auto"/>
      </w:pPr>
      <w:r>
        <w:t>Lower limit: the anterior border of the heels, corresponding to the iliopubic rami;</w:t>
      </w:r>
    </w:p>
    <w:p>
      <w:pPr>
        <w:pStyle w:val="ListBullet"/>
        <w:spacing w:after="80" w:line="252" w:lineRule="auto"/>
      </w:pPr>
      <w:r>
        <w:t>Lateral limit:</w:t>
      </w:r>
    </w:p>
    <w:p>
      <w:pPr>
        <w:pStyle w:val="ListBullet"/>
        <w:spacing w:after="80" w:line="252" w:lineRule="auto"/>
      </w:pPr>
      <w:r>
        <w:t>jejunum: extending to the lateral border of the left foot;</w:t>
      </w:r>
    </w:p>
    <w:p>
      <w:pPr>
        <w:pStyle w:val="ListBullet"/>
        <w:spacing w:after="80" w:line="252" w:lineRule="auto"/>
      </w:pPr>
      <w:r>
        <w:t>ileum: aligned with the fourth toe of the right foot.</w:t>
      </w:r>
    </w:p>
    <w:p>
      <w:pPr>
        <w:spacing w:after="80" w:line="252" w:lineRule="auto"/>
      </w:pPr>
      <w:r>
        <w:t>N.B. Respect the orientation of the loops: horizontal for the jejunum and vertical for the ileum.</w:t>
      </w:r>
    </w:p>
    <w:p>
      <w:pPr>
        <w:pStyle w:val="Caption"/>
        <w:spacing w:after="80" w:line="252" w:lineRule="auto"/>
        <w:jc w:val="center"/>
      </w:pPr>
      <w:r>
        <w:rPr>
          <w:i/>
        </w:rPr>
        <w:t>Figure 14.24. Jejunum (upper and lower limits between the two index fingers)</w:t>
      </w:r>
    </w:p>
    <w:p>
      <w:pPr>
        <w:pStyle w:val="Caption"/>
        <w:spacing w:after="80" w:line="252" w:lineRule="auto"/>
        <w:jc w:val="center"/>
      </w:pPr>
      <w:r>
        <w:rPr>
          <w:i/>
        </w:rPr>
        <w:t>Figure 14.25. Jejunum</w:t>
      </w:r>
    </w:p>
    <w:p>
      <w:pPr>
        <w:pStyle w:val="Caption"/>
        <w:spacing w:after="80" w:line="252" w:lineRule="auto"/>
        <w:jc w:val="center"/>
      </w:pPr>
      <w:r>
        <w:rPr>
          <w:i/>
        </w:rPr>
        <w:t>Figure 14.26. Ileum (upper and lower limits between the two index fingers)</w:t>
      </w:r>
    </w:p>
    <w:p>
      <w:pPr>
        <w:pStyle w:val="Caption"/>
        <w:spacing w:after="80" w:line="252" w:lineRule="auto"/>
        <w:jc w:val="center"/>
      </w:pPr>
      <w:r>
        <w:rPr>
          <w:i/>
        </w:rPr>
        <w:t>Figure 14.27. Ileum and root of the mesentery</w:t>
      </w:r>
    </w:p>
    <w:p>
      <w:pPr>
        <w:spacing w:after="80" w:line="252" w:lineRule="auto"/>
      </w:pPr>
      <w:r>
        <w:t>Limbic system:</w:t>
      </w:r>
    </w:p>
    <w:p>
      <w:pPr>
        <w:pStyle w:val="ListBullet"/>
        <w:spacing w:after="80" w:line="252" w:lineRule="auto"/>
      </w:pPr>
      <w:r>
        <w:t>Limbic brain-small intestine balance: listening-induction, with one thumb on the small intestine and the other on the limbic brain (Figure 1.12).</w:t>
      </w:r>
    </w:p>
    <w:p>
      <w:pPr>
        <w:pStyle w:val="Caption"/>
        <w:spacing w:after="80" w:line="252" w:lineRule="auto"/>
        <w:jc w:val="center"/>
      </w:pPr>
      <w:r>
        <w:rPr>
          <w:i/>
        </w:rPr>
        <w:t>Figure 14.28. Visceral-emotional-small intestine balance technique (in this figure, the right thumb is on the liver, used as an example)</w:t>
      </w:r>
    </w:p>
    <w:p>
      <w:pPr>
        <w:pStyle w:val="Heading1"/>
        <w:spacing w:after="80" w:line="252" w:lineRule="auto"/>
      </w:pPr>
      <w:r>
        <w:t>10. Viscerosomatic Relations</w:t>
      </w:r>
    </w:p>
    <w:p>
      <w:pPr>
        <w:pStyle w:val="ListBullet"/>
        <w:spacing w:after="80" w:line="252" w:lineRule="auto"/>
      </w:pPr>
      <w:r>
        <w:t>Vertebral fixations from Th10 to Th12 and their corresponding ribs;</w:t>
      </w:r>
    </w:p>
    <w:p>
      <w:pPr>
        <w:pStyle w:val="ListBullet"/>
        <w:spacing w:after="80" w:line="252" w:lineRule="auto"/>
      </w:pPr>
      <w:r>
        <w:t>L1 and L2.</w:t>
      </w:r>
    </w:p>
    <w:p>
      <w:pPr>
        <w:pStyle w:val="Heading1"/>
        <w:spacing w:after="80" w:line="252" w:lineRule="auto"/>
      </w:pPr>
      <w:r>
        <w:t>Viscero-emotional Relations</w:t>
      </w:r>
    </w:p>
    <w:p>
      <w:pPr>
        <w:pStyle w:val="ListBullet"/>
        <w:spacing w:after="80" w:line="252" w:lineRule="auto"/>
      </w:pPr>
      <w:r>
        <w:t>The abdomen, with its range of pain and digestive disorders, may constitute an important site for the somatic expression of emotional tension. Such tension may promote sympathetic hyperactivity at the expense of vagal activity.</w:t>
      </w:r>
    </w:p>
    <w:p>
      <w:pPr>
        <w:pStyle w:val="ListBullet"/>
        <w:spacing w:after="80" w:line="252" w:lineRule="auto"/>
      </w:pPr>
      <w:r>
        <w:t>Emotionally, it is difficult to draw a clear distinction between the small intestine and the colon. In the clinical setting, the mucosa is viewed as both a receiver and an emitter of emotions. Because the intestine is highly hormone-dependent, it is presented here as an organ particularly involved in long-term somatisation. Fibromyalgia and spasmophilia are encountered more often in women in this model, because of hormonal and intestinal interdependence. Hyperpermeability and dysbiosis are described as providing a favourable terrain for fibromyalgia.</w:t>
      </w:r>
    </w:p>
    <w:p>
      <w:pPr>
        <w:spacing w:after="80" w:line="252" w:lineRule="auto"/>
      </w:pPr>
      <w:r>
        <w:t>The “intestinal” personality profile is often described as someone who feels ill at ease in their body. This profile may be associated with morning fatigue, low back pain, knee and foot pain, including hallux valgus, as well as ridged and brittle nails. Such individuals may be easily upset or irritable, with a mood that tends to improve as the day progresses.</w:t>
      </w:r>
    </w:p>
    <w:p>
      <w:pPr>
        <w:spacing w:after="80" w:line="252" w:lineRule="auto"/>
      </w:pPr>
      <w:r>
        <w:t>The “intestinal” personality profile is associated with a strong need for security. Such individuals may be overprotective toward loved ones and tend to remain attached to routines, familiar reference points and stable habits. They may also show marked meticulousness in their environment. At times, apparent self-confidence may be used to conceal underlying anxiety. They may be hypochondriacal or excessively concerned about health. They can be loquacious, sometimes with a degree of theatricality when trying to persuade. Once an idea becomes fixed, they may be obstinate. They are often principled, generous and sensitive, although their mood may be changeable. They tend to tolerate poorly anything that affects them or their loved ones.</w:t>
      </w:r>
    </w:p>
    <w:p>
      <w:pPr>
        <w:pStyle w:val="Heading1"/>
        <w:spacing w:after="80" w:line="252" w:lineRule="auto"/>
      </w:pPr>
      <w:r>
        <w:t>12. Advice</w:t>
      </w:r>
    </w:p>
    <w:p>
      <w:pPr>
        <w:spacing w:after="80" w:line="252" w:lineRule="auto"/>
      </w:pPr>
      <w:r>
        <w:t>The small intestine may reflect emotional and psychological tension. Intestinal spasms may contribute to lumbar spinal fixations. A varied, balanced diet should be favoured, without excess carbohydrates or animal proteins. Sports activity should be avoided during digestion.</w:t>
      </w:r>
    </w:p>
    <w:p>
      <w:pPr>
        <w:pStyle w:val="Heading1"/>
        <w:spacing w:after="80" w:line="252" w:lineRule="auto"/>
      </w:pPr>
      <w:r>
        <w:t>13. Clinical Case</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Small Intestine - Polished Medical English Translation</dc:title>
  <dc:subject>ROP polished translation</dc:subject>
  <dc:creator>python-docx</dc:creator>
  <cp:keywords>ROP, Small Intestine, Medical English, polished translation</cp:keywords>
  <dc:description>generated by python-docx</dc:description>
  <cp:lastModifiedBy/>
  <cp:revision>1</cp:revision>
  <dcterms:created xsi:type="dcterms:W3CDTF">2013-12-23T23:15:00Z</dcterms:created>
  <dcterms:modified xsi:type="dcterms:W3CDTF">2013-12-23T23:15:00Z</dcterms:modified>
  <cp:category/>
</cp:coreProperties>
</file>