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before="200"/>
        <w:jc w:val="left"/>
      </w:pPr>
      <w:r>
        <w:t>Kapitel 14. Dünndarm</w:t>
      </w:r>
    </w:p>
    <w:p>
      <w:pPr>
        <w:pStyle w:val="Heading1"/>
        <w:spacing w:after="120" w:before="200"/>
      </w:pPr>
      <w:r>
        <w:t>Darstellung</w:t>
      </w:r>
    </w:p>
    <w:p>
      <w:pPr>
        <w:spacing w:after="80"/>
      </w:pPr>
      <w:r>
        <w:t>Der Dünndarm ist das längste Hohlorgan des Abdomens. Am Leichnam misst er etwa 6 bis 7 Meter; beim lebenden Menschen ist er aufgrund seines Muskeltonus deutlich kürzer. Er besteht aus zwei Abschnitten:</w:t>
      </w:r>
    </w:p>
    <w:p>
      <w:pPr>
        <w:pStyle w:val="ListBullet"/>
        <w:spacing w:after="80"/>
      </w:pPr>
      <w:r>
        <w:t>dem Duodenum</w:t>
      </w:r>
    </w:p>
    <w:p>
      <w:pPr>
        <w:pStyle w:val="ListBullet"/>
        <w:spacing w:after="80"/>
      </w:pPr>
      <w:r>
        <w:t>dem Jejunoileum</w:t>
      </w:r>
    </w:p>
    <w:p>
      <w:pPr>
        <w:spacing w:after="80"/>
      </w:pPr>
      <w:r>
        <w:t>Gemeinsam erstrecken sie sich vom Pylorus bis zur Ileozäkalklappe und spielen eine zentrale Rolle bei Verdauung und Resorption. Obwohl das Duodenum anatomisch zum Dünndarm gehört, wird es aufgrund seiner besonderen anatomischen und physiologischen Eigenschaften in einem eigenen Kapitel behandelt (siehe Kapitel 10, Duodenum, Seite ...).</w:t>
      </w:r>
    </w:p>
    <w:p>
      <w:pPr>
        <w:spacing w:after="80"/>
      </w:pPr>
      <w:r>
        <w:t>Das Jejunoileum unterscheidet sich in mehrfacher Hinsicht vom Duodenum:</w:t>
      </w:r>
    </w:p>
    <w:p>
      <w:pPr>
        <w:pStyle w:val="ListBullet"/>
        <w:spacing w:after="80"/>
      </w:pPr>
      <w:r>
        <w:t>Seine Wand ist dünn, glatt, vollständig peritonealisiert und sehr mobil; das Lumen misst lediglich 2 bis 3 cm im Durchmesser;</w:t>
      </w:r>
    </w:p>
    <w:p>
      <w:pPr>
        <w:pStyle w:val="ListBullet"/>
        <w:spacing w:after="80"/>
      </w:pPr>
      <w:r>
        <w:t>durch das Zusammenspiel von Mukosa, intestinalen Sekreten und Mikrobiota, auch Darmflora genannt, erfüllt es eine wesentliche Verdauungsfunktion;</w:t>
      </w:r>
    </w:p>
    <w:p>
      <w:pPr>
        <w:pStyle w:val="ListBullet"/>
        <w:spacing w:after="80"/>
      </w:pPr>
      <w:r>
        <w:t>darüber hinaus leistet es einen wichtigen Beitrag zu Stoffwechsel und Immunität;</w:t>
      </w:r>
    </w:p>
    <w:p>
      <w:pPr>
        <w:pStyle w:val="ListBullet"/>
        <w:spacing w:after="80"/>
      </w:pPr>
      <w:r>
        <w:t>charakteristisch ist zudem ein besonders gut entwickeltes intrinsisches Nervensystem;</w:t>
      </w:r>
    </w:p>
    <w:p>
      <w:pPr>
        <w:pStyle w:val="ListBullet"/>
        <w:spacing w:after="80"/>
      </w:pPr>
      <w:r>
        <w:t>über die Darm-Hirn-Achse steht es in enger Wechselwirkung mit der emotionalen Sphäre.</w:t>
      </w:r>
    </w:p>
    <w:p>
      <w:pPr>
        <w:pStyle w:val="ListBullet"/>
        <w:spacing w:after="80"/>
      </w:pPr>
      <w:r>
        <w:t>Funktionell sind Dünndarm und Kolon voneinander abhängig.</w:t>
      </w:r>
    </w:p>
    <w:p>
      <w:pPr>
        <w:pStyle w:val="Heading1"/>
        <w:spacing w:after="120" w:before="200"/>
      </w:pPr>
      <w:r>
        <w:t>Lage</w:t>
      </w:r>
    </w:p>
    <w:p>
      <w:pPr>
        <w:spacing w:after="80"/>
      </w:pPr>
      <w:r>
        <w:t>Das Jejunoileum nimmt einen großen Teil der Bauchhöhle ein, häufiger links als rechts, innerhalb des Kolonrahmens (Abbildung 14.1). Das Jejunum liegt überwiegend im linken oberen Quadranten des Abdomens, das Ileum vor allem im rechten unteren Quadranten.</w:t>
      </w:r>
    </w:p>
    <w:p>
      <w:pPr>
        <w:pStyle w:val="Caption"/>
        <w:spacing w:after="80"/>
      </w:pPr>
      <w:r>
        <w:rPr>
          <w:i/>
        </w:rPr>
        <w:t>Abbildung 14.1. Abdominale Topographie in vier Quadranten</w:t>
      </w:r>
    </w:p>
    <w:p>
      <w:pPr>
        <w:pStyle w:val="Heading1"/>
        <w:spacing w:after="120" w:before="200"/>
      </w:pPr>
      <w:r>
        <w:t>Anatomie</w:t>
      </w:r>
    </w:p>
    <w:p>
      <w:pPr>
        <w:pStyle w:val="ListBullet"/>
        <w:spacing w:after="80"/>
      </w:pPr>
      <w:r>
        <w:t>Jejunoileum: Es umfasst 15 bis 16 U-förmige Darmschlingen, die in zwei Gruppen angeordnet sind:</w:t>
      </w:r>
    </w:p>
    <w:p>
      <w:pPr>
        <w:pStyle w:val="ListBullet"/>
        <w:spacing w:after="80"/>
      </w:pPr>
      <w:r>
        <w:t>eine links-obere Gruppe, die dem Jejunum entspricht und stärker entwickelt ist als das Ileum. Ihre Schlingen und ihr Gefäßnetz sind im Allgemeinen horizontal ausgerichtet; das Jejunum überlagert das Colon descendens.</w:t>
      </w:r>
    </w:p>
    <w:p>
      <w:pPr>
        <w:pStyle w:val="ListBullet"/>
        <w:spacing w:after="80"/>
      </w:pPr>
      <w:r>
        <w:t>eine rechts-untere Gruppe, die dem Ileum entspricht. Ihre Schlingen und ihr Gefäßnetz sind im Allgemeinen vertikal ausgerichtet; das Ileum überlagert das Colon ascendens nicht.</w:t>
      </w:r>
    </w:p>
    <w:p>
      <w:pPr>
        <w:pStyle w:val="ListBullet"/>
        <w:spacing w:after="80"/>
      </w:pPr>
      <w:r>
        <w:t>Mesenterium: Das Mesenterium ist ein Meso (Abbildung 14.2; siehe Kapitel 1, Allgemeine Grundsätze), das heißt eine doppellagige Peritonealfalte. Es umhüllt das Jejunoileum und befestigt es über die Mesenterialwurzel an der hinteren Bauchwand. Siehe Kapitel 1, Allgemeine Grundsätze, und Kapitel 7, Bauch- und Peritonealhöhlen, Seite ...</w:t>
      </w:r>
    </w:p>
    <w:p>
      <w:pPr>
        <w:pStyle w:val="Caption"/>
        <w:spacing w:after="80"/>
      </w:pPr>
      <w:r>
        <w:rPr>
          <w:i/>
        </w:rPr>
        <w:t>Abbildung 14.2. Mesos</w:t>
      </w:r>
    </w:p>
    <w:p>
      <w:pPr>
        <w:pStyle w:val="ListBullet"/>
        <w:spacing w:after="80"/>
      </w:pPr>
      <w:r>
        <w:t>Mesenterialwurzel: Die Radix mesenterii (Mesenterialwurzel; Abbildung 14.3) bildet die Ansatzlinie des Mesenteriums und trägt zur Stabilität des ansonsten sehr mobilen Dünndarms bei (siehe Kapitel 7, Bauch- und Peritonealhöhlen). Sie misst 16 bis 18 cm und verläuft von der Flexura duodenojejunalis bis zur Ileozäkalverbindung. Dabei kreuzt sie die abdominelle Mittellinie auf Höhe des Nabels, gegenüber der Bandscheibe L3-L4. Die Flexura duodenojejunalis wird durch den Musculus suspensorius duodeni, den Treitz-Muskel (Abbildung 14.4), gestützt, dessen glatte Muskelfasern am Crus dextrum (rechter Zwerchfellschenkel) ansetzen (siehe Kapitel 10, Duodenum).</w:t>
      </w:r>
    </w:p>
    <w:p>
      <w:pPr>
        <w:pStyle w:val="Caption"/>
        <w:spacing w:after="80"/>
      </w:pPr>
      <w:r>
        <w:rPr>
          <w:i/>
        </w:rPr>
        <w:t>Abbildung 14.3. Mesenterialwurzel</w:t>
      </w:r>
    </w:p>
    <w:p>
      <w:pPr>
        <w:pStyle w:val="Caption"/>
        <w:spacing w:after="80"/>
      </w:pPr>
      <w:r>
        <w:t>Abbildung 14.4. Musculus suspensorius duodeni (Treitz-Muskel)</w:t>
      </w:r>
    </w:p>
    <w:p>
      <w:pPr>
        <w:pStyle w:val="ListBullet"/>
        <w:spacing w:after="80"/>
      </w:pPr>
      <w:r>
        <w:t>Der Treitz-Muskel trägt dazu bei, den duodenojejunalen Winkel zu erhalten: Durch seine Kontraktion zieht er die Mesenterialwurzel nach kranial und links. Die dadurch erzeugte longitudinale Spannung unterstützt die Entleerung des Duodenums in das Jejunum (siehe Kapitel 10, Duodenum, Seite ...). Über die Mesenterialwurzel verlaufen außerdem die Gefäß- und Nervenversorgung des Dünndarms.</w:t>
      </w:r>
    </w:p>
    <w:p>
      <w:pPr>
        <w:pStyle w:val="Heading2"/>
        <w:spacing w:after="120" w:before="200"/>
      </w:pPr>
      <w:r>
        <w:t>Bedeutung für die ROP</w:t>
      </w:r>
    </w:p>
    <w:p>
      <w:pPr>
        <w:pStyle w:val="ListBullet"/>
        <w:spacing w:after="80"/>
      </w:pPr>
      <w:r>
        <w:t>Klinisch sollte ein Verlust der longitudinalen Spannung der Mesenterialwurzel im Zusammenhang mit dem Syndrom der Arteria mesenterica superior, auch Nutcracker-Syndrom, betrachtet werden: Kompression des vierten Duodenumabschnitts und der linken Nierenvene zwischen Aorta und Arteria mesenterica superior (siehe Kapitel 10, Duodenum, Seite ...). Die Entleerung des Duodenums in das Jejunum kann verzögert sein, wodurch das Risiko eines gastroduodenalen Refluxes steigt.</w:t>
      </w:r>
    </w:p>
    <w:p>
      <w:pPr>
        <w:pStyle w:val="ListBullet"/>
        <w:spacing w:after="80"/>
      </w:pPr>
      <w:r>
        <w:t>Das reiche Gefäß-, Nerven- und Lymphnetz der Mesenterialwurzel ist stark reflexogen. Die Stimulation ihrer Reflexzone soll eine funktionelle Antwort des Jejunoileums unterstützen.</w:t>
      </w:r>
    </w:p>
    <w:p>
      <w:pPr>
        <w:pStyle w:val="Heading1"/>
        <w:spacing w:after="120" w:before="200"/>
      </w:pPr>
      <w:r>
        <w:t>Beziehungen</w:t>
      </w:r>
    </w:p>
    <w:p>
      <w:pPr>
        <w:pStyle w:val="ListBullet"/>
        <w:spacing w:after="80"/>
      </w:pPr>
      <w:r>
        <w:t>Der Dünndarm liegt intraperitoneal;</w:t>
      </w:r>
    </w:p>
    <w:p>
      <w:pPr>
        <w:pStyle w:val="ListBullet"/>
        <w:spacing w:after="80"/>
      </w:pPr>
      <w:r>
        <w:t>links überlagert das Jejunum das Colon descendens;</w:t>
      </w:r>
    </w:p>
    <w:p>
      <w:pPr>
        <w:pStyle w:val="ListBullet"/>
        <w:spacing w:after="80"/>
      </w:pPr>
      <w:r>
        <w:t>rechts überlagert das Ileum das Colon ascendens nicht;</w:t>
      </w:r>
    </w:p>
    <w:p>
      <w:pPr>
        <w:pStyle w:val="ListBullet"/>
        <w:spacing w:after="80"/>
      </w:pPr>
      <w:r>
        <w:t>dorsal steht der Dünndarm in Beziehung zur hinteren Bauchwand und zu den retroperitonealen Organen, insbesondere zum supramesokolischen Abschnitt des Duodenums, zu den Nieren und Ureteren sowie zum Colon ascendens und Colon descendens;</w:t>
      </w:r>
    </w:p>
    <w:p>
      <w:pPr>
        <w:pStyle w:val="ListBullet"/>
        <w:spacing w:after="80"/>
      </w:pPr>
      <w:r>
        <w:t>ventral: das Omentum majus;</w:t>
      </w:r>
    </w:p>
    <w:p>
      <w:pPr>
        <w:pStyle w:val="ListBullet"/>
        <w:spacing w:after="80"/>
      </w:pPr>
      <w:r>
        <w:t>kaudal: die Beckenorgane, insbesondere die Harnblase;</w:t>
      </w:r>
    </w:p>
    <w:p>
      <w:pPr>
        <w:pStyle w:val="ListBullet"/>
        <w:spacing w:after="80"/>
      </w:pPr>
      <w:r>
        <w:t>kranial: das Mesocolon transversum.</w:t>
      </w:r>
    </w:p>
    <w:p>
      <w:pPr>
        <w:pStyle w:val="Heading1"/>
        <w:spacing w:after="120" w:before="200"/>
      </w:pPr>
      <w:r>
        <w:t>Vaskularisation</w:t>
      </w:r>
    </w:p>
    <w:p>
      <w:pPr>
        <w:spacing w:after="80"/>
      </w:pPr>
      <w:r>
        <w:t>Der Dünndarm benötigt eine ausgeprägte vaskuläre und lymphatische Versorgung, um seine Verdauungs-, Resorptions- und Immunfunktionen erfüllen zu können.</w:t>
      </w:r>
    </w:p>
    <w:p>
      <w:pPr>
        <w:pStyle w:val="ListBullet"/>
        <w:spacing w:after="80"/>
      </w:pPr>
      <w:r>
        <w:t>Arteria mesenterica superior: Die Arteria mesenterica superior ist die wichtigste arterielle Achse des Dünndarms (Abbildung 14.5). Sie entspringt aus der abdominalen Aorta, 1 cm unterhalb des Truncus coeliacus, auf Höhe der Bandscheibe Th12-L1. Sie verläuft zunächst hinter dem Pankreas und anschließend vor dem dritten Duodenumabschnitt, bevor sie zwischen den beiden Blättern des Mesenteriums weiterzieht. Sie gibt zahlreiche Kollateraläste ab und versorgt den gesamten Dünndarm, das Colon ascendens sowie die proximalen zwei Drittel des Colon transversum.</w:t>
      </w:r>
    </w:p>
    <w:p>
      <w:pPr>
        <w:pStyle w:val="Caption"/>
        <w:spacing w:after="80"/>
      </w:pPr>
      <w:r>
        <w:rPr>
          <w:i/>
        </w:rPr>
        <w:t>Abbildung 14.5. Arteria mesenterica superior</w:t>
      </w:r>
    </w:p>
    <w:p>
      <w:pPr>
        <w:pStyle w:val="ListBullet"/>
        <w:spacing w:after="80"/>
      </w:pPr>
      <w:r>
        <w:t>Ihr Puls ist auf Höhe des dritten Duodenumabschnitts rechts des Nabels palpierbar und kann als klinisch-vaskulärer Orientierungspunkt dienen, auch wenn er für sich allein keine Aussage über die Darmfunktion erlaubt (Abbildung 14.6).</w:t>
      </w:r>
    </w:p>
    <w:p>
      <w:pPr>
        <w:pStyle w:val="Caption"/>
        <w:spacing w:after="80"/>
      </w:pPr>
      <w:r>
        <w:rPr>
          <w:i/>
        </w:rPr>
        <w:t>Abbildung 14.6. Pulse der Arterien der Bauchhöhle</w:t>
      </w:r>
    </w:p>
    <w:p>
      <w:pPr>
        <w:pStyle w:val="ListBullet"/>
        <w:spacing w:after="80"/>
      </w:pPr>
      <w:r>
        <w:t>Vena mesenterica superior: Die rechts der Arteria mesenterica superior gelegene Vena mesenterica superior gehört zum Pfortadersystem (Abbildung 14.7). Sie drainiert nährstoffreiches venöses Blut aus dem Dünndarm zur Leber (siehe Kapitel 11, Leber, Seite ...).</w:t>
      </w:r>
    </w:p>
    <w:p>
      <w:pPr>
        <w:pStyle w:val="Caption"/>
        <w:spacing w:after="80"/>
      </w:pPr>
      <w:r>
        <w:rPr>
          <w:i/>
        </w:rPr>
        <w:t>Abbildung 14.7. Pfortadersystem</w:t>
      </w:r>
    </w:p>
    <w:p>
      <w:pPr>
        <w:pStyle w:val="ListBullet"/>
        <w:spacing w:after="80"/>
      </w:pPr>
      <w:r>
        <w:t>Lymphatisches Netzwerk: Der Dünndarm verfügt über ein gut entwickeltes Lymphnetz (Abbildung 14.8), das an der Immunfunktion beteiligt ist. Es transportiert langkettige Lipid- und Proteinmoleküle sowie die fettlöslichen Vitamine A, D, E und K über die Cisterna chyli und den Ductus thoracicus zum linken Venenwinkel, also zur Einmündung von Vena jugularis interna und Vena subclavia (siehe Kapitel 11, Leber und Gallenblase).</w:t>
      </w:r>
    </w:p>
    <w:p>
      <w:pPr>
        <w:pStyle w:val="Caption"/>
        <w:spacing w:after="80"/>
      </w:pPr>
      <w:r>
        <w:rPr>
          <w:i/>
        </w:rPr>
        <w:t>Abbildung 14.8. Lymphatisches System</w:t>
      </w:r>
    </w:p>
    <w:p>
      <w:pPr>
        <w:pStyle w:val="Heading1"/>
        <w:spacing w:after="120" w:before="200"/>
      </w:pPr>
      <w:r>
        <w:t>Innervation</w:t>
      </w:r>
    </w:p>
    <w:p>
      <w:pPr>
        <w:pStyle w:val="Heading1"/>
        <w:spacing w:after="120" w:before="200"/>
      </w:pPr>
      <w:r>
        <w:t>Innervation des Peritoneums:</w:t>
      </w:r>
    </w:p>
    <w:p>
      <w:pPr>
        <w:pStyle w:val="ListBullet"/>
        <w:spacing w:after="80"/>
      </w:pPr>
      <w:r>
        <w:t>Sie ist doppelt innerviert, sowohl somatisch als auch autonom:</w:t>
      </w:r>
    </w:p>
    <w:p>
      <w:pPr>
        <w:pStyle w:val="ListBullet"/>
        <w:spacing w:after="80"/>
      </w:pPr>
      <w:r>
        <w:t>Parietales Peritoneum: siehe Kapitel 7, Innervation des Peritoneums, Seite ...</w:t>
      </w:r>
    </w:p>
    <w:p>
      <w:pPr>
        <w:pStyle w:val="ListBullet"/>
        <w:spacing w:after="80"/>
      </w:pPr>
      <w:r>
        <w:t>Das parietale Peritoneum erhält eine mit der Bauchwand gemeinsame somatische Innervation über die Nervi phrenici (Abbildung 14.9), die unteren sechs Interkostalnerven (Abbildung 14.10) und die Nerven des Plexus lumbalis (Abbildung 14.11). Es enthält zahlreiche Nervenendigungen, die auf Temperatur, Druck und Schmerz reagieren.</w:t>
      </w:r>
    </w:p>
    <w:p>
      <w:pPr>
        <w:pStyle w:val="Caption"/>
        <w:spacing w:after="80"/>
      </w:pPr>
      <w:r>
        <w:rPr>
          <w:i/>
        </w:rPr>
        <w:t>Abbildung 14.9. Nervus phrenicus</w:t>
      </w:r>
    </w:p>
    <w:p>
      <w:pPr>
        <w:pStyle w:val="Caption"/>
        <w:spacing w:after="80"/>
      </w:pPr>
      <w:r>
        <w:rPr>
          <w:i/>
        </w:rPr>
        <w:t>Abbildung 14.10. Interkostalnerven</w:t>
      </w:r>
    </w:p>
    <w:p>
      <w:pPr>
        <w:pStyle w:val="Caption"/>
        <w:spacing w:after="80"/>
      </w:pPr>
      <w:r>
        <w:rPr>
          <w:i/>
        </w:rPr>
        <w:t>Abbildung 14.11. Nerven des Plexus lumbalis</w:t>
      </w:r>
    </w:p>
    <w:p>
      <w:pPr>
        <w:pStyle w:val="ListBullet"/>
        <w:spacing w:after="80"/>
      </w:pPr>
      <w:r>
        <w:t>Diese gemeinsame Innervation mit der Bauchwand trägt dazu bei zu erklären, warum zervikale, skapuläre, abdominale und lumbale Schmerzen peritonealen oder viszeralen Ursprungs - funktionell, infektiös, chirurgisch oder traumatisch - über die somatischen Fasern des parietalen Blattes auf das osteomuskuloartikuläre System projiziert werden können (siehe Kapitel 7, Peritoneosomatische Beziehungen, Seite ...).</w:t>
      </w:r>
    </w:p>
    <w:p>
      <w:pPr>
        <w:pStyle w:val="ListBullet"/>
        <w:spacing w:after="80"/>
      </w:pPr>
      <w:r>
        <w:t>Viszerales Peritoneum: Es erhält eine extrinsische autonome Innervation, die es mit den Viszera teilt:</w:t>
      </w:r>
    </w:p>
    <w:p>
      <w:pPr>
        <w:pStyle w:val="ListBullet"/>
        <w:spacing w:after="80"/>
      </w:pPr>
      <w:r>
        <w:t>Sympathikus: Die sympathischen Wurzeln entspringen von Th8 bis Th11 und erreichen über die Nervi splanchnici major und minor die prävertebralen Plexus coeliacus und mesentericus superior (Abbildung 14.12).</w:t>
      </w:r>
    </w:p>
    <w:p>
      <w:pPr>
        <w:pStyle w:val="Caption"/>
        <w:spacing w:after="80"/>
      </w:pPr>
      <w:r>
        <w:rPr>
          <w:i/>
        </w:rPr>
        <w:t>Abbildung 14.12. Autonomes Nervensystem</w:t>
      </w:r>
    </w:p>
    <w:p>
      <w:pPr>
        <w:pStyle w:val="ListBullet"/>
        <w:spacing w:after="80"/>
      </w:pPr>
      <w:r>
        <w:t>Sensibilität: Das viszerale Peritoneum ist gegenüber Berührung, Temperaturveränderungen und chirurgischer Inzision relativ unempfindlich. Die viszerale Sensibilität hängt vom Sympathikus ab, der durch Darmdistension und chemische Substanzen stimuliert wird (siehe Kapitel 4, Autonomes Nervensystem, Seite ...).</w:t>
      </w:r>
    </w:p>
    <w:p>
      <w:pPr>
        <w:pStyle w:val="ListBullet"/>
        <w:spacing w:after="80"/>
      </w:pPr>
      <w:r>
        <w:t>Motilität: Der Sympathikus vermindert Peristaltik und intestinale Sekretionen, insbesondere bei Stress, Angst, Furcht oder körperlicher Anstrengung.</w:t>
      </w:r>
    </w:p>
    <w:p>
      <w:pPr>
        <w:pStyle w:val="ListBullet"/>
        <w:spacing w:after="80"/>
      </w:pPr>
      <w:r>
        <w:t>Nervus vagus: Der Nervus vagus trägt zur Regulation der Verdauungsfunktion bei:</w:t>
      </w:r>
    </w:p>
    <w:p>
      <w:pPr>
        <w:pStyle w:val="ListBullet"/>
        <w:spacing w:after="80"/>
      </w:pPr>
      <w:r>
        <w:t>Motilität: Der Nervus vagus wirkt dem Sympathikus im Allgemeinen antagonistisch entgegen. Er fördert Peristaltik, intestinale Sekretionen und physiologische Darmpermeabilität und erleichtert dadurch die Resorption. Je nach Kontext kann dies mit einer koordinierten intestinalen Relaxation einhergehen.</w:t>
      </w:r>
    </w:p>
    <w:p>
      <w:pPr>
        <w:pStyle w:val="ListBullet"/>
        <w:spacing w:after="80"/>
      </w:pPr>
      <w:r>
        <w:t>Sensibilität: Der Nervus vagus enthält zu 70 bis 80 % sensible Fasern, die das Gehirn kontinuierlich über den Zustand der Viszera informieren. Er ist mit dem intrinsischen Nervensystem verbunden.</w:t>
      </w:r>
    </w:p>
    <w:p>
      <w:pPr>
        <w:pStyle w:val="ListBullet"/>
        <w:spacing w:after="80"/>
      </w:pPr>
      <w:r>
        <w:t>Intrinsisches oder enterisches Nervensystem (ENS): Das ENS wird häufig als zweites Gehirn oder Bauchgehirn bezeichnet. Es besteht aus intramuralen Plexus (Abbildung 14.13), die in der Wand des Dünndarms selbst liegen: dem Plexus myentericus Auerbach und dem Plexus submucosus Meissner.</w:t>
      </w:r>
    </w:p>
    <w:p>
      <w:pPr>
        <w:pStyle w:val="Caption"/>
        <w:spacing w:after="80"/>
      </w:pPr>
      <w:r>
        <w:rPr>
          <w:i/>
        </w:rPr>
        <w:t>Abbildung 14.13. Enterische intramurale Plexus</w:t>
      </w:r>
    </w:p>
    <w:p>
      <w:pPr>
        <w:pStyle w:val="ListBullet"/>
        <w:spacing w:after="80"/>
      </w:pPr>
      <w:r>
        <w:t>Das ENS reagiert auf neurohormonelle Signale und auf die chemische Zusammensetzung des Darminhalts.</w:t>
      </w:r>
    </w:p>
    <w:p>
      <w:pPr>
        <w:pStyle w:val="ListBullet"/>
        <w:spacing w:after="80"/>
      </w:pPr>
      <w:r>
        <w:t>Funktion: Das ENS kann weitgehend unabhängig von Gehirn und Rückenmark arbeiten, sofern die physiologischen Bedingungen dies erlauben.</w:t>
      </w:r>
    </w:p>
    <w:p>
      <w:pPr>
        <w:pStyle w:val="ListBullet"/>
        <w:spacing w:after="80"/>
      </w:pPr>
      <w:r>
        <w:t>Das ENS spielt eine wichtige Rolle bei der Produktion neurochemischer Mediatoren, darunter ein erheblicher Anteil des körpereigenen Serotonins sowie Acetylcholin, Noradrenalin und GABA. Zudem ist es Teil eines besonders bedeutsamen intestinalen Immunmilieus (siehe Kapitel 4, Autonomes Nervensystem, Seite ...).</w:t>
      </w:r>
    </w:p>
    <w:p>
      <w:pPr>
        <w:pStyle w:val="ListBullet"/>
        <w:spacing w:after="80"/>
      </w:pPr>
      <w:r>
        <w:t>Intestinaler Schrittmacher: Die Wand des Dünndarms enthält außerdem spezialisierte Zellen, die interstitiellen Cajal-Zellen. Sie liegen in den longitudinalen und zirkulären Muskelschichten, erzeugen langsame Wellen, die von peristaltischen Wellen zu unterscheiden sind, und tragen zur Koordination der Darmmotilität bei.</w:t>
      </w:r>
    </w:p>
    <w:p>
      <w:pPr>
        <w:pStyle w:val="Heading1"/>
        <w:spacing w:after="120" w:before="200"/>
      </w:pPr>
      <w:r>
        <w:t>Physiologie</w:t>
      </w:r>
    </w:p>
    <w:p>
      <w:pPr>
        <w:pStyle w:val="Heading1"/>
        <w:spacing w:after="120" w:before="200"/>
      </w:pPr>
      <w:r>
        <w:t>Motilität:</w:t>
      </w:r>
    </w:p>
    <w:p>
      <w:pPr>
        <w:spacing w:after="80"/>
      </w:pPr>
      <w:r>
        <w:t>Die Motilität wird durch drei Hauptmechanismen ausgelöst:</w:t>
      </w:r>
    </w:p>
    <w:p>
      <w:pPr>
        <w:pStyle w:val="ListBullet"/>
        <w:spacing w:after="80"/>
      </w:pPr>
      <w:r>
        <w:t>mechanisch: Distension der Darmwand während der Passage des Chymus;</w:t>
      </w:r>
    </w:p>
    <w:p>
      <w:pPr>
        <w:pStyle w:val="ListBullet"/>
        <w:spacing w:after="80"/>
      </w:pPr>
      <w:r>
        <w:t>neurologisch: Aktivierung des Nervus vagus, beeinflusst durch zephale Signale wie Anblick, Geruch, Geschmack und Berührung von Nahrung sowie durch intestinale Mechanorezeptoren. Die vagale Stimulation wird durch die Sekretion des intestinalen Hormons gastric inhibitory peptide (GIP) moduliert.</w:t>
      </w:r>
    </w:p>
    <w:p>
      <w:pPr>
        <w:pStyle w:val="ListBullet"/>
        <w:spacing w:after="80"/>
      </w:pPr>
      <w:r>
        <w:t>hormono-chemisch: gastrische, duodenale, hepatobiliäre und pankreatische Sekretionen.</w:t>
      </w:r>
    </w:p>
    <w:p>
      <w:pPr>
        <w:spacing w:after="80"/>
      </w:pPr>
      <w:r>
        <w:t>Die Bewegung des Dünndarms erfolgt durch rhythmische Kontraktionen, Hin-und-her-Bewegungen und Segmentierung, die den Chymus homogenisieren, sowie durch Peristaltik, die ihn nach distal weiterbefördert.</w:t>
      </w:r>
    </w:p>
    <w:p>
      <w:pPr>
        <w:pStyle w:val="ListBullet"/>
        <w:spacing w:after="80"/>
      </w:pPr>
      <w:r>
        <w:t>Ökosystem: Der Dünndarm bildet ein Ökosystem, das aus folgenden Komponenten besteht:</w:t>
      </w:r>
    </w:p>
    <w:p>
      <w:pPr>
        <w:pStyle w:val="ListBullet"/>
        <w:spacing w:after="80"/>
      </w:pPr>
      <w:r>
        <w:t>der intestinalen Mukosa;</w:t>
      </w:r>
    </w:p>
    <w:p>
      <w:pPr>
        <w:pStyle w:val="ListBullet"/>
        <w:spacing w:after="80"/>
      </w:pPr>
      <w:r>
        <w:t>dem Immunsystem;</w:t>
      </w:r>
    </w:p>
    <w:p>
      <w:pPr>
        <w:pStyle w:val="ListBullet"/>
        <w:spacing w:after="80"/>
      </w:pPr>
      <w:r>
        <w:t>der intestinalen Mikrobiota.</w:t>
      </w:r>
    </w:p>
    <w:p>
      <w:pPr>
        <w:pStyle w:val="ListBullet"/>
        <w:spacing w:after="80"/>
      </w:pPr>
      <w:r>
        <w:t>Intestinale Mukosa: Die Darmschleimhaut bildet die Schnittstelle zwischen dem inneren Milieu des Körpers und dem Inhalt des Verdauungslumens:</w:t>
      </w:r>
    </w:p>
    <w:p>
      <w:pPr>
        <w:pStyle w:val="ListBullet"/>
        <w:spacing w:after="80"/>
      </w:pPr>
      <w:r>
        <w:t>Äußere Umgebung: Das Lumen des Verdauungstrakts, von der Mundhöhle bis zum Anus, steht mit der äußeren Umgebung in Kontakt.</w:t>
      </w:r>
    </w:p>
    <w:p>
      <w:pPr>
        <w:pStyle w:val="ListBullet"/>
        <w:spacing w:after="80"/>
      </w:pPr>
      <w:r>
        <w:t>Inneres Milieu: Dieses umfasst die Körperflüssigkeiten - Blut, Lymphe und interstitielle Flüssigkeit -, in denen die Zellen liegen. Seine Zusammensetzung wird durch Homöostase innerhalb enger Grenzen gehalten.</w:t>
      </w:r>
    </w:p>
    <w:p>
      <w:pPr>
        <w:pStyle w:val="ListBullet"/>
        <w:spacing w:after="80"/>
      </w:pPr>
      <w:r>
        <w:t>Die Mukosa wirkt als selektive Barriere zwischen diesen beiden Umgebungen und ermöglicht Verdauung und Resorption. Der Dünndarm reguliert einen sehr großen Anteil dieser beiden Funktionen.</w:t>
      </w:r>
    </w:p>
    <w:p>
      <w:pPr>
        <w:pStyle w:val="ListBullet"/>
        <w:spacing w:after="80"/>
      </w:pPr>
      <w:r>
        <w:t>Verdauung: Die Verdauung wandelt Nahrung in einfache Moleküle um, die anschließend resorbiert werden können. Die Darmschleimhaut enthält mehrere spezialisierte Zelltypen:</w:t>
      </w:r>
    </w:p>
    <w:p>
      <w:pPr>
        <w:pStyle w:val="ListBullet"/>
        <w:spacing w:after="80"/>
      </w:pPr>
      <w:r>
        <w:t>Becherzellen: Sie produzieren schützenden Schleim, der die Mukosa auskleidet.</w:t>
      </w:r>
    </w:p>
    <w:p>
      <w:pPr>
        <w:pStyle w:val="ListBullet"/>
        <w:spacing w:after="80"/>
      </w:pPr>
      <w:r>
        <w:t>Lieberkühn-Zellen: Sie tragen zur leicht alkalischen intestinalen Sekretion sowie zu enzymatischen und antimikrobiellen Funktionen bei. Die tägliche Produktion von intestinalem Verdauungssaft beträgt ungefähr 1 Liter.</w:t>
      </w:r>
    </w:p>
    <w:p>
      <w:pPr>
        <w:pStyle w:val="ListBullet"/>
        <w:spacing w:after="80"/>
      </w:pPr>
      <w:r>
        <w:t>Enterozyten, auch Resorptionszellen genannt: Durch ihre interzelluläre Anordnung und ihre Desmosomen erfüllen diese Zellen eine selektive Barrierefunktion. Sie ermöglichen die Resorption von Mikronährstoffen und begrenzen zugleich den Durchtritt unzureichend abgebauter oder unerwünschter Makromoleküle.</w:t>
      </w:r>
    </w:p>
    <w:p>
      <w:pPr>
        <w:pStyle w:val="ListBullet"/>
        <w:spacing w:after="80"/>
      </w:pPr>
      <w:r>
        <w:t>Resorption: Die Resorption erfordert eine physiologische Darmpermeabilität. Die Darmschleimhaut ist mit Zotten bedeckt, fingerförmigen Ausstülpungen (Abbildung 14.14), deren zentrale Achse glatte Muskelzellen sowie Blut- und Lymphgefäße enthält.</w:t>
      </w:r>
    </w:p>
    <w:p>
      <w:pPr>
        <w:pStyle w:val="Caption"/>
        <w:spacing w:after="80"/>
      </w:pPr>
      <w:r>
        <w:rPr>
          <w:i/>
        </w:rPr>
        <w:t>Abbildung 14.14. Darmzotten</w:t>
      </w:r>
    </w:p>
    <w:p>
      <w:pPr>
        <w:pStyle w:val="ListBullet"/>
        <w:spacing w:after="80"/>
      </w:pPr>
      <w:r>
        <w:t>Die Zotten sind ihrerseits mit Mikrovilli bedeckt, die einen Bürstensaum bilden und die Austauschfläche zwischen Mikronährstoffen und Kapillaren erheblich vergrößern. Ausgebreitet hätte der Dünndarm eine Oberfläche, die etwa der Fläche eines Tennisplatzes entspricht.</w:t>
      </w:r>
    </w:p>
    <w:p>
      <w:pPr>
        <w:pStyle w:val="ListBullet"/>
        <w:spacing w:after="80"/>
      </w:pPr>
      <w:r>
        <w:t>Peristaltische Bewegungen und die Kontraktion der glatten Muskelzellen in den Zotten verkürzen die Zotten und erleichtern den Transfer von Mikronährstoffen in die Blut- und Lymphzirkulation:</w:t>
      </w:r>
    </w:p>
    <w:p>
      <w:pPr>
        <w:pStyle w:val="ListBullet"/>
        <w:spacing w:after="80"/>
      </w:pPr>
      <w:r>
        <w:t>Blutweg: Blutkapillaren resorbieren Wasser, Mineralsalze, Einfachzucker, Aminosäuren, kurzkettige Fettsäuren und wasserlösliche Vitamine. Diese Nährstoffe werden anschließend über das Pfortadersystem zur Leber transportiert.</w:t>
      </w:r>
    </w:p>
    <w:p>
      <w:pPr>
        <w:pStyle w:val="ListBullet"/>
        <w:spacing w:after="80"/>
      </w:pPr>
      <w:r>
        <w:t>Lymphweg: Lymphkapillaren, auch Chylusgefäße genannt, resorbieren vor allem Fette, langkettige Proteine und die fettlöslichen Vitamine A, D, E und K. Sie drainieren nacheinander in das Lymphnetz, die Cisterna chyli und den Ductus thoracicus, bevor sie am linken Venenwinkel in das venöse System einmünden (Abbildung 14.8).</w:t>
      </w:r>
    </w:p>
    <w:p>
      <w:pPr>
        <w:pStyle w:val="Heading2"/>
        <w:spacing w:after="120" w:before="200"/>
      </w:pPr>
      <w:r>
        <w:t>Bedeutung für die ROP</w:t>
      </w:r>
    </w:p>
    <w:p>
      <w:pPr>
        <w:pStyle w:val="ListBullet"/>
        <w:spacing w:after="80"/>
      </w:pPr>
      <w:r>
        <w:t>Die reflektorische Wirkung auf die Darmmotilität soll Verdauung und Resorption unterstützen;</w:t>
      </w:r>
    </w:p>
    <w:p>
      <w:pPr>
        <w:pStyle w:val="ListBullet"/>
        <w:spacing w:after="80"/>
      </w:pPr>
      <w:r>
        <w:t>die reflektorische Wirkung auf Leber und Lymphsystem soll die Qualität der Resorption und die Immunfunktion unterstützen.</w:t>
      </w:r>
    </w:p>
    <w:p>
      <w:pPr>
        <w:pStyle w:val="ListBullet"/>
        <w:spacing w:after="80"/>
      </w:pPr>
      <w:r>
        <w:t>Immunsystem: Rezeptoren auf der intestinalen Oberfläche erkennen bestimmte Pathogene oder potenziell schädliche Substanzen und präsentieren sie den intestinalen Immunzellen:</w:t>
      </w:r>
    </w:p>
    <w:p>
      <w:pPr>
        <w:pStyle w:val="ListBullet"/>
        <w:spacing w:after="80"/>
      </w:pPr>
      <w:r>
        <w:t>Mastzellen: Sie sind an allergischen, immunologischen und entzündlichen Reaktionen beteiligt;</w:t>
      </w:r>
    </w:p>
    <w:p>
      <w:pPr>
        <w:pStyle w:val="ListBullet"/>
        <w:spacing w:after="80"/>
      </w:pPr>
      <w:r>
        <w:t>Paneth-Zellen: Sie setzen als Antwort auf bestimmte mikrobielle Reize antimikrobielle Peptide in das Darmlumen frei;</w:t>
      </w:r>
    </w:p>
    <w:p>
      <w:pPr>
        <w:pStyle w:val="ListBullet"/>
        <w:spacing w:after="80"/>
      </w:pPr>
      <w:r>
        <w:t>Darmassoziiertes lymphatisches Gewebe (GALT): Es kleidet die innere Oberfläche der Darmschleimhaut aus und besteht aus Lymphozyten, die entweder isoliert vorliegen oder in Peyer-Plaques gruppiert sind.</w:t>
      </w:r>
    </w:p>
    <w:p>
      <w:pPr>
        <w:pStyle w:val="ListBullet"/>
        <w:spacing w:after="80"/>
      </w:pPr>
      <w:r>
        <w:t>Es trägt dazu bei, das Eindringen pathogener Bakterien in den Blutkreislauf zu verhindern. Unter physiologischen Bedingungen ist die mikrobielle Last des Dünndarms deutlich geringer als die des Kolons, bedingt durch das Zusammenspiel von Immunabwehr, Motilität und luminalem Milieu.</w:t>
      </w:r>
    </w:p>
    <w:p>
      <w:pPr>
        <w:pStyle w:val="ListBullet"/>
        <w:spacing w:after="80"/>
      </w:pPr>
      <w:r>
        <w:t>Intestinale Mikrobiota, auch Darmflora genannt: Die Mikrobiota ist eine Gemeinschaft aus Bakterien, Pilzen, Hefen, Viren und Protozoen, die in Wechselwirkung mit ihrem Wirt leben. Unter ausgeglichenen Bedingungen ist diese Beziehung kommensal oder symbiotisch. Die Zahl der Bakterien im menschlichen Körper wird auf ungefähr 38 Milliarden geschätzt.</w:t>
      </w:r>
    </w:p>
    <w:p>
      <w:pPr>
        <w:pStyle w:val="ListBullet"/>
        <w:spacing w:after="80"/>
      </w:pPr>
      <w:r>
        <w:t>Die Mikrobiota besiedelt nicht nur den Darm, sondern auch andere Höhlen (Mundhöhle, Atemwege und Genitalsystem) sowie Oberflächen.</w:t>
      </w:r>
    </w:p>
    <w:p>
      <w:pPr>
        <w:pStyle w:val="ListBullet"/>
        <w:spacing w:after="80"/>
      </w:pPr>
      <w:r>
        <w:t>Jeder Mensch besitzt eine spezifische Mikrobiota-Signatur. Ab der Geburt wird der Verdauungstrakt des Neugeborenen fortschreitend besiedelt, und Mikroorganismen etablieren rasch wechselseitige kommensale Interaktionen mit dem Wirt.</w:t>
      </w:r>
    </w:p>
    <w:p>
      <w:pPr>
        <w:spacing w:after="80"/>
      </w:pPr>
      <w:r>
        <w:t>Die Mikrobiota ist ein wichtiger Gesundheitsdeterminant: Sie trägt zu Immunität, Verdauung und Resorption bei und interagiert über die Darm-Hirn-Achse auch mit zerebralen und emotionalen Funktionen.</w:t>
      </w:r>
    </w:p>
    <w:p>
      <w:pPr>
        <w:pStyle w:val="Heading1"/>
        <w:spacing w:after="120" w:before="200"/>
      </w:pPr>
      <w:r>
        <w:t>Häufige Pathologien</w:t>
      </w:r>
    </w:p>
    <w:p>
      <w:pPr>
        <w:pStyle w:val="ListBullet"/>
        <w:spacing w:after="80"/>
      </w:pPr>
      <w:r>
        <w:t>Intestinale Hyperpermeabilität und Dysbiose werden häufig als assoziierte Zustände beschrieben, die sich gegenseitig verstärken können.</w:t>
      </w:r>
    </w:p>
    <w:p>
      <w:pPr>
        <w:pStyle w:val="ListBullet"/>
        <w:spacing w:after="80"/>
      </w:pPr>
      <w:r>
        <w:t>Intestinale Hyperpermeabilität: Sind die interzellulären Verbindungen zwischen Enterozyten verändert, kann die Darmpermeabilität zunehmen. Dies kann einen stärkeren Durchtritt unzureichend abgebauter luminaler Makromoleküle ermöglichen und potenziell eine immunologische oder entzündliche Aktivierung begünstigen.</w:t>
      </w:r>
    </w:p>
    <w:p>
      <w:pPr>
        <w:pStyle w:val="ListBullet"/>
        <w:spacing w:after="80"/>
      </w:pPr>
      <w:r>
        <w:t>Ursachen:</w:t>
      </w:r>
    </w:p>
    <w:p>
      <w:pPr>
        <w:pStyle w:val="ListBullet"/>
        <w:spacing w:after="80"/>
      </w:pPr>
      <w:r>
        <w:t>Infektionserreger: Staphylokokken, Streptokokken, Kolibazillen, Salmonellen und Candida albicans, die Toxine freisetzen.</w:t>
      </w:r>
    </w:p>
    <w:p>
      <w:pPr>
        <w:pStyle w:val="ListBullet"/>
        <w:spacing w:after="80"/>
      </w:pPr>
      <w:r>
        <w:t>Chronischer Stress: Übermäßige sympathische Aktivität und Stresshormone (Adrenalin, Cortisol) verursachen Vasokonstriktion und erhöhten arteriellen Druck, wodurch die Darmdurchblutung vermindert und die Mukosa geschwächt wird.</w:t>
      </w:r>
    </w:p>
    <w:p>
      <w:pPr>
        <w:pStyle w:val="ListBullet"/>
        <w:spacing w:after="80"/>
      </w:pPr>
      <w:r>
        <w:t>Ernährung: Stark verarbeitete oder raffinierte Lebensmittel, Nahrungsmittel mit hohem glykämischem Index, gesättigte Fettsäuren, übermäßiger Konsum von Kuhmilch, Gluten und Fleisch sowie Garen bei Temperaturen über 110 °C können das intestinale Ökosystem verändern.</w:t>
      </w:r>
    </w:p>
    <w:p>
      <w:pPr>
        <w:pStyle w:val="ListBullet"/>
        <w:spacing w:after="80"/>
      </w:pPr>
      <w:r>
        <w:t>Längere sportliche Belastungen (z. B. Langstreckenlauf): Sie können die splanchnische Perfusion vorübergehend zugunsten des Bewegungsapparats verringern.</w:t>
      </w:r>
    </w:p>
    <w:p>
      <w:pPr>
        <w:pStyle w:val="ListBullet"/>
        <w:spacing w:after="80"/>
      </w:pPr>
      <w:r>
        <w:t>Medikamente: Nichtsteroidale Antirheumatika, Salicylate, Kortikosteroide, Antibiotika und Chemotherapie können Mukosa oder Mikrobiota verändern. Dysbiose kann dann Ursache, Folge oder beides einer intestinalen Hyperpermeabilität sein.</w:t>
      </w:r>
    </w:p>
    <w:p>
      <w:pPr>
        <w:pStyle w:val="ListBullet"/>
        <w:spacing w:after="80"/>
      </w:pPr>
      <w:r>
        <w:t>Folgen: Die Folgen können vielfältig sein:</w:t>
      </w:r>
    </w:p>
    <w:p>
      <w:pPr>
        <w:pStyle w:val="ListBullet"/>
        <w:spacing w:after="80"/>
      </w:pPr>
      <w:r>
        <w:t>Nahrungsmittelallergien: Eine Veränderung der Darmbarriere kann die Exposition des Immunsystems gegenüber bestimmten Nahrungsantigenen erhöhen. Bei manchen Personen kann dies mit allergischen Phänomenen einhergehen, insbesondere unter Beteiligung von Mastzellen und Histamin.</w:t>
      </w:r>
    </w:p>
    <w:p>
      <w:pPr>
        <w:pStyle w:val="ListBullet"/>
        <w:spacing w:after="80"/>
      </w:pPr>
      <w:r>
        <w:t>Autoimmunerkrankungen: Intestinale Hyperpermeabilität wird als assoziierter Faktor bei bestimmten Autoimmunerkrankungen beschrieben. Unzureichend abgebaute Proteine, die eine übermäßig permeable Mukosa passieren, können als „nicht selbst“ erkannt werden. Antikörper können dann sowohl den „nicht selbst“-Anteil als auch das Gewebe angreifen, an das dieser gebunden ist.</w:t>
      </w:r>
    </w:p>
    <w:p>
      <w:pPr>
        <w:pStyle w:val="ListBullet"/>
        <w:spacing w:after="80"/>
      </w:pPr>
      <w:r>
        <w:t>Mikronährstoffmängel: Eine gestörte Resorption kann zu Mängeln an Vitaminen, Mineralstoffen, essenziellen Fettsäuren und anderen Mikronährstoffen führen.</w:t>
      </w:r>
    </w:p>
    <w:p>
      <w:pPr>
        <w:pStyle w:val="ListBullet"/>
        <w:spacing w:after="80"/>
      </w:pPr>
      <w:r>
        <w:t>Hepatische Überlastung: Eine erhöhte Belastung des Pfortadersystems durch Substanzen aus dem Darmlumen kann die Entgiftungsarbeit der Leber steigern.</w:t>
      </w:r>
    </w:p>
    <w:p>
      <w:pPr>
        <w:pStyle w:val="ListBullet"/>
        <w:spacing w:after="80"/>
      </w:pPr>
      <w:r>
        <w:t>Toxine werden von der Leber aufgenommen. „Diese zusätzliche Arbeitsbelastung verlangsamt den Leberstoffwechsel. Die Leber lässt nach und nach eine große Menge metabolischer Abfallstoffe in das Blut übertreten. Der Körper versucht, diese toxischen Substanzen über andere natürliche Ausscheidungswege, die Emunktorien, zu eliminieren: Haut, Lunge, Nieren und Darm. Wenn die Kapazität des Ausscheidungsweges überschritten ist, lagern sich diese Substanzen in den Geweben ab (Muskeln, Gelenke, Gehirn, Gefäße usw.).“ Dies entspricht der Theorie der Gewebeüberlastung oder Intoxikation, die Dr. Jean Seignalet in seinem Buch L’alimentation ou la troisième médecine, Collection Ecologie humaine, vertritt.</w:t>
      </w:r>
    </w:p>
    <w:p>
      <w:pPr>
        <w:pStyle w:val="ListBullet"/>
        <w:spacing w:after="80"/>
      </w:pPr>
      <w:r>
        <w:t>Innerhalb dieses Modells wird diese Dysfunktion als möglicher Beitrag zu Verdauungsstörungen, osteoartikulären, muskulären und tendinösen Schmerzen, rezidivierenden Infektionen und Verhaltensstörungen beschrieben.</w:t>
      </w:r>
    </w:p>
    <w:p>
      <w:pPr>
        <w:pStyle w:val="Heading2"/>
        <w:spacing w:after="120" w:before="200"/>
      </w:pPr>
      <w:r>
        <w:t>Bedeutung für die ROP</w:t>
      </w:r>
    </w:p>
    <w:p>
      <w:pPr>
        <w:spacing w:after="80"/>
      </w:pPr>
      <w:r>
        <w:t>Wenn osteomuskuloartikuläre Schmerzen und Fixierungen vorliegen, insbesondere ohne offensichtliches Trauma oder Überlastung, lädt der ROP-Ansatz den Praktiker dazu ein, einen möglichen Zusammenhang mit einer viszeralen Dysfunktion in Betracht zu ziehen.</w:t>
      </w:r>
    </w:p>
    <w:p>
      <w:pPr>
        <w:pStyle w:val="ListBullet"/>
        <w:spacing w:after="80"/>
      </w:pPr>
      <w:r>
        <w:t>Dysbiose: Dysbiose entspricht einer Störung der Mikrobiota.</w:t>
      </w:r>
    </w:p>
    <w:p>
      <w:pPr>
        <w:pStyle w:val="ListBullet"/>
        <w:spacing w:after="80"/>
      </w:pPr>
      <w:r>
        <w:t>Ursachen: Die harmonische, kommensale Beziehung zwischen Bakterien und ihrem intestinalen Wirt kann durch Stress, Entzündung, Infektion, ungünstige Lebensgewohnheiten oder Ernährungsungleichgewichte - etwa übermäßigen Alkohol-, Zucker- oder Proteinkonsum oder eine unzureichende Ballaststoffzufuhr -, durch Antibiotikatherapie, bestimmte Umweltexpositionen sowie Wirbelfixierungen und Fibrose des Darms und seiner Aufhängungen gestört werden.</w:t>
      </w:r>
    </w:p>
    <w:p>
      <w:pPr>
        <w:spacing w:after="80"/>
      </w:pPr>
      <w:r>
        <w:t>Verändert sich die Zusammensetzung der Mikrobiota, etwa durch verminderte Diversität oder ein Ungleichgewicht zwischen kommensalen und potenziell pathogenen Spezies, kann der Schleimhautschutz beeinträchtigt werden.</w:t>
      </w:r>
    </w:p>
    <w:p>
      <w:pPr>
        <w:spacing w:after="80"/>
      </w:pPr>
      <w:r>
        <w:t>Physiologische Nahrungsfermentation kann dann in abnorme Fermentation oder Fäulnisprozesse übergehen.</w:t>
      </w:r>
    </w:p>
    <w:p>
      <w:pPr>
        <w:spacing w:after="80"/>
      </w:pPr>
      <w:r>
        <w:t>Intestinale Hyperpermeabilität kann entweder als Ursache oder als Folge der Dysbiose betrachtet werden; beide Zustände können sich gegenseitig aufrechterhalten.</w:t>
      </w:r>
    </w:p>
    <w:p>
      <w:pPr>
        <w:spacing w:after="80"/>
      </w:pPr>
      <w:r>
        <w:t>Folgen: Der hippokratische Grundsatz „Alle Krankheit beginnt im Darm“ sollte als historische Intuition und nicht als universelle wörtliche Aussage verstanden werden. Präziser formuliert sollte nach Professor Sokol bei der Diskussion von Dysbiose und intestinaler Hyperpermeabilität, die häufig koexistieren, Korrelation nicht mit Kausalität verwechselt werden.</w:t>
      </w:r>
    </w:p>
    <w:p>
      <w:pPr>
        <w:spacing w:after="80"/>
      </w:pPr>
      <w:r>
        <w:t>Dysbiose gilt als assoziierter Faktor bei zahlreichen Pathologien, insbesondere bei:</w:t>
      </w:r>
    </w:p>
    <w:p>
      <w:pPr>
        <w:pStyle w:val="ListBullet"/>
        <w:spacing w:after="80"/>
      </w:pPr>
      <w:r>
        <w:t>Colitis ulcerosa, Thyreoiditis, Adrenalitis;</w:t>
      </w:r>
    </w:p>
    <w:p>
      <w:pPr>
        <w:pStyle w:val="ListBullet"/>
        <w:spacing w:after="80"/>
      </w:pPr>
      <w:r>
        <w:t>Asthma, Sinusitis;</w:t>
      </w:r>
    </w:p>
    <w:p>
      <w:pPr>
        <w:pStyle w:val="ListBullet"/>
        <w:spacing w:after="80"/>
      </w:pPr>
      <w:r>
        <w:t>Allergien;</w:t>
      </w:r>
    </w:p>
    <w:p>
      <w:pPr>
        <w:pStyle w:val="ListBullet"/>
        <w:spacing w:after="80"/>
      </w:pPr>
      <w:r>
        <w:t>Arthralgien, insbesondere lumbale Schmerzen;</w:t>
      </w:r>
    </w:p>
    <w:p>
      <w:pPr>
        <w:pStyle w:val="ListBullet"/>
        <w:spacing w:after="80"/>
      </w:pPr>
      <w:r>
        <w:t>Fibromyalgie;</w:t>
      </w:r>
    </w:p>
    <w:p>
      <w:pPr>
        <w:pStyle w:val="ListBullet"/>
        <w:spacing w:after="80"/>
      </w:pPr>
      <w:r>
        <w:t>Zystitis;</w:t>
      </w:r>
    </w:p>
    <w:p>
      <w:pPr>
        <w:pStyle w:val="ListBullet"/>
        <w:spacing w:after="80"/>
      </w:pPr>
      <w:r>
        <w:t>bestimmten depressiven Zuständen;</w:t>
      </w:r>
    </w:p>
    <w:p>
      <w:pPr>
        <w:pStyle w:val="ListBullet"/>
        <w:spacing w:after="80"/>
      </w:pPr>
      <w:r>
        <w:t>Störungen der Zahnbeläge;</w:t>
      </w:r>
    </w:p>
    <w:p>
      <w:pPr>
        <w:pStyle w:val="ListBullet"/>
        <w:spacing w:after="80"/>
      </w:pPr>
      <w:r>
        <w:t>usw.</w:t>
      </w:r>
    </w:p>
    <w:p>
      <w:pPr>
        <w:spacing w:after="80"/>
      </w:pPr>
      <w:r>
        <w:t>Einige Autoren, darunter Dr. Donatini, ein Spezialist für Mikrobiota, schlagen vor, dass bestimmte neurodegenerative Erkrankungen wie Morbus Parkinson, Multiple Sklerose oder Alzheimer-Krankheit über den Nervus vagus mit dem enterischen Nervensystem verbunden sein könnten.</w:t>
      </w:r>
    </w:p>
    <w:p>
      <w:pPr>
        <w:pStyle w:val="ListBullet"/>
        <w:spacing w:after="80"/>
      </w:pPr>
      <w:r>
        <w:t>Warnzeichen von Dysbiose und intestinaler Hyperpermeabilität:</w:t>
      </w:r>
    </w:p>
    <w:p>
      <w:pPr>
        <w:pStyle w:val="ListBullet"/>
        <w:spacing w:after="80"/>
      </w:pPr>
      <w:r>
        <w:t>Mundgeruch;</w:t>
      </w:r>
    </w:p>
    <w:p>
      <w:pPr>
        <w:pStyle w:val="ListBullet"/>
        <w:spacing w:after="80"/>
      </w:pPr>
      <w:r>
        <w:t>Aufstoßen;</w:t>
      </w:r>
    </w:p>
    <w:p>
      <w:pPr>
        <w:pStyle w:val="ListBullet"/>
        <w:spacing w:after="80"/>
      </w:pPr>
      <w:r>
        <w:t>Aerocolie;</w:t>
      </w:r>
    </w:p>
    <w:p>
      <w:pPr>
        <w:pStyle w:val="ListBullet"/>
        <w:spacing w:after="80"/>
      </w:pPr>
      <w:r>
        <w:t>übelriechende Flatulenz;</w:t>
      </w:r>
    </w:p>
    <w:p>
      <w:pPr>
        <w:pStyle w:val="ListBullet"/>
        <w:spacing w:after="80"/>
      </w:pPr>
      <w:r>
        <w:t>Obstipation/Diarrhö;</w:t>
      </w:r>
    </w:p>
    <w:p>
      <w:pPr>
        <w:pStyle w:val="ListBullet"/>
        <w:spacing w:after="80"/>
      </w:pPr>
      <w:r>
        <w:t>Sodbrennen;</w:t>
      </w:r>
    </w:p>
    <w:p>
      <w:pPr>
        <w:pStyle w:val="ListBullet"/>
        <w:spacing w:after="80"/>
      </w:pPr>
      <w:r>
        <w:t>übermäßiges Verlangen nach Zucker und rohem Fleisch.</w:t>
      </w:r>
    </w:p>
    <w:p>
      <w:pPr>
        <w:pStyle w:val="ListBullet"/>
        <w:spacing w:after="80"/>
      </w:pPr>
      <w:r>
        <w:t>Ausschlussdiagnose: Bestimmte Symptome sollten den Patienten dazu veranlassen, ärztlichen Rat einzuholen:</w:t>
      </w:r>
    </w:p>
    <w:p>
      <w:pPr>
        <w:pStyle w:val="ListBullet"/>
        <w:spacing w:after="80"/>
      </w:pPr>
      <w:r>
        <w:t>Fieber;</w:t>
      </w:r>
    </w:p>
    <w:p>
      <w:pPr>
        <w:pStyle w:val="ListBullet"/>
        <w:spacing w:after="80"/>
      </w:pPr>
      <w:r>
        <w:t>rotes oder schwarzes Blut im Stuhl;</w:t>
      </w:r>
    </w:p>
    <w:p>
      <w:pPr>
        <w:pStyle w:val="ListBullet"/>
        <w:spacing w:after="80"/>
      </w:pPr>
      <w:r>
        <w:t>ausgeprägte Dehydratation;</w:t>
      </w:r>
    </w:p>
    <w:p>
      <w:pPr>
        <w:pStyle w:val="ListBullet"/>
        <w:spacing w:after="80"/>
      </w:pPr>
      <w:r>
        <w:t>deutlicher und unerklärter Gewichtsverlust;</w:t>
      </w:r>
    </w:p>
    <w:p>
      <w:pPr>
        <w:pStyle w:val="ListBullet"/>
        <w:spacing w:after="80"/>
      </w:pPr>
      <w:r>
        <w:t>Wechsel von Obstipation und Diarrhö;</w:t>
      </w:r>
    </w:p>
    <w:p>
      <w:pPr>
        <w:pStyle w:val="ListBullet"/>
        <w:spacing w:after="80"/>
      </w:pPr>
      <w:r>
        <w:t>Erbrechen;</w:t>
      </w:r>
    </w:p>
    <w:p>
      <w:pPr>
        <w:pStyle w:val="ListBullet"/>
        <w:spacing w:after="80"/>
      </w:pPr>
      <w:r>
        <w:t>kolikartige Schmerzen in der Nabelregion;</w:t>
      </w:r>
    </w:p>
    <w:p>
      <w:pPr>
        <w:pStyle w:val="ListBullet"/>
        <w:spacing w:after="80"/>
      </w:pPr>
      <w:r>
        <w:t>Meteorismus;</w:t>
      </w:r>
    </w:p>
    <w:p>
      <w:pPr>
        <w:pStyle w:val="ListBullet"/>
        <w:spacing w:after="80"/>
      </w:pPr>
      <w:r>
        <w:t>Darmverschluss: Das Ausbleiben von Stuhl und Gas kann entweder durch einen mechanischen Ileus oder durch einen paralytischen Ileus bedingt sein. Der Begriff Ileus bezeichnet eine Störung der Darmpassage. Der mechanische Ileus wird durch eine Obstruktion verursacht, etwa durch einen Tumor, Adhäsionen oder postoperative Briden, während der paralytische Ileus einer funktionellen Obstruktion aufgrund einer Atonie der Darmperistaltik entspricht (siehe Indikationen).</w:t>
      </w:r>
    </w:p>
    <w:p>
      <w:pPr>
        <w:pStyle w:val="ListBullet"/>
        <w:spacing w:after="80"/>
      </w:pPr>
      <w:r>
        <w:t>Im Unterschied zur Peritonitis ist der Darmverschluss nicht mit einer Abwehrspannung der Bauchwand verbunden. Zu Beginn kann eine sichtbare Hyperperistaltik oberhalb der Obstruktion beobachtet werden, wenn der Darm versucht, das Hindernis zu überwinden. Die vorgelagerte Distension kann anschließend über den intestino-intestinalen Reflex die nachgeschaltete Darmmotilität stoppen.</w:t>
      </w:r>
    </w:p>
    <w:p>
      <w:pPr>
        <w:pStyle w:val="ListBullet"/>
        <w:spacing w:after="80"/>
      </w:pPr>
      <w:r>
        <w:t>irreponible strangulierte Leistenhernie;</w:t>
      </w:r>
    </w:p>
    <w:p>
      <w:pPr>
        <w:pStyle w:val="ListBullet"/>
        <w:spacing w:after="80"/>
      </w:pPr>
      <w:r>
        <w:t>Vorhandensein von Lymphknoten bei abdominaler Palpation und am linken Venenwinkel (Troisier-Lymphknoten): Krebsverdacht;</w:t>
      </w:r>
    </w:p>
    <w:p>
      <w:pPr>
        <w:pStyle w:val="ListBullet"/>
        <w:spacing w:after="80"/>
      </w:pPr>
      <w:r>
        <w:t>das Eiswürfelzeichen, Hinweis auf einen intraabdominalen Erguss oder Aszites.</w:t>
      </w:r>
    </w:p>
    <w:p>
      <w:pPr>
        <w:pStyle w:val="ListBullet"/>
        <w:spacing w:after="80"/>
      </w:pPr>
      <w:r>
        <w:t>Indikationen: funktionelle Pathologien:</w:t>
      </w:r>
    </w:p>
    <w:p>
      <w:pPr>
        <w:pStyle w:val="ListBullet"/>
        <w:spacing w:after="80"/>
      </w:pPr>
      <w:r>
        <w:t>Dysbiosen;</w:t>
      </w:r>
    </w:p>
    <w:p>
      <w:pPr>
        <w:pStyle w:val="ListBullet"/>
        <w:spacing w:after="80"/>
      </w:pPr>
      <w:r>
        <w:t>Folgezustände nach Gastroenteritis;</w:t>
      </w:r>
    </w:p>
    <w:p>
      <w:pPr>
        <w:pStyle w:val="ListBullet"/>
        <w:spacing w:after="80"/>
      </w:pPr>
      <w:r>
        <w:t>Enteroptose: Die Darmmasse wird nach kaudal gezogen. Abnorme Spannung im Dünndarm ist mit Vasokonstriktion, venöser und lymphatischer Stase sowie Spasmen verbunden, die durch Reizung der perivaskulären Nervenplexus verursacht werden. Eine ungünstige Wirkung auf die Leber über den Pfortaderdruck ist ebenfalls möglich. Zudem wird Enteroptose als möglicher Faktor beschrieben, der die Harnblase nach kaudal drücken und langfristig zur Belastungsinkontinenz beitragen kann. Siehe Kapitel 18, Harnblase, Seite ...</w:t>
      </w:r>
    </w:p>
    <w:p>
      <w:pPr>
        <w:pStyle w:val="ListBullet"/>
        <w:spacing w:after="80"/>
      </w:pPr>
      <w:r>
        <w:t>Paralytischer Ileus:</w:t>
      </w:r>
    </w:p>
    <w:p>
      <w:pPr>
        <w:pStyle w:val="ListBullet"/>
        <w:spacing w:after="80"/>
      </w:pPr>
      <w:r>
        <w:t>Symptome:</w:t>
      </w:r>
    </w:p>
    <w:p>
      <w:pPr>
        <w:pStyle w:val="ListBullet"/>
        <w:spacing w:after="80"/>
      </w:pPr>
      <w:r>
        <w:t>geringe oder keine Schmerzen im Zusammenhang mit Darmdistension;</w:t>
      </w:r>
    </w:p>
    <w:p>
      <w:pPr>
        <w:pStyle w:val="ListBullet"/>
        <w:spacing w:after="80"/>
      </w:pPr>
      <w:r>
        <w:t>unvollständiges Ausbleiben von Stuhl und Gas;</w:t>
      </w:r>
    </w:p>
    <w:p>
      <w:pPr>
        <w:pStyle w:val="ListBullet"/>
        <w:spacing w:after="80"/>
      </w:pPr>
      <w:r>
        <w:t>Meteorismus;</w:t>
      </w:r>
    </w:p>
    <w:p>
      <w:pPr>
        <w:pStyle w:val="ListBullet"/>
        <w:spacing w:after="80"/>
      </w:pPr>
      <w:r>
        <w:t>wenige Borborygmen.</w:t>
      </w:r>
    </w:p>
    <w:p>
      <w:pPr>
        <w:pStyle w:val="ListBullet"/>
        <w:spacing w:after="80"/>
      </w:pPr>
      <w:r>
        <w:t>Pathophysiologie: Der paralytische Ileus entspricht einer Hemmung der Darmmotilität und -sekretionen, verursacht durch Reizung des überwiegend sympathisch innervierten Peritoneums (siehe Innervation des Peritoneums, Seite ...).</w:t>
      </w:r>
    </w:p>
    <w:p>
      <w:pPr>
        <w:pStyle w:val="ListBullet"/>
        <w:spacing w:after="80"/>
      </w:pPr>
      <w:r>
        <w:t>Ursachen:</w:t>
      </w:r>
    </w:p>
    <w:p>
      <w:pPr>
        <w:pStyle w:val="ListBullet"/>
        <w:spacing w:after="80"/>
      </w:pPr>
      <w:r>
        <w:t>Operation: Anästhesie, insbesondere Opioidanalgesie, verlangsamt die Darmpassage;</w:t>
      </w:r>
    </w:p>
    <w:p>
      <w:pPr>
        <w:pStyle w:val="ListBullet"/>
        <w:spacing w:after="80"/>
      </w:pPr>
      <w:r>
        <w:t>Hypokaliämie infolge von Erbrechen, Diarrhö oder Verdauungserkrankungen;</w:t>
      </w:r>
    </w:p>
    <w:p>
      <w:pPr>
        <w:pStyle w:val="ListBullet"/>
        <w:spacing w:after="80"/>
      </w:pPr>
      <w:r>
        <w:t>übermäßige Anwendung reizender Laxanzien;</w:t>
      </w:r>
    </w:p>
    <w:p>
      <w:pPr>
        <w:pStyle w:val="ListBullet"/>
        <w:spacing w:after="80"/>
      </w:pPr>
      <w:r>
        <w:t>Mesenterialinfarkt;</w:t>
      </w:r>
    </w:p>
    <w:p>
      <w:pPr>
        <w:pStyle w:val="ListBullet"/>
        <w:spacing w:after="80"/>
      </w:pPr>
      <w:r>
        <w:t>postprandiale intestinale Angina;</w:t>
      </w:r>
    </w:p>
    <w:p>
      <w:pPr>
        <w:pStyle w:val="ListBullet"/>
        <w:spacing w:after="80"/>
      </w:pPr>
      <w:r>
        <w:t>jede abdominopelvine Schmerzursache: Nierenkolik, Appendizitis, Salpingitis.</w:t>
      </w:r>
    </w:p>
    <w:p>
      <w:pPr>
        <w:pStyle w:val="Heading1"/>
        <w:spacing w:after="120" w:before="200"/>
      </w:pPr>
      <w:r>
        <w:t>Morbus Crohn: Morbus Crohn betrifft hauptsächlich Ileum und Kolon.</w:t>
      </w:r>
    </w:p>
    <w:p>
      <w:pPr>
        <w:pStyle w:val="ListBullet"/>
        <w:spacing w:after="80"/>
      </w:pPr>
      <w:r>
        <w:t>Ursachen: Mehrere Faktoren sind mit Morbus Crohn assoziiert:</w:t>
      </w:r>
    </w:p>
    <w:p>
      <w:pPr>
        <w:pStyle w:val="ListBullet"/>
        <w:spacing w:after="80"/>
      </w:pPr>
      <w:r>
        <w:t>Genetik;</w:t>
      </w:r>
    </w:p>
    <w:p>
      <w:pPr>
        <w:pStyle w:val="ListBullet"/>
        <w:spacing w:after="80"/>
      </w:pPr>
      <w:r>
        <w:t>Dysbiose;</w:t>
      </w:r>
    </w:p>
    <w:p>
      <w:pPr>
        <w:pStyle w:val="ListBullet"/>
        <w:spacing w:after="80"/>
      </w:pPr>
      <w:r>
        <w:t>Umwelt;</w:t>
      </w:r>
    </w:p>
    <w:p>
      <w:pPr>
        <w:pStyle w:val="ListBullet"/>
        <w:spacing w:after="80"/>
      </w:pPr>
      <w:r>
        <w:t>emotionale Faktoren, die das Erleben der Erkrankung und in manchen Fällen auch Schübe modulieren können.</w:t>
      </w:r>
    </w:p>
    <w:p>
      <w:pPr>
        <w:pStyle w:val="ListBullet"/>
        <w:spacing w:after="80"/>
      </w:pPr>
      <w:r>
        <w:t>Symptome:</w:t>
      </w:r>
    </w:p>
    <w:p>
      <w:pPr>
        <w:pStyle w:val="ListBullet"/>
        <w:spacing w:after="80"/>
      </w:pPr>
      <w:r>
        <w:t>Diarrhö im Zusammenhang mit einer Entzündung der Darmwand;</w:t>
      </w:r>
    </w:p>
    <w:p>
      <w:pPr>
        <w:pStyle w:val="ListBullet"/>
        <w:spacing w:after="80"/>
      </w:pPr>
      <w:r>
        <w:t>abdominopelvine Schmerzen;</w:t>
      </w:r>
    </w:p>
    <w:p>
      <w:pPr>
        <w:pStyle w:val="ListBullet"/>
        <w:spacing w:after="80"/>
      </w:pPr>
      <w:r>
        <w:t>Gewichtsverlust;</w:t>
      </w:r>
    </w:p>
    <w:p>
      <w:pPr>
        <w:pStyle w:val="ListBullet"/>
        <w:spacing w:after="80"/>
      </w:pPr>
      <w:r>
        <w:t>Asthenie;</w:t>
      </w:r>
    </w:p>
    <w:p>
      <w:pPr>
        <w:pStyle w:val="ListBullet"/>
        <w:spacing w:after="80"/>
      </w:pPr>
      <w:r>
        <w:t>orale Aphthen;</w:t>
      </w:r>
    </w:p>
    <w:p>
      <w:pPr>
        <w:pStyle w:val="ListBullet"/>
        <w:spacing w:after="80"/>
      </w:pPr>
      <w:r>
        <w:t>lumbale Schmerzen;</w:t>
      </w:r>
    </w:p>
    <w:p>
      <w:pPr>
        <w:pStyle w:val="ListBullet"/>
        <w:spacing w:after="80"/>
      </w:pPr>
      <w:r>
        <w:t>Erythema nodosum der Extremitäten;</w:t>
      </w:r>
    </w:p>
    <w:p>
      <w:pPr>
        <w:pStyle w:val="ListBullet"/>
        <w:spacing w:after="80"/>
      </w:pPr>
      <w:r>
        <w:t>Pankreasbeteiligung;</w:t>
      </w:r>
    </w:p>
    <w:p>
      <w:pPr>
        <w:pStyle w:val="ListBullet"/>
        <w:spacing w:after="80"/>
      </w:pPr>
      <w:r>
        <w:t>depressives Syndrom.</w:t>
      </w:r>
    </w:p>
    <w:p>
      <w:pPr>
        <w:pStyle w:val="ListBullet"/>
        <w:spacing w:after="80"/>
      </w:pPr>
      <w:r>
        <w:t>Verlauf:</w:t>
      </w:r>
    </w:p>
    <w:p>
      <w:pPr>
        <w:pStyle w:val="ListBullet"/>
        <w:spacing w:after="80"/>
      </w:pPr>
      <w:r>
        <w:t>Chronizität;</w:t>
      </w:r>
    </w:p>
    <w:p>
      <w:pPr>
        <w:pStyle w:val="ListBullet"/>
        <w:spacing w:after="80"/>
      </w:pPr>
      <w:r>
        <w:t>erhöhtes Risiko für kolorektales Karzinom, abhängig von Ausdehnung und Dauer der Erkrankung;</w:t>
      </w:r>
    </w:p>
    <w:p>
      <w:pPr>
        <w:pStyle w:val="ListBullet"/>
        <w:spacing w:after="80"/>
      </w:pPr>
      <w:r>
        <w:t>diese Patienten müssen häufig eine strenge ballaststoffarme Diät einhalten.</w:t>
      </w:r>
    </w:p>
    <w:p>
      <w:pPr>
        <w:pStyle w:val="Heading2"/>
        <w:spacing w:after="120" w:before="200"/>
      </w:pPr>
      <w:r>
        <w:t>Bedeutung für die ROP</w:t>
      </w:r>
    </w:p>
    <w:p>
      <w:pPr>
        <w:spacing w:after="80"/>
      </w:pPr>
      <w:r>
        <w:t>Nach unserer klinischen Erfahrung kann der ROP-Ansatz dazu beitragen, bestimmte mit Morbus Crohn assoziierte abdominopelvine Schmerzen zu lindern und eine Verbesserung der Darmpassage zu unterstützen.</w:t>
      </w:r>
    </w:p>
    <w:p>
      <w:pPr>
        <w:pStyle w:val="ListBullet"/>
        <w:spacing w:after="80"/>
      </w:pPr>
      <w:r>
        <w:t>Podale Reflexzonen: Plantarflächen beider Füße:</w:t>
      </w:r>
    </w:p>
    <w:p>
      <w:pPr>
        <w:pStyle w:val="ListBullet"/>
        <w:spacing w:after="80"/>
      </w:pPr>
      <w:r>
        <w:t>Allgemeines Adaptationssyndrom: siehe Kapitel 2, Behandlung, und Kapitel 4, Autonomes Nervensystem.</w:t>
      </w:r>
    </w:p>
    <w:p>
      <w:pPr>
        <w:pStyle w:val="ListBullet"/>
        <w:spacing w:after="80"/>
      </w:pPr>
      <w:r>
        <w:t>Nervus vagus (Abbildungen 14.15 und 14.16);</w:t>
      </w:r>
    </w:p>
    <w:p>
      <w:pPr>
        <w:pStyle w:val="Caption"/>
        <w:spacing w:after="80"/>
      </w:pPr>
      <w:r>
        <w:rPr>
          <w:i/>
        </w:rPr>
        <w:t>Abbildung 14.15. Kraniales und zervikales Gebiet des Nervus vagus (gelb)</w:t>
      </w:r>
    </w:p>
    <w:p>
      <w:pPr>
        <w:pStyle w:val="Caption"/>
        <w:spacing w:after="80"/>
      </w:pPr>
      <w:r>
        <w:rPr>
          <w:i/>
        </w:rPr>
        <w:t>Abbildung 14.16. Linkes abdominales Gebiet des Nervus vagus und Plexus coeliacus (solar)</w:t>
      </w:r>
    </w:p>
    <w:p>
      <w:pPr>
        <w:pStyle w:val="Caption"/>
        <w:spacing w:after="80"/>
      </w:pPr>
      <w:r>
        <w:rPr>
          <w:i/>
        </w:rPr>
        <w:t>Abbildung 14.17. Hiatus oesophageus (rechter und linker Nervus vagus) und Kardia</w:t>
      </w:r>
    </w:p>
    <w:p>
      <w:pPr>
        <w:pStyle w:val="Caption"/>
        <w:spacing w:after="80"/>
      </w:pPr>
      <w:r>
        <w:rPr>
          <w:i/>
        </w:rPr>
        <w:t>Abbildung 14.18. Kleine Magenkurvatur, reich an vagalen Fasern (zwischen den beiden Daumen)</w:t>
      </w:r>
    </w:p>
    <w:p>
      <w:pPr>
        <w:pStyle w:val="ListBullet"/>
        <w:spacing w:after="80"/>
      </w:pPr>
      <w:r>
        <w:t>Wirbelsäule und kostotransversale Gelenke: thorakale laterovertebrale Ganglienkette Th8-Th10 (Abbildungen 14.19 und 14.20);</w:t>
      </w:r>
    </w:p>
    <w:p>
      <w:pPr>
        <w:pStyle w:val="Caption"/>
        <w:spacing w:after="80"/>
      </w:pPr>
      <w:r>
        <w:rPr>
          <w:i/>
        </w:rPr>
        <w:t>Abbildung 14.19. Sympathisches System (spinaler Ursprung)</w:t>
      </w:r>
    </w:p>
    <w:p>
      <w:pPr>
        <w:pStyle w:val="Caption"/>
        <w:spacing w:after="80"/>
      </w:pPr>
      <w:r>
        <w:rPr>
          <w:i/>
        </w:rPr>
        <w:t>Abbildung 14.20. Lumbale Ganglienkette und Zwerchfellschenkel (zwischen den beiden Daumen)</w:t>
      </w:r>
    </w:p>
    <w:p>
      <w:pPr>
        <w:pStyle w:val="ListBullet"/>
        <w:spacing w:after="80"/>
      </w:pPr>
      <w:r>
        <w:t>Plexus coeliacus (Solarplexus) (Abbildungen 14.16 und 14.21);</w:t>
      </w:r>
    </w:p>
    <w:p>
      <w:pPr>
        <w:pStyle w:val="Caption"/>
        <w:spacing w:after="80"/>
      </w:pPr>
      <w:r>
        <w:rPr>
          <w:i/>
        </w:rPr>
        <w:t>Abbildung 14.21. Plexus coeliacus (Solarplexus)</w:t>
      </w:r>
    </w:p>
    <w:p>
      <w:pPr>
        <w:pStyle w:val="ListBullet"/>
        <w:spacing w:after="80"/>
      </w:pPr>
      <w:r>
        <w:t>Plexus lumbalis als viszerosomatische Verbindung (Abbildungen 14.19 und 14.20).</w:t>
      </w:r>
    </w:p>
    <w:p>
      <w:pPr>
        <w:pStyle w:val="ListBullet"/>
        <w:spacing w:after="80"/>
      </w:pPr>
      <w:r>
        <w:t>N.B. Nach unserer klinischen Erfahrung werden funktionelle Darmstörungen bei Frauen häufig im Zusammenhang mit hormonellen und emotionalen Faktoren beobachtet.</w:t>
      </w:r>
    </w:p>
    <w:p>
      <w:pPr>
        <w:pStyle w:val="ListBullet"/>
        <w:spacing w:after="80"/>
      </w:pPr>
      <w:r>
        <w:t>Lokoregionales Syndrom:</w:t>
      </w:r>
    </w:p>
    <w:p>
      <w:pPr>
        <w:pStyle w:val="ListBullet"/>
        <w:spacing w:after="80"/>
      </w:pPr>
      <w:r>
        <w:t>Zwerchfell: Ansatz des Musculus suspensorius duodeni, des Treitz-Muskels, am rechten Zwerchfellschenkel (Abbildungen 14.16 und 14.21);</w:t>
      </w:r>
    </w:p>
    <w:p>
      <w:pPr>
        <w:pStyle w:val="ListBullet"/>
        <w:spacing w:after="80"/>
      </w:pPr>
      <w:r>
        <w:t>Magen (gastroenterischer Reflex) (Abbildung 14.16);</w:t>
      </w:r>
    </w:p>
    <w:p>
      <w:pPr>
        <w:pStyle w:val="ListBullet"/>
        <w:spacing w:after="80"/>
      </w:pPr>
      <w:r>
        <w:t>Mesenterialwurzel: eine Linie von der Flexura duodenojejunalis zum Nabel, auf Höhe von L3-L4 an der Plantarfläche des linken Fußes (Abbildungen 14.22 und 14.25), gefolgt von einer Linie von der Ileozäkalklappe zum Nabel an der Plantarfläche des rechten Fußes (Abbildungen 14.23 und 14.27);</w:t>
      </w:r>
    </w:p>
    <w:p>
      <w:pPr>
        <w:pStyle w:val="Caption"/>
        <w:spacing w:after="80"/>
      </w:pPr>
      <w:r>
        <w:rPr>
          <w:i/>
        </w:rPr>
        <w:t>Abbildung 14.22. Mesenterialwurzel (zwischen Flexura duodenojejunalis und Nabel)</w:t>
      </w:r>
    </w:p>
    <w:p>
      <w:pPr>
        <w:pStyle w:val="Caption"/>
        <w:spacing w:after="80"/>
      </w:pPr>
      <w:r>
        <w:rPr>
          <w:i/>
        </w:rPr>
        <w:t>Abbildung 14.23. Mesenterialwurzel (zwischen Ileozäkalklappe und Nabel)</w:t>
      </w:r>
    </w:p>
    <w:p>
      <w:pPr>
        <w:pStyle w:val="ListBullet"/>
        <w:spacing w:after="80"/>
      </w:pPr>
      <w:r>
        <w:t>Dünndarm (Abbildungen 14.24, 14.25, 14.26 und 14.27):</w:t>
      </w:r>
    </w:p>
    <w:p>
      <w:pPr>
        <w:pStyle w:val="ListBullet"/>
        <w:spacing w:after="80"/>
      </w:pPr>
      <w:r>
        <w:t>obere Grenze: eine horizontale Linie auf Höhe der Processus styloidei der fünften Mittelfußknochen;</w:t>
      </w:r>
    </w:p>
    <w:p>
      <w:pPr>
        <w:pStyle w:val="ListBullet"/>
        <w:spacing w:after="80"/>
      </w:pPr>
      <w:r>
        <w:t>untere Grenze: der vordere Rand der Fersen, entsprechend den iliopubischen Ästen;</w:t>
      </w:r>
    </w:p>
    <w:p>
      <w:pPr>
        <w:pStyle w:val="ListBullet"/>
        <w:spacing w:after="80"/>
      </w:pPr>
      <w:r>
        <w:t>laterale Grenze:</w:t>
      </w:r>
    </w:p>
    <w:p>
      <w:pPr>
        <w:pStyle w:val="ListBullet"/>
        <w:spacing w:after="80"/>
      </w:pPr>
      <w:r>
        <w:t>Jejunum: bis zum lateralen Rand des linken Fußes reichend;</w:t>
      </w:r>
    </w:p>
    <w:p>
      <w:pPr>
        <w:pStyle w:val="ListBullet"/>
        <w:spacing w:after="80"/>
      </w:pPr>
      <w:r>
        <w:t>Ileum: ausgerichtet am vierten Zeh des rechten Fußes.</w:t>
      </w:r>
    </w:p>
    <w:p>
      <w:pPr>
        <w:spacing w:after="80"/>
      </w:pPr>
      <w:r>
        <w:t>N.B. Die Orientierung der Schlingen ist zu beachten: horizontal für das Jejunum und vertikal für das Ileum.</w:t>
      </w:r>
    </w:p>
    <w:p>
      <w:pPr>
        <w:pStyle w:val="Caption"/>
        <w:spacing w:after="80"/>
      </w:pPr>
      <w:r>
        <w:rPr>
          <w:i/>
        </w:rPr>
        <w:t>Abbildung 14.24. Jejunum (obere und untere Grenze zwischen den beiden Zeigefingern)</w:t>
      </w:r>
    </w:p>
    <w:p>
      <w:pPr>
        <w:pStyle w:val="Caption"/>
        <w:spacing w:after="80"/>
      </w:pPr>
      <w:r>
        <w:rPr>
          <w:i/>
        </w:rPr>
        <w:t>Abbildung 14.25. Jejunum</w:t>
      </w:r>
    </w:p>
    <w:p>
      <w:pPr>
        <w:pStyle w:val="Caption"/>
        <w:spacing w:after="80"/>
      </w:pPr>
      <w:r>
        <w:rPr>
          <w:i/>
        </w:rPr>
        <w:t>Abbildung 14.26. Ileum (obere und untere Grenze zwischen den beiden Zeigefingern)</w:t>
      </w:r>
    </w:p>
    <w:p>
      <w:pPr>
        <w:pStyle w:val="Caption"/>
        <w:spacing w:after="80"/>
      </w:pPr>
      <w:r>
        <w:rPr>
          <w:i/>
        </w:rPr>
        <w:t>Abbildung 14.27. Ileum und Mesenterialwurzel</w:t>
      </w:r>
    </w:p>
    <w:p>
      <w:pPr>
        <w:spacing w:after="80"/>
      </w:pPr>
      <w:r>
        <w:t>Limbisches System:</w:t>
      </w:r>
    </w:p>
    <w:p>
      <w:pPr>
        <w:pStyle w:val="ListBullet"/>
        <w:spacing w:after="80"/>
      </w:pPr>
      <w:r>
        <w:t>Gleichgewicht limbisches Gehirn-Dünndarm: Lausch-Induktion, mit einem Daumen auf dem Dünndarm und dem anderen auf dem limbischen Gehirn (Abbildung 1.12).</w:t>
      </w:r>
    </w:p>
    <w:p>
      <w:pPr>
        <w:pStyle w:val="Caption"/>
        <w:spacing w:after="80"/>
      </w:pPr>
      <w:r>
        <w:rPr>
          <w:i/>
        </w:rPr>
        <w:t>Abbildung 14.28. Technik des viszeral-emotionalen Gleichgewichts des Dünndarms (in dieser Abbildung liegt der rechte Daumen beispielhaft auf der Leber)</w:t>
      </w:r>
    </w:p>
    <w:p>
      <w:pPr>
        <w:pStyle w:val="Heading1"/>
        <w:spacing w:after="120" w:before="200"/>
      </w:pPr>
      <w:r>
        <w:t>10. Viszerosomatische Beziehungen</w:t>
      </w:r>
    </w:p>
    <w:p>
      <w:pPr>
        <w:pStyle w:val="ListBullet"/>
        <w:spacing w:after="80"/>
      </w:pPr>
      <w:r>
        <w:t>Wirbelfixierungen von Th10 bis Th12 und die entsprechenden Rippen;</w:t>
      </w:r>
    </w:p>
    <w:p>
      <w:pPr>
        <w:pStyle w:val="ListBullet"/>
        <w:spacing w:after="80"/>
      </w:pPr>
      <w:r>
        <w:t>L1 und L2.</w:t>
      </w:r>
    </w:p>
    <w:p>
      <w:pPr>
        <w:pStyle w:val="Heading1"/>
        <w:spacing w:after="120" w:before="200"/>
      </w:pPr>
      <w:r>
        <w:t>Viszero-emotionale Beziehungen</w:t>
      </w:r>
    </w:p>
    <w:p>
      <w:pPr>
        <w:pStyle w:val="ListBullet"/>
        <w:spacing w:after="80"/>
      </w:pPr>
      <w:r>
        <w:t>Das Abdomen kann mit seinem Spektrum an Schmerzen und Verdauungsstörungen ein wichtiger Ort somatischer Expression emotionaler Spannung sein. Eine solche Spannung kann sympathische Hyperaktivität auf Kosten der vagalen Aktivität fördern.</w:t>
      </w:r>
    </w:p>
    <w:p>
      <w:pPr>
        <w:pStyle w:val="ListBullet"/>
        <w:spacing w:after="80"/>
      </w:pPr>
      <w:r>
        <w:t>Aus emotionaler Sicht ist es schwierig, eine klare Grenze zwischen Dünndarm und Kolon zu ziehen. Im klinischen Kontext wird die Mukosa sowohl als Empfängerin als auch als Senderin von Emotionen betrachtet. Da der Darm stark hormonabhängig ist, wird er hier als Organ dargestellt, das besonders an langfristiger Somatisierung beteiligt ist. Fibromyalgie und Spasmophilie werden in diesem Modell aufgrund der hormonellen und intestinalen Interdependenz häufiger bei Frauen beobachtet. Hyperpermeabilität und Dysbiose werden als günstiges Terrain für Fibromyalgie beschrieben.</w:t>
      </w:r>
    </w:p>
    <w:p>
      <w:pPr>
        <w:spacing w:after="80"/>
      </w:pPr>
      <w:r>
        <w:t>Menschen mit einem sogenannten „intestinalen“ Persönlichkeitsprofil werden häufig als Personen beschrieben, die sich in ihrem Körper unwohl fühlen. Dieses Profil kann mit morgendlicher Müdigkeit, lumbalen Schmerzen, Knie- und Fußschmerzen einschließlich Hallux valgus sowie gerillten und brüchigen Nägeln verbunden sein. Solche Personen können leicht verletzlich oder reizbar sein, wobei sich die Stimmung im Tagesverlauf tendenziell verbessert.</w:t>
      </w:r>
    </w:p>
    <w:p>
      <w:pPr>
        <w:spacing w:after="80"/>
      </w:pPr>
      <w:r>
        <w:t>Das sogenannte „intestinale“ Persönlichkeitsprofil ist mit einem ausgeprägten Sicherheitsbedürfnis verbunden. Solche Personen können gegenüber nahestehenden Menschen überprotektiv sein und neigen dazu, an Routinen, vertrauten Bezugspunkten und stabilen Gewohnheiten festzuhalten. Auch eine ausgeprägte Sorgfalt in ihrer Umgebung kann sichtbar sein. Mitunter kann eine demonstrative Selbstsicherheit dazu dienen, eine zugrunde liegende Angst zu verbergen. Sie können hypochondrisch oder übermäßig gesundheitsbesorgt sein. Häufig sind sie redselig, manchmal mit einer gewissen Theatralik, wenn sie zu überzeugen versuchen. Sobald sich eine Idee festgesetzt hat, können sie eigensinnig werden. Sie sind häufig prinzipientreu, großzügig und sensibel, auch wenn ihre Stimmung wechselhaft sein kann. Was sie selbst oder ihre Angehörigen betrifft, tolerieren sie Belastungen oder Bedrohungen nur schlecht.</w:t>
      </w:r>
    </w:p>
    <w:p>
      <w:pPr>
        <w:pStyle w:val="Heading1"/>
        <w:spacing w:after="120" w:before="200"/>
      </w:pPr>
      <w:r>
        <w:t>12. Ratschläge</w:t>
      </w:r>
    </w:p>
    <w:p>
      <w:pPr>
        <w:spacing w:after="80"/>
      </w:pPr>
      <w:r>
        <w:t>Der Dünndarm kann emotionale und psychische Spannung widerspiegeln. Intestinale Spasmen können zu lumbalen Wirbelfixierungen beitragen. Eine abwechslungsreiche, ausgewogene Ernährung sollte bevorzugt werden, ohne übermäßige Zufuhr von Kohlenhydraten oder tierischen Proteinen. Sportliche Aktivität sollte während der Verdauung vermieden werden.</w:t>
      </w:r>
    </w:p>
    <w:p>
      <w:pPr>
        <w:pStyle w:val="Heading1"/>
        <w:spacing w:after="120" w:before="200"/>
      </w:pPr>
      <w:r>
        <w:t>13. Klinischer Fall</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14. Dünndarm - ROP - German polished version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