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lang w:val="de-DE"/>
        </w:rPr>
        <w:t>Kapitel 2</w:t>
      </w:r>
    </w:p>
    <w:p>
      <w:pPr>
        <w:spacing w:after="160"/>
        <w:widowControl/>
      </w:pPr>
      <w:r>
        <w:rPr>
          <w:rFonts w:ascii="Aptos Display" w:hAnsi="Aptos Display"/>
          <w:b/>
          <w:color w:val="2F3437"/>
          <w:sz w:val="50"/>
          <w:lang w:val="de-DE"/>
        </w:rPr>
        <w:t>Behandlung mit okzipito-podaler Reflextherapie (ROP)</w:t>
      </w:r>
    </w:p>
    <w:p>
      <w:pPr>
        <w:spacing w:after="240"/>
        <w:pBdr>
          <w:bottom w:val="single" w:sz="14" w:space="1" w:color="3E6F70"/>
        </w:pBdr>
        <w:widowControl/>
      </w:pPr>
    </w:p>
    <w:p>
      <w:pPr>
        <w:pStyle w:val="BodyText"/>
        <w:spacing w:after="140"/>
        <w:ind w:left="0" w:firstLine="255"/>
        <w:widowControl/>
      </w:pPr>
      <w:r>
        <w:rPr>
          <w:i w:val="0"/>
          <w:lang w:val="de-DE"/>
        </w:rPr>
        <w:t>Die okzipito-podale Reflextherapie (ROP) ist Teil eines funktionellen, integrativen Behandlungsansatzes. Die Behandlung orientiert sich an Anamnese, klinischer Untersuchung, Listening-Tests, Beurteilung der Reflexzonen und der beobachteten Reaktion. Sie folgt der in Kapitel 0 dargestellten klinischen Abfolge und stützt sich, soweit relevant, auf die neuroanatomischen Grundlagen somatischer Zugangswege, spinaler Konvergenz und supraspinaler Bahnen. Ziel ist es, die regulatorischen und adaptiven Kapazitäten des Patienten anzuregen, ohne die medizinische Diagnostik oder eine indizierte medizinische Behandlung zu ersetzen.</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lang w:val="de-DE"/>
              </w:rPr>
              <w:t>Leitprinzipien</w:t>
            </w:r>
          </w:p>
          <w:p>
            <w:pPr>
              <w:keepLines/>
              <w:spacing w:after="60" w:line="259" w:lineRule="auto"/>
            </w:pPr>
            <w:r>
              <w:rPr>
                <w:b/>
                <w:lang w:val="de-DE"/>
              </w:rPr>
              <w:t>Anregen statt erzwingen. Der Druck ist sanft, präzise und schmerzfrei.</w:t>
            </w:r>
            <w:r>
              <w:rPr>
                <w:lang w:val="de-DE"/>
              </w:rPr>
            </w:r>
          </w:p>
          <w:p>
            <w:pPr>
              <w:keepLines/>
              <w:spacing w:after="60" w:line="259" w:lineRule="auto"/>
            </w:pPr>
            <w:r>
              <w:rPr>
                <w:b/>
                <w:lang w:val="de-DE"/>
              </w:rPr>
              <w:t>Priorisieren statt ein starres Protokoll anzuwenden. Tests und klinische Situation bestimmen die Prioritäten.</w:t>
            </w:r>
            <w:r>
              <w:rPr>
                <w:lang w:val="de-DE"/>
              </w:rPr>
            </w:r>
          </w:p>
          <w:p>
            <w:pPr>
              <w:keepLines/>
              <w:spacing w:after="60" w:line="259" w:lineRule="auto"/>
            </w:pPr>
            <w:r>
              <w:rPr>
                <w:b/>
                <w:lang w:val="de-DE"/>
              </w:rPr>
              <w:t>Beobachten statt voraussetzen. Die Reaktion des Patienten wird in den Stunden und Tagen nach der Sitzung verfolgt.</w:t>
            </w:r>
            <w:r>
              <w:rPr>
                <w:lang w:val="de-DE"/>
              </w:rPr>
            </w:r>
          </w:p>
          <w:p>
            <w:pPr>
              <w:keepLines/>
              <w:spacing w:after="60" w:line="259" w:lineRule="auto"/>
            </w:pPr>
            <w:r>
              <w:rPr>
                <w:b/>
                <w:lang w:val="de-DE"/>
              </w:rPr>
              <w:t>Bei Bedarf überweisen. Jeder Verdacht auf eine organische Erkrankung oder ein Warnzeichen erfordert eine medizinische Abklärung.</w:t>
            </w:r>
            <w:r>
              <w:rPr>
                <w:lang w:val="de-DE"/>
              </w:rPr>
            </w:r>
          </w:p>
        </w:tc>
      </w:tr>
    </w:tbl>
    <w:p>
      <w:pPr>
        <w:spacing w:after="0"/>
        <w:widowControl/>
      </w:pPr>
    </w:p>
    <w:p>
      <w:pPr>
        <w:pStyle w:val="Heading1"/>
        <w:keepNext/>
        <w:keepLines/>
        <w:widowControl/>
        <w:spacing w:before="200" w:after="80"/>
      </w:pPr>
      <w:r>
        <w:rPr>
          <w:lang w:val="de-DE"/>
        </w:rPr>
        <w:t>1. Technik</w:t>
      </w:r>
    </w:p>
    <w:p>
      <w:pPr>
        <w:pStyle w:val="Heading2"/>
        <w:keepNext/>
        <w:keepLines/>
        <w:widowControl/>
        <w:spacing w:before="140" w:after="60"/>
      </w:pPr>
      <w:r>
        <w:rPr>
          <w:lang w:val="de-DE"/>
        </w:rPr>
        <w:t>1.1. Manueller Kontakt und Druck</w:t>
      </w:r>
    </w:p>
    <w:p>
      <w:pPr>
        <w:pStyle w:val="ListBullet"/>
        <w:spacing w:after="50"/>
        <w:ind w:left="369" w:hanging="170"/>
        <w:widowControl/>
      </w:pPr>
      <w:r>
        <w:rPr>
          <w:lang w:val="de-DE"/>
        </w:rPr>
        <w:t>Die Technik ist ausschließlich manuell. Der Behandler verwendet die Daumenbeere oder das proximale Interphalangealgelenk des Zeigefingers, ohne Öl oder Creme.</w:t>
      </w:r>
    </w:p>
    <w:p>
      <w:pPr>
        <w:pStyle w:val="ListBullet"/>
        <w:spacing w:after="50"/>
        <w:ind w:left="369" w:hanging="170"/>
        <w:widowControl/>
      </w:pPr>
      <w:r>
        <w:rPr>
          <w:lang w:val="de-DE"/>
        </w:rPr>
        <w:t>Der Druck ist sanft, progressiv und schmerzfrei. Er mobilisiert die epidermal-dermale Schicht der okzipitalen und plantaren Reflexzonen, wobei knöcherne Orientierungspunkte und die Hauttextur weiterhin wahrnehmbar bleiben.</w:t>
      </w:r>
    </w:p>
    <w:p>
      <w:pPr>
        <w:pStyle w:val="ListBullet"/>
      </w:pPr>
      <w:r>
        <w:rPr>
          <w:lang w:val="de-DE"/>
        </w:rPr>
        <w:t>Die Qualität des Kontakts hängt nicht allein von der Druckintensität ab: Auch die Geschwindigkeit der Mobilisation, Stabilität und Dauer des Kontakts sowie die thermischen Eigenschaften der Hand sind Bestandteile des kutanen Reizes.</w:t>
      </w:r>
    </w:p>
    <w:p>
      <w:pPr>
        <w:pStyle w:val="ListBullet"/>
        <w:spacing w:after="50"/>
        <w:ind w:left="369" w:hanging="170"/>
        <w:widowControl/>
      </w:pPr>
      <w:r>
        <w:rPr>
          <w:lang w:val="de-DE"/>
        </w:rPr>
        <w:t>Stechender Schmerz, übermäßige Kraft oder kräftiges Reiben weisen auf eine Überstimulation hin und sind zu vermeiden.</w:t>
      </w:r>
    </w:p>
    <w:p>
      <w:pPr>
        <w:pStyle w:val="Heading2"/>
        <w:keepNext/>
        <w:keepLines/>
        <w:widowControl/>
        <w:spacing w:before="140" w:after="60"/>
      </w:pPr>
      <w:r>
        <w:rPr>
          <w:lang w:val="de-DE"/>
        </w:rPr>
        <w:t>1.2. Mechanorezeption und taktile Information</w:t>
      </w:r>
    </w:p>
    <w:p>
      <w:pPr>
        <w:pStyle w:val="BodyText"/>
        <w:spacing w:after="80"/>
        <w:ind w:left="0" w:firstLine="255"/>
        <w:widowControl/>
      </w:pPr>
      <w:r>
        <w:rPr>
          <w:i w:val="0"/>
          <w:lang w:val="de-DE"/>
        </w:rPr>
        <w:t>Die kutane Stimulation aktiviert insbesondere niederschwellige Mechanorezeptoren der Leistenhaut, darunter:</w:t>
      </w:r>
    </w:p>
    <w:p>
      <w:pPr>
        <w:pStyle w:val="ListBullet"/>
        <w:spacing w:after="50"/>
        <w:ind w:left="369" w:hanging="170"/>
        <w:widowControl/>
      </w:pPr>
      <w:r>
        <w:rPr>
          <w:lang w:val="de-DE"/>
        </w:rPr>
        <w:t>Meissner-Körperchen, die auf leichte Berührung und feine Druckveränderungen reagieren;</w:t>
      </w:r>
    </w:p>
    <w:p>
      <w:pPr>
        <w:pStyle w:val="ListBullet"/>
        <w:spacing w:after="50"/>
        <w:ind w:left="369" w:hanging="170"/>
        <w:widowControl/>
      </w:pPr>
      <w:r>
        <w:rPr>
          <w:lang w:val="de-DE"/>
        </w:rPr>
        <w:t>Merkel-Zellen bzw. Merkel-Tastscheiben, die auf sanften anhaltenden Druck sowie auf Form- und Texturmerkmale reagieren.</w:t>
      </w:r>
    </w:p>
    <w:p>
      <w:pPr>
        <w:pStyle w:val="BodyText"/>
        <w:spacing w:after="80"/>
        <w:ind w:left="0" w:firstLine="255"/>
        <w:widowControl/>
      </w:pPr>
      <w:r>
        <w:rPr>
          <w:i w:val="0"/>
          <w:lang w:val="de-DE"/>
        </w:rPr>
        <w:t>Wird die epidermal-dermale Schicht unter dem Finger verformt, erzeugen Mechanorezeptoren afferente Aktivität, die über einen peripheren Ast und anschließend über einen Nerv zum Rückenmark und zu höheren Zentren weitergeleitet wird. Die in diesem Band vorgeschlagene Interpretationskette ist einfach: lokaler Druck → Mechanorezeptoren → peripherer Ast → Nerv → Spinalwurzeln → spinale und supraspinale Netzwerke. Im ROP-Modell stellt diese sensorische Information einen Zugangsweg dar, der die Erregbarkeit somatischer, autonomer oder viszeraler Netzwerke verändern kann. Die Gate-Control-Theorie kann einen Teil der unmittelbar analgetischen Wirkung nicht schmerzhafter taktiler Stimulation erklären.</w:t>
      </w:r>
    </w:p>
    <w:p>
      <w:pPr>
        <w:pStyle w:val="BodyText"/>
      </w:pPr>
      <w:r>
        <w:rPr>
          <w:lang w:val="de-DE"/>
        </w:rPr>
        <w:t>Die kutane Berührung beruht jedoch nicht auf einem einzigen afferenten System. Neben Mechanorezeptoren, die mit schnell leitenden myelinisierten Fasern verbunden sind, haben mikroneurographische Untersuchungen am Menschen unmyelinisierte mechanosensitive Afferenzen vom C-Typ identifiziert, die auf nicht noxische taktile Reize reagieren. Diese Afferenzen wurden 1993 von Vallbo und Mitarbeitern erstmals in behaarter Haut beschrieben und später unter der Bezeichnung C-taktile (CT-)Fasern untersucht. [1]</w:t>
      </w:r>
    </w:p>
    <w:p>
      <w:pPr>
        <w:pStyle w:val="BodyText"/>
      </w:pPr>
      <w:r>
        <w:rPr>
          <w:lang w:val="de-DE"/>
        </w:rPr>
        <w:t>Spätere Studien zeigen, dass ihre Reaktion nicht nur von der mechanischen Intensität des Kontakts, sondern auch von dessen physikalischen Eigenschaften abhängt. Bei sanftem Streichen der Haut reagieren CT-Fasern bevorzugt auf langsame bis mittlere Geschwindigkeiten von etwa 1–10 cm/s, die zugleich mit einer angenehmeren Berührungswahrnehmung verbunden sind. [2] Ihre Aktivität wird außerdem durch die Temperatur moduliert: In einer Studie mit Stimulationen bei 18 °C, 32 °C und 42 °C war die Reaktion um 32 °C maximal, also bei einer Temperatur nahe der Hautoberflächentemperatur und damit nahe dem Haut-zu-Haut-Kontakt. [3] Diese Befunde verdeutlichen, dass die Qualität manueller Stimulation von mehreren Parametern abhängt – Intensität, Geschwindigkeit, Temperatur und Kontaktdauer – und nicht allein von der angewandten Kraft.</w:t>
      </w:r>
    </w:p>
    <w:p>
      <w:pPr>
        <w:pStyle w:val="BodyText"/>
      </w:pPr>
      <w:r>
        <w:rPr>
          <w:lang w:val="de-DE"/>
        </w:rPr>
        <w:t>Dieser Mechanismus darf jedoch nicht unmittelbar auf ROP übertragen werden. C-taktile Fasern wurden vorwiegend in behaarter Haut charakterisiert, während die Fußsohle aus Leistenhaut besteht, in der myelinisierte taktile Afferenzen eine wesentliche Rolle spielen. Ein möglicher Beitrag dieser Fasern zur manuellen plantaren Stimulation muss daher von besser belegten mechanosensorischen Mechanismen unterschieden werden. Die Daten zu CT-Fasern dienen hier als Modell der Berührungsphysiologie und nicht als Beleg für einen ROP-spezifischen Mechanismus.</w:t>
      </w:r>
    </w:p>
    <w:p>
      <w:pPr>
        <w:pStyle w:val="BodyText"/>
      </w:pPr>
      <w:r>
        <w:rPr>
          <w:lang w:val="de-DE"/>
        </w:rPr>
        <w:t>Die Fußsohle ist der am besten dokumentierte mechanische Zugangsweg, hauptsächlich über Äste des N. tibialis. Der laterale Fußrand, der Fußrücken und die mediale Fußseite bieten weitere somatische Zugangswege über den N. suralis, die Nn. fibulares bzw. den N. saphenus. Diese Gebiete sind keine Organlandkarten; sie entsprechen unterschiedlichen peripheren Eingängen, die miteinander verglichen werden können.</w:t>
      </w:r>
    </w:p>
    <w:p>
      <w:pPr>
        <w:pStyle w:val="BodyText"/>
      </w:pPr>
      <w:r>
        <w:rPr>
          <w:lang w:val="de-DE"/>
        </w:rPr>
        <w:t>Methodische Klarstellung — Manueller ROP-Druck ist nicht mit der direkten elektrischen Stimulation eines Nervs gleichzusetzen. Studien zur Neuromodulation liefern Modelle neuronaler Schaltkreise und Plausibilitätsargumente; sie belegen nicht automatisch, dass manueller Druck dieselbe Reaktion hervorruft.</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lang w:val="de-DE"/>
              </w:rPr>
              <w:t>Relevanz für ROP</w:t>
            </w:r>
          </w:p>
          <w:p>
            <w:pPr>
              <w:keepLines/>
              <w:spacing w:after="60" w:line="259" w:lineRule="auto"/>
            </w:pPr>
            <w:r>
              <w:rPr>
                <w:lang w:val="de-DE"/>
              </w:rPr>
              <w:t>Kraft und kräftiges Reiben während der Reflexmassage sind zu vermeiden. Je stärker der Druck, desto mehr nimmt der Behandler seine eigenen Finger wahr – auf Kosten der knöchernen Orientierungspunkte und Texturveränderungen, die die Suche nach Reflexzonen leiten.</w:t>
            </w:r>
          </w:p>
          <w:p>
            <w:pPr>
              <w:keepLines/>
              <w:spacing w:after="60" w:line="259" w:lineRule="auto"/>
            </w:pPr>
            <w:r>
              <w:rPr>
                <w:lang w:val="de-DE"/>
              </w:rPr>
              <w:t>Auch bei korrekter Durchführung stellt eine Sitzung einen Reiz für den Körper dar. Die Vitalität und adaptive Kapazität des Patienten müssen berücksichtigt werden.</w:t>
            </w:r>
          </w:p>
        </w:tc>
      </w:tr>
    </w:tbl>
    <w:p>
      <w:pPr>
        <w:spacing w:after="0"/>
        <w:widowControl/>
      </w:pPr>
    </w:p>
    <w:p>
      <w:pPr>
        <w:pStyle w:val="Heading2"/>
        <w:keepNext/>
        <w:keepLines/>
        <w:widowControl/>
        <w:spacing w:before="140" w:after="60"/>
      </w:pPr>
      <w:r>
        <w:rPr>
          <w:lang w:val="de-DE"/>
        </w:rPr>
        <w:t>1.3. Die drei Phasen der Massage</w:t>
      </w:r>
    </w:p>
    <w:p>
      <w:pPr>
        <w:pStyle w:val="BodyText"/>
        <w:spacing w:after="60"/>
        <w:ind w:left="369" w:hanging="312"/>
        <w:widowControl/>
      </w:pPr>
      <w:r>
        <w:rPr>
          <w:b/>
          <w:lang w:val="de-DE"/>
        </w:rPr>
        <w:t>1. Phase der Texturidentifikation. Der Behandler sucht nach Bereichen mit veränderter Textur der okzipitalen oder plantaren Haut: Rauigkeit, erhöhte Dichte, verminderte Gleitfähigkeit oder ein körniges Gefühl, in der ROP-Palpationsterminologie mitunter als „Kristalle“ bezeichnet. Dieser Begriff bedeutet nicht, dass kristalline Ablagerungen im Gewebe vorhanden sind. Diese Befunde ergänzen Anamnese, klinische Untersuchung und Tests; sie stellen keine Diagnose dar.</w:t>
      </w:r>
      <w:r>
        <w:rPr>
          <w:b/>
          <w:lang w:val="de-DE"/>
        </w:rPr>
      </w:r>
      <w:r>
        <w:rPr>
          <w:lang w:val="de-DE"/>
        </w:rPr>
      </w:r>
      <w:r>
        <w:rPr>
          <w:b/>
          <w:lang w:val="de-DE"/>
        </w:rPr>
      </w:r>
      <w:r>
        <w:rPr>
          <w:b w:val="0"/>
          <w:lang w:val="de-DE"/>
        </w:rPr>
      </w:r>
    </w:p>
    <w:p>
      <w:pPr>
        <w:pStyle w:val="BodyText"/>
        <w:spacing w:after="60"/>
        <w:ind w:left="369" w:hanging="312"/>
        <w:widowControl/>
      </w:pPr>
      <w:r>
        <w:rPr>
          <w:b/>
          <w:lang w:val="de-DE"/>
        </w:rPr>
        <w:t>2. Therapeutische Phase. Der Druck bleibt sanft, präzise ausgerichtet und schmerzfrei. Das Manöver mobilisiert die epidermal-dermale Schicht, um Mechanorezeptoren zu stimulieren und dem Nervensystem sensorische Informationen zuzuführen.</w:t>
      </w:r>
      <w:r>
        <w:rPr>
          <w:b/>
          <w:lang w:val="de-DE"/>
        </w:rPr>
      </w:r>
      <w:r>
        <w:rPr>
          <w:lang w:val="de-DE"/>
        </w:rPr>
      </w:r>
    </w:p>
    <w:p>
      <w:pPr>
        <w:pStyle w:val="BodyText"/>
        <w:spacing w:after="60"/>
        <w:ind w:left="369" w:hanging="312"/>
        <w:widowControl/>
      </w:pPr>
      <w:r>
        <w:rPr>
          <w:b/>
          <w:lang w:val="de-DE"/>
        </w:rPr>
        <w:t>3. Ruhe- und Beobachtungsphase. Nach der Stimulation hält der Behandler kurz inne und beobachtet. Die Reaktion wird anhand von Veränderungen der Sensibilität, Gleitfähigkeit und Geschmeidigkeit der Reflexzone sowie anhand allgemeiner Entspannungszeichen beurteilt.</w:t>
      </w:r>
      <w:r>
        <w:rPr>
          <w:b/>
          <w:lang w:val="de-DE"/>
        </w:rPr>
      </w:r>
      <w:r>
        <w:rPr>
          <w:lang w:val="de-DE"/>
        </w:rPr>
      </w:r>
    </w:p>
    <w:p>
      <w:pPr>
        <w:pStyle w:val="BodyText"/>
        <w:spacing w:after="80"/>
        <w:ind w:left="0" w:firstLine="255"/>
        <w:widowControl/>
      </w:pPr>
      <w:r>
        <w:rPr>
          <w:i w:val="0"/>
          <w:lang w:val="de-DE"/>
        </w:rPr>
        <w:t>Die Qualität der Reaktion hängt vom Allgemeinzustand, der Vitalität und der adaptiv-kompensatorischen Kapazität des Patienten ab, bezogen auf die Phase des allgemeinen Adaptationssyndroms, in der er sich befindet: Alarm, Anpassung, Widerstand oder Erschöpfung. (Siehe Kapitel 5, Stressmechanismus.)</w:t>
      </w:r>
    </w:p>
    <w:p>
      <w:pPr>
        <w:pStyle w:val="Heading1"/>
        <w:keepNext/>
        <w:keepLines/>
        <w:widowControl/>
        <w:spacing w:before="200" w:after="80"/>
      </w:pPr>
      <w:r>
        <w:rPr>
          <w:lang w:val="de-DE"/>
        </w:rPr>
        <w:t>2. Behandlungsmodalitäten</w:t>
      </w:r>
    </w:p>
    <w:p>
      <w:pPr>
        <w:pStyle w:val="Heading2"/>
        <w:keepNext/>
        <w:keepLines/>
        <w:widowControl/>
        <w:spacing w:before="140" w:after="60"/>
      </w:pPr>
      <w:r>
        <w:rPr>
          <w:lang w:val="de-DE"/>
        </w:rPr>
        <w:t>2.1. Sitzungsdauer</w:t>
      </w:r>
    </w:p>
    <w:p>
      <w:pPr>
        <w:pStyle w:val="BodyText"/>
        <w:spacing w:after="80"/>
        <w:ind w:left="0" w:firstLine="255"/>
        <w:widowControl/>
      </w:pPr>
      <w:r>
        <w:rPr>
          <w:i w:val="0"/>
          <w:lang w:val="de-DE"/>
        </w:rPr>
        <w:t>Die Wirksamkeit der Behandlung ist nicht proportional zur Sitzungsdauer. Sie hängt in erster Linie von der Qualität der Untersuchung, der Priorisierung und der Präzision der Stimulation ab. Die Sitzung muss der Reaktionsfähigkeit des Patienten angepasst bleiben, ohne unnötig viele Bereiche zu behandeln.</w:t>
      </w:r>
    </w:p>
    <w:p>
      <w:pPr>
        <w:pStyle w:val="Heading2"/>
        <w:keepNext/>
        <w:keepLines/>
        <w:widowControl/>
        <w:spacing w:before="140" w:after="60"/>
      </w:pPr>
      <w:r>
        <w:rPr>
          <w:lang w:val="de-DE"/>
        </w:rPr>
        <w:t>2.2. Häufigkeit und initialer Behandlungsverlauf</w:t>
      </w:r>
    </w:p>
    <w:p>
      <w:pPr>
        <w:pStyle w:val="BodyText"/>
        <w:spacing w:after="80"/>
        <w:ind w:left="0" w:firstLine="255"/>
        <w:widowControl/>
      </w:pPr>
      <w:r>
        <w:rPr>
          <w:i w:val="0"/>
          <w:lang w:val="de-DE"/>
        </w:rPr>
        <w:t>Die Sitzungsfrequenz folgt keinem festen Intervall. Sie hängt vom Verlauf des Hauptsymptoms, vom Funktionsniveau des Patienten und von seiner Fähigkeit ab, sich nach der ersten Sitzung zu erholen.</w:t>
      </w:r>
    </w:p>
    <w:p>
      <w:pPr>
        <w:pStyle w:val="BodyText"/>
        <w:spacing w:after="80"/>
        <w:ind w:left="0" w:firstLine="255"/>
        <w:widowControl/>
      </w:pPr>
      <w:r>
        <w:rPr>
          <w:i w:val="0"/>
          <w:lang w:val="de-DE"/>
        </w:rPr>
        <w:t>Eine erneute Beurteilung erfolgt in der Regel an den Tagen 3–4. Ist die Besserung ausreichend und die übliche Funktionsfähigkeit wiederhergestellt, ist kurzfristig keine weitere Sitzung erforderlich. Bleibt die Erholung unvollständig, kann eine zweite Sitzung angeboten werden.</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lang w:val="de-DE"/>
              </w:rPr>
              <w:t>Wie ist der Begriff „Vitalität“ zu verstehen?</w:t>
            </w:r>
          </w:p>
          <w:p>
            <w:pPr>
              <w:keepLines/>
              <w:spacing w:after="60" w:line="259" w:lineRule="auto"/>
            </w:pPr>
            <w:r>
              <w:rPr>
                <w:lang w:val="de-DE"/>
              </w:rPr>
              <w:t>In diesem Kapitel bezeichnet Vitalität eine klinische und funktionelle Einschätzung: Energieniveau, Ermüdbarkeit, Schlafqualität, Fähigkeit zur Wiederaufnahme von Aktivitäten, Verlauf des Hauptsymptoms und allgemeiner subjektiver Zustand.</w:t>
            </w:r>
          </w:p>
          <w:p>
            <w:pPr>
              <w:keepLines/>
              <w:spacing w:after="60" w:line="259" w:lineRule="auto"/>
            </w:pPr>
            <w:r>
              <w:rPr>
                <w:lang w:val="de-DE"/>
              </w:rPr>
              <w:t>Sie entspricht keiner einzelnen biologischen Variable. Damit sie klinisch nützlich ist, muss sie mit dem Ausgangsniveau des Patienten verglichen und anhand einfacher, reproduzierbarer Fragen verfolgt werden.</w:t>
            </w:r>
          </w:p>
        </w:tc>
      </w:tr>
    </w:tbl>
    <w:p>
      <w:pPr>
        <w:spacing w:after="0"/>
        <w:widowControl/>
      </w:pPr>
    </w:p>
    <w:p>
      <w:pPr>
        <w:pStyle w:val="BodyText"/>
        <w:spacing w:after="80"/>
        <w:ind w:left="0" w:firstLine="255"/>
        <w:widowControl/>
      </w:pPr>
      <w:r>
        <w:rPr>
          <w:i w:val="0"/>
          <w:lang w:val="de-DE"/>
        </w:rPr>
        <w:t>Bei den meisten funktionellen Indikationen ermöglicht eine initiale Serie von ein bis drei Sitzungen die Beurteilung der Reaktion des Patienten. Tritt nach drei Sitzungen keine nennenswerte Besserung ein, müssen die funktionelle Hypothese, die Priorisierung und die Indikation für ROP neu bewertet werden. Falls erforderlich, wird der Patient an einen Arzt überwiesen. Chronische Störungen können eine längere Nachbeobachtung mit individuell angepasstem Zeitplan erfordern. Reaktionen nach der Behandlung und detaillierte Kriterien für die erneute Beurteilung werden in Abschnitt 9 dargestellt.</w:t>
      </w:r>
    </w:p>
    <w:p>
      <w:pPr>
        <w:pStyle w:val="Heading1"/>
        <w:keepNext/>
        <w:keepLines/>
        <w:widowControl/>
        <w:spacing w:before="200" w:after="80"/>
      </w:pPr>
      <w:r>
        <w:rPr>
          <w:lang w:val="de-DE"/>
        </w:rPr>
        <w:t>3. Priorisierung der Behandlung</w:t>
      </w:r>
    </w:p>
    <w:p>
      <w:pPr>
        <w:pStyle w:val="BodyText"/>
        <w:spacing w:after="80"/>
        <w:ind w:left="0" w:firstLine="255"/>
        <w:widowControl/>
      </w:pPr>
      <w:r>
        <w:rPr>
          <w:i w:val="0"/>
          <w:lang w:val="de-DE"/>
        </w:rPr>
        <w:t>Es gibt kein unveränderliches Protokoll. Die in Kapitel 0 dargestellte klinische Vier-Ebenen-Abfolge strukturiert das klinische Denken, schreibt jedoch keine zwingende Reihenfolge vor. Tests, klinische Anamnese und beobachtete Reaktion bestimmen die tatsächliche Priorität. Folgende Faktoren können dazu führen, dass der Behandler auf einer Ebene statt auf einer anderen beginnt:</w:t>
      </w:r>
    </w:p>
    <w:p>
      <w:pPr>
        <w:pStyle w:val="BodyText"/>
        <w:spacing w:after="60"/>
        <w:ind w:left="369" w:hanging="312"/>
        <w:widowControl/>
      </w:pPr>
      <w:r>
        <w:rPr>
          <w:b/>
          <w:lang w:val="de-DE"/>
        </w:rPr>
        <w:t>1. Folgen von Trauma, Operation oder Infektion. Tritt ein Symptom nach einem eindeutig identifizierten Ereignis auf, kann diese zeitliche Abfolge die Priorisierung leiten. Anamnese und klinische Untersuchung müssen prüfen, ob der Zusammenhang schlüssig ist, ohne automatisch eine Kausalität anzunehmen.</w:t>
      </w:r>
      <w:r>
        <w:rPr>
          <w:b/>
          <w:lang w:val="de-DE"/>
        </w:rPr>
      </w:r>
      <w:r>
        <w:rPr>
          <w:lang w:val="de-DE"/>
        </w:rPr>
      </w:r>
      <w:r>
        <w:rPr>
          <w:b/>
          <w:lang w:val="de-DE"/>
        </w:rPr>
      </w:r>
      <w:r>
        <w:rPr>
          <w:b w:val="0"/>
          <w:lang w:val="de-DE"/>
        </w:rPr>
      </w:r>
    </w:p>
    <w:p>
      <w:pPr>
        <w:pStyle w:val="BodyText"/>
        <w:spacing w:after="60"/>
        <w:ind w:left="369" w:hanging="312"/>
        <w:widowControl/>
      </w:pPr>
      <w:r>
        <w:rPr>
          <w:b/>
          <w:lang w:val="de-DE"/>
        </w:rPr>
        <w:t>2. Anamnese sowie globale und lokale Listening-Tests. Fehlt ein offensichtliches auslösendes Ereignis, lenken sie den Behandler auf die regulatorische Ebene oder das Gebiet, das zuerst untersucht werden sollte, und liefern Bezugspunkte für die erneute Beurteilung nach der Stimulation.</w:t>
      </w:r>
      <w:r>
        <w:rPr>
          <w:b/>
          <w:lang w:val="de-DE"/>
        </w:rPr>
      </w:r>
      <w:r>
        <w:rPr>
          <w:lang w:val="de-DE"/>
        </w:rPr>
      </w:r>
      <w:r>
        <w:rPr>
          <w:b/>
          <w:lang w:val="de-DE"/>
        </w:rPr>
      </w:r>
      <w:r>
        <w:rPr>
          <w:b w:val="0"/>
          <w:lang w:val="de-DE"/>
        </w:rPr>
      </w:r>
    </w:p>
    <w:p>
      <w:pPr>
        <w:pStyle w:val="BodyText"/>
        <w:spacing w:after="60"/>
        <w:ind w:left="369" w:hanging="312"/>
        <w:widowControl/>
      </w:pPr>
      <w:r>
        <w:rPr>
          <w:b/>
          <w:lang w:val="de-DE"/>
        </w:rPr>
        <w:t>3. Psycho-emotionaler Kontext. Bestimmte körperliche oder emotionale Ereignisse können Körpererleben, Schmerzwahrnehmung und autonomen Zustand beeinflussen. Diese Dimension ist Teil der auf Ebene 4 behandelten viszero-emotionalen Integration und wird vorsichtig untersucht, ohne dem Patienten eine Interpretation aufzuerlegen.</w:t>
      </w:r>
      <w:r>
        <w:rPr>
          <w:b/>
          <w:lang w:val="de-DE"/>
        </w:rPr>
      </w:r>
      <w:r>
        <w:rPr>
          <w:lang w:val="de-DE"/>
        </w:rPr>
      </w:r>
      <w:r>
        <w:rPr>
          <w:b/>
          <w:lang w:val="de-DE"/>
        </w:rPr>
      </w:r>
      <w:r>
        <w:rPr>
          <w:b w:val="0"/>
          <w:lang w:val="de-DE"/>
        </w:rPr>
      </w:r>
    </w:p>
    <w:p>
      <w:pPr>
        <w:pStyle w:val="BodyText"/>
        <w:spacing w:after="60"/>
        <w:ind w:left="369" w:hanging="312"/>
        <w:widowControl/>
      </w:pPr>
      <w:r>
        <w:rPr>
          <w:b/>
          <w:lang w:val="de-DE"/>
        </w:rPr>
        <w:t>4. Stressmechanismus und adaptive Kapazitäten. Jeder lokale Befund muss im Gesamtkontext des Patienten betrachtet werden: Belastungen, Schlaf, Erholung und funktionelle Kapazitäten. (Siehe Kapitel 5, Stressmechanismus.)</w:t>
      </w:r>
      <w:r>
        <w:rPr>
          <w:b/>
          <w:lang w:val="de-DE"/>
        </w:rPr>
      </w:r>
      <w:r>
        <w:rPr>
          <w:lang w:val="de-DE"/>
        </w:rPr>
      </w:r>
      <w:r>
        <w:rPr>
          <w:b/>
          <w:lang w:val="de-DE"/>
        </w:rPr>
      </w:r>
      <w:r>
        <w:rPr>
          <w:b w:val="0"/>
          <w:lang w:val="de-DE"/>
        </w:rPr>
      </w:r>
    </w:p>
    <w:p>
      <w:pPr>
        <w:pStyle w:val="Heading1"/>
        <w:keepNext/>
        <w:keepLines/>
        <w:widowControl/>
        <w:spacing w:before="200" w:after="80"/>
      </w:pPr>
      <w:r>
        <w:rPr>
          <w:lang w:val="de-DE"/>
        </w:rPr>
        <w:t>4. Klinische ROP-Abfolge: vier Ebenen</w:t>
      </w:r>
    </w:p>
    <w:p>
      <w:pPr>
        <w:pStyle w:val="BodyText"/>
      </w:pPr>
      <w:r>
        <w:rPr>
          <w:lang w:val="de-DE"/>
        </w:rPr>
        <w:t>Die klinische Abfolge folgt den in Kapitel 0 definierten vier Ebenen. Sie sind Orientierungspunkte der Priorisierung und keine vier zwingend zu durchlaufenden Stufen. Eine einzelne Sitzung kann je nach Anamnese, Tests und Reaktion des Patienten mehrere Ebenen einbeziehen.</w:t>
      </w:r>
    </w:p>
    <w:p>
      <w:pPr>
        <w:pStyle w:val="Heading2"/>
      </w:pPr>
      <w:r>
        <w:rPr>
          <w:lang w:val="de-DE"/>
        </w:rPr>
        <w:t>4.1. Ebene 1 — Regulation höherer Zentren des Zentralnervensystems</w:t>
      </w:r>
    </w:p>
    <w:p>
      <w:pPr>
        <w:pStyle w:val="BodyText"/>
      </w:pPr>
      <w:r>
        <w:rPr>
          <w:lang w:val="de-DE"/>
        </w:rPr>
        <w:t>Diese Ebene betrifft okzipitale Reflexzonen und ROP-Orientierungspunkte, die mit den großen Integrationszentren und dem neuromeningealen Umfeld verbunden sind. Klinisches Ziel ist es, die zentrale Regulation vor oder parallel zu einem stärker regional ausgerichteten Vorgehen zu berücksichtigen.</w:t>
      </w:r>
    </w:p>
    <w:p>
      <w:pPr>
        <w:pStyle w:val="ListBullet"/>
      </w:pPr>
      <w:r>
        <w:rPr>
          <w:lang w:val="de-DE"/>
        </w:rPr>
        <w:t>Okzipitale Reflexzonen.</w:t>
      </w:r>
    </w:p>
    <w:p>
      <w:pPr>
        <w:pStyle w:val="ListBullet"/>
      </w:pPr>
      <w:r>
        <w:rPr>
          <w:lang w:val="de-DE"/>
        </w:rPr>
        <w:t>Kraniospinales neuromeningeales Umfeld, primärer Respirationsmechanismus (PRM) und Liquorzirkulation im klinischen ROP-Modell: Okziput–C1–C2, Schädelbasis und Schädeldach, Falx cerebri und Falx cerebelli, S2-Orientierungspunkte sowie die in früheren Bänden beschriebenen Techniken.</w:t>
      </w:r>
    </w:p>
    <w:p>
      <w:pPr>
        <w:pStyle w:val="ListBullet"/>
      </w:pPr>
      <w:r>
        <w:rPr>
          <w:lang w:val="de-DE"/>
        </w:rPr>
        <w:t>Kraniosakrale Achse — ein klinischer ROP-Begriff, der als Orientierung für die kraniospinale Kontinuität dient und kein eigenständiges anatomisches System bezeichnet.</w:t>
      </w:r>
    </w:p>
    <w:p>
      <w:pPr>
        <w:pStyle w:val="ListBullet"/>
      </w:pPr>
      <w:r>
        <w:rPr>
          <w:lang w:val="de-DE"/>
        </w:rPr>
        <w:t>Dienzephalon, insbesondere Hypothalamus, Hirnstamm und Hypothalamus-Hypophysen-Achse.</w:t>
      </w:r>
    </w:p>
    <w:p>
      <w:pPr>
        <w:pStyle w:val="BodyText"/>
      </w:pPr>
      <w:r>
        <w:rPr>
          <w:lang w:val="de-DE"/>
        </w:rPr>
        <w:t>Klarstellung — Diese Lokalisationen gehören zur klinischen ROP-Kartierung. Sie stellen weder eine direkte anatomische Projektion einer Hirnstruktur auf Fuß oder Okziput dar noch einen Beleg für eine selektive Wirkung auf ein bestimmtes Areal.</w:t>
      </w:r>
    </w:p>
    <w:p>
      <w:pPr>
        <w:pStyle w:val="Heading2"/>
      </w:pPr>
      <w:r>
        <w:rPr>
          <w:lang w:val="de-DE"/>
        </w:rPr>
        <w:t>4.2. Ebene 2 — Autonome Regulation und Anpassung</w:t>
      </w:r>
    </w:p>
    <w:p>
      <w:pPr>
        <w:pStyle w:val="BodyText"/>
      </w:pPr>
      <w:r>
        <w:rPr>
          <w:lang w:val="de-DE"/>
        </w:rPr>
        <w:t>Diese Ebene betrifft autonome Bahnen und die an Mobilisierung, Anpassung und Erholung beteiligten Systeme. Sie verbindet höhere Zentren mit viszeralen Gebieten.</w:t>
      </w:r>
    </w:p>
    <w:p>
      <w:pPr>
        <w:pStyle w:val="ListBullet"/>
      </w:pPr>
      <w:r>
        <w:rPr>
          <w:lang w:val="de-DE"/>
        </w:rPr>
        <w:t>Zwerchfell, hier als respiratorische und funktionelle Schnittstelle im Zusammenhang mit der autonomen Regulation betrachtet.</w:t>
      </w:r>
    </w:p>
    <w:p>
      <w:pPr>
        <w:pStyle w:val="ListBullet"/>
      </w:pPr>
      <w:r>
        <w:rPr>
          <w:lang w:val="de-DE"/>
        </w:rPr>
        <w:t>Sympathisches und parasympathisches System; paravertebrale Grenzstrangkette.</w:t>
      </w:r>
    </w:p>
    <w:p>
      <w:pPr>
        <w:pStyle w:val="ListBullet"/>
      </w:pPr>
      <w:r>
        <w:rPr>
          <w:lang w:val="de-DE"/>
        </w:rPr>
        <w:t>N. vagus für die zervikalen, thorakalen und abdominalen Gebiete sowie sakrale parasympathische Bahnen für den Beckenbereich und den distalen Kolonabschnitt.</w:t>
      </w:r>
    </w:p>
    <w:p>
      <w:pPr>
        <w:pStyle w:val="ListBullet"/>
      </w:pPr>
      <w:r>
        <w:rPr>
          <w:lang w:val="de-DE"/>
        </w:rPr>
        <w:t>Prävertebrale und präviszerale Plexus.</w:t>
      </w:r>
    </w:p>
    <w:p>
      <w:pPr>
        <w:pStyle w:val="ListBullet"/>
      </w:pPr>
      <w:r>
        <w:rPr>
          <w:lang w:val="de-DE"/>
        </w:rPr>
        <w:t>Nebennieren, insbesondere im Rahmen der sympathoadrenalen Reaktion.</w:t>
      </w:r>
    </w:p>
    <w:p>
      <w:pPr>
        <w:pStyle w:val="BodyText"/>
      </w:pPr>
      <w:r>
        <w:rPr>
          <w:lang w:val="de-DE"/>
        </w:rPr>
        <w:t>Das Zwerchfell ist anatomisch nicht Bestandteil des autonomen Nervensystems; seine Einbeziehung auf dieser Ebene folgt der klinischen Logik von ROP, bei der Atmung, Tonus und autonomer Zustand gemeinsam beobachtet werden. Sensorische viszerale Afferenzen sind zudem von efferenten autonomen Steuerimpulsen zu unterscheiden.</w:t>
      </w:r>
    </w:p>
    <w:p>
      <w:pPr>
        <w:pStyle w:val="Heading2"/>
      </w:pPr>
      <w:r>
        <w:rPr>
          <w:lang w:val="de-DE"/>
        </w:rPr>
        <w:t>4.3. Ebene 3 — Lokale und regionale viszerale Regulation</w:t>
      </w:r>
    </w:p>
    <w:p>
      <w:pPr>
        <w:pStyle w:val="BodyText"/>
      </w:pPr>
      <w:r>
        <w:rPr>
          <w:lang w:val="de-DE"/>
        </w:rPr>
        <w:t>Die dritte Ebene richtet die Behandlung erneut auf das betroffene Organ oder funktionelle Gebiet und dessen unmittelbares anatomisches Umfeld aus.</w:t>
      </w:r>
    </w:p>
    <w:p>
      <w:pPr>
        <w:pStyle w:val="ListBullet"/>
      </w:pPr>
      <w:r>
        <w:rPr>
          <w:lang w:val="de-DE"/>
        </w:rPr>
        <w:t>Betroffenes Organ oder viszerales System.</w:t>
      </w:r>
    </w:p>
    <w:p>
      <w:pPr>
        <w:pStyle w:val="ListBullet"/>
      </w:pPr>
      <w:r>
        <w:rPr>
          <w:lang w:val="de-DE"/>
        </w:rPr>
        <w:t>Abdominal- oder Beckenhöhle, je nach betroffenem Gebiet.</w:t>
      </w:r>
    </w:p>
    <w:p>
      <w:pPr>
        <w:pStyle w:val="ListBullet"/>
      </w:pPr>
      <w:r>
        <w:rPr>
          <w:lang w:val="de-DE"/>
        </w:rPr>
        <w:t>Peritoneum und Mesenterialwurzeln.</w:t>
      </w:r>
    </w:p>
    <w:p>
      <w:pPr>
        <w:pStyle w:val="ListBullet"/>
      </w:pPr>
      <w:r>
        <w:rPr>
          <w:lang w:val="de-DE"/>
        </w:rPr>
        <w:t>Mesenterien, viszerale Bänder, Faszien und wesentliche lokale und regionale Schnittstellen.</w:t>
      </w:r>
    </w:p>
    <w:p>
      <w:pPr>
        <w:pStyle w:val="ListBullet"/>
      </w:pPr>
      <w:r>
        <w:rPr>
          <w:lang w:val="de-DE"/>
        </w:rPr>
        <w:t>Neurovaskuläre Beziehungen und regionale Plexus, sofern relevant.</w:t>
      </w:r>
    </w:p>
    <w:p>
      <w:pPr>
        <w:pStyle w:val="BodyText"/>
      </w:pPr>
      <w:r>
        <w:rPr>
          <w:lang w:val="de-DE"/>
        </w:rPr>
        <w:t>Diese Ebene setzt nicht voraus, dass eine Reflexzone ein Organ direkt steuert. Sie strukturiert die Untersuchung eines viszeralen Gebiets und seiner Schnittstellen, gefolgt von einer erneuten Beurteilung der Reaktion nach der Stimulation.</w:t>
      </w:r>
    </w:p>
    <w:p>
      <w:pPr>
        <w:pStyle w:val="Heading2"/>
      </w:pPr>
      <w:r>
        <w:rPr>
          <w:lang w:val="de-DE"/>
        </w:rPr>
        <w:t>4.4. Ebene 4 — Viszerosomatische und viszero-emotionale Integration</w:t>
      </w:r>
    </w:p>
    <w:p>
      <w:pPr>
        <w:pStyle w:val="BodyText"/>
      </w:pPr>
      <w:r>
        <w:rPr>
          <w:lang w:val="de-DE"/>
        </w:rPr>
        <w:t>Die vierte Ebene erweitert die Betrachtung des Organs um seine Beziehungen zum somatischen Nervensystem und zu zerebralen Netzwerken, die an der Wahrnehmung des inneren Zustands, an Salienz, Kontext und Emotion beteiligt sind.</w:t>
      </w:r>
    </w:p>
    <w:p>
      <w:pPr>
        <w:pStyle w:val="ListBullet"/>
      </w:pPr>
      <w:r>
        <w:rPr>
          <w:lang w:val="de-DE"/>
        </w:rPr>
        <w:t>Somatische Nerven sowie lumbale oder sakrale Plexus, die an viszerosomatischen Beziehungen beteiligt sind.</w:t>
      </w:r>
    </w:p>
    <w:p>
      <w:pPr>
        <w:pStyle w:val="ListBullet"/>
      </w:pPr>
      <w:r>
        <w:rPr>
          <w:lang w:val="de-DE"/>
        </w:rPr>
        <w:t>Segmentale Beziehungen, spinale Konvergenz und zugehörige muskuloskelettale Gebiete.</w:t>
      </w:r>
    </w:p>
    <w:p>
      <w:pPr>
        <w:pStyle w:val="ListBullet"/>
      </w:pPr>
      <w:r>
        <w:rPr>
          <w:lang w:val="de-DE"/>
        </w:rPr>
        <w:t>Limbische und kortikolimbische Netzwerke: insbesondere Insula und Gyrus cinguli; Amygdala und Hippocampus, wenn ihre klinische ROP-Kartierung verwendet wird.</w:t>
      </w:r>
    </w:p>
    <w:p>
      <w:pPr>
        <w:pStyle w:val="ListBullet"/>
      </w:pPr>
      <w:r>
        <w:rPr>
          <w:lang w:val="de-DE"/>
        </w:rPr>
        <w:t>Viszero-emotionaler Ausgleich: Verknüpfung der Reflexzone des dominanten Organs mit der durch das Listening ausgewählten zerebralen Reflexzone.</w:t>
      </w:r>
    </w:p>
    <w:p>
      <w:pPr>
        <w:pStyle w:val="BodyText"/>
      </w:pPr>
      <w:r>
        <w:rPr>
          <w:lang w:val="de-DE"/>
        </w:rPr>
        <w:t>Bestimmte kutane afferente Systeme, insbesondere jene, die im Zusammenhang mit affektiver Berührung untersucht werden, tragen zur zentralen Verarbeitung der affektiven und interozeptiven Dimensionen taktiler Erfahrung bei. [2] Diese Beobachtung verdeutlicht Wechselwirkungen zwischen kutaner somatischer Information, innerem Zustand und affektivem Kontext, ohne eine spezifische Entsprechung zwischen einer Reflexzone und einem bestimmten zerebralen Netzwerk zu belegen.</w:t>
      </w:r>
    </w:p>
    <w:p>
      <w:pPr>
        <w:pStyle w:val="Heading3"/>
      </w:pPr>
      <w:r>
        <w:rPr>
          <w:lang w:val="de-DE"/>
        </w:rPr>
        <w:t>4.4.1. Der viszero-emotionale Ausgleich</w:t>
      </w:r>
    </w:p>
    <w:p>
      <w:pPr>
        <w:pStyle w:val="BodyText"/>
      </w:pPr>
      <w:r>
        <w:rPr>
          <w:lang w:val="de-DE"/>
        </w:rPr>
        <w:t>Viszera und Gehirn stehen in kontinuierlichen bidirektionalen Beziehungen. Informationen aus den Organen erreichen das Zentralnervensystem über viszerale afferente Bahnen und tragen zur Interozeption bei, also zur Wahrnehmung und Integration des inneren Körperzustands. Umgekehrt modulieren emotionale Zustände und zerebrale Prozesse die viszerale Funktion, insbesondere über das autonome Nervensystem.</w:t>
      </w:r>
    </w:p>
    <w:p>
      <w:pPr>
        <w:pStyle w:val="BodyText"/>
      </w:pPr>
      <w:r>
        <w:rPr>
          <w:lang w:val="de-DE"/>
        </w:rPr>
        <w:t>Der viszero-emotionale Ausgleich greift diese Wechselwirkung klinisch auf, indem die durch Tests identifizierte Reflexzone des dominanten Organs gleichzeitig mit der während des Listenings ausgewählten zerebralen Reflexzone verbunden wird. Der Behandler legt in der Regel einen Daumen auf die viszerale Reflexzone und den anderen auf die zerebrale Reflexzone.</w:t>
      </w:r>
    </w:p>
    <w:p>
      <w:pPr>
        <w:pStyle w:val="BodyText"/>
      </w:pPr>
      <w:r>
        <w:rPr>
          <w:lang w:val="de-DE"/>
        </w:rPr>
        <w:t>Das Manöver umfasst vier Phasen:</w:t>
      </w:r>
    </w:p>
    <w:p>
      <w:pPr>
        <w:pStyle w:val="BodyText"/>
      </w:pPr>
      <w:r>
        <w:rPr>
          <w:b/>
          <w:lang w:val="de-DE"/>
        </w:rPr>
        <w:t>1. Kontaktaufnahme. Beide Zonen werden gleichzeitig mit sanftem, stabilem und schmerzfreiem Druck kontaktiert.</w:t>
      </w:r>
      <w:r>
        <w:rPr>
          <w:b w:val="0"/>
          <w:lang w:val="de-DE"/>
        </w:rPr>
      </w:r>
    </w:p>
    <w:p>
      <w:pPr>
        <w:pStyle w:val="BodyText"/>
      </w:pPr>
      <w:r>
        <w:rPr>
          <w:b/>
          <w:lang w:val="de-DE"/>
        </w:rPr>
        <w:t>2. Listening. Der Behandler beurteilt die Texturqualität beider Zonen und die Reaktion, die bei ihrer Verbindung entsteht.</w:t>
      </w:r>
      <w:r>
        <w:rPr>
          <w:b w:val="0"/>
          <w:lang w:val="de-DE"/>
        </w:rPr>
      </w:r>
    </w:p>
    <w:p>
      <w:pPr>
        <w:pStyle w:val="BodyText"/>
      </w:pPr>
      <w:r>
        <w:rPr>
          <w:b/>
          <w:lang w:val="de-DE"/>
        </w:rPr>
        <w:t>3. Induktion. Zeigt das Listening eine behandlungsbedürftige Reaktion, wird die betreffende Reflexzone beziehungsweise werden die betreffenden Reflexzonen sanft und präzise manuell stimuliert.</w:t>
      </w:r>
      <w:r>
        <w:rPr>
          <w:b w:val="0"/>
          <w:lang w:val="de-DE"/>
        </w:rPr>
      </w:r>
    </w:p>
    <w:p>
      <w:pPr>
        <w:pStyle w:val="BodyText"/>
      </w:pPr>
      <w:r>
        <w:rPr>
          <w:b/>
          <w:lang w:val="de-DE"/>
        </w:rPr>
        <w:t>4. Ruhe, Beobachtung und erneute Beurteilung. Der Kontakt wird für die Dauer der Gewebereaktion aufrechterhalten; anschließend werden die Zonen erneut beurteilt, um mögliche Veränderungen zu erfassen.</w:t>
      </w:r>
      <w:r>
        <w:rPr>
          <w:b w:val="0"/>
          <w:lang w:val="de-DE"/>
        </w:rPr>
      </w:r>
    </w:p>
    <w:p>
      <w:pPr>
        <w:pStyle w:val="BodyText"/>
      </w:pPr>
      <w:r>
        <w:rPr>
          <w:lang w:val="de-DE"/>
        </w:rPr>
        <w:t>Der Ausgleich ersetzt weder die anatomische noch die autonome oder lokale und regionale Behandlung des Organs. Er ergänzt diese, wenn das klinische Listening eine relevante viszero-emotionale Komponente erkennen lässt. Er darf nicht als mechanische, ausschließliche Entsprechung zwischen einer bestimmten Emotion und einem bestimmten Organ verstanden werden. Anamnese, Stresskontext, Erleben und adaptive Kapazitäten des Patienten modulieren den Ausdruck dieser Beziehung. Die emotionale Kartierung in ROP dient der Orientierung beim Listening und bei der Behandlung; sie wird nicht als vorgegebenes Schema zur Interpretation des Patienten verwendet.</w:t>
      </w:r>
    </w:p>
    <w:p>
      <w:pPr>
        <w:pStyle w:val="BodyText"/>
      </w:pPr>
      <w:r>
        <w:rPr>
          <w:lang w:val="de-DE"/>
        </w:rPr>
        <w:t>Diese Verknüpfung setzt keine nachgewiesene direkte anatomische Verbindung zwischen der palpatorisch untersuchten Zone und einer bestimmten limbischen Struktur voraus. Supraspinale Bahnen machen eine kontextuelle und absteigende Modulation plausibel, stützen jedoch eine Punkt-zu-Organ-Spezifität deutlich weniger.</w:t>
      </w:r>
    </w:p>
    <w:p>
      <w:pPr>
        <w:pStyle w:val="Heading1"/>
        <w:keepNext/>
        <w:keepLines/>
        <w:widowControl/>
        <w:spacing w:before="200" w:after="80"/>
      </w:pPr>
      <w:r>
        <w:rPr>
          <w:lang w:val="de-DE"/>
        </w:rPr>
        <w:t>5. Klinisches Beispiel: linksseitige Lumboischialgie nach der Geburt</w:t>
      </w:r>
    </w:p>
    <w:p>
      <w:pPr>
        <w:pStyle w:val="BodyText"/>
        <w:spacing w:after="80"/>
        <w:ind w:left="0" w:firstLine="255"/>
        <w:widowControl/>
      </w:pPr>
      <w:r>
        <w:rPr>
          <w:i w:val="0"/>
          <w:lang w:val="de-DE"/>
        </w:rPr>
        <w:t>Frau X, Mitte dreißig, stellt sich mit einer linksseitigen Lumboischialgie vor, die sich mehrere Monate nach der Geburt entwickelt hat.</w:t>
      </w:r>
    </w:p>
    <w:p>
      <w:pPr>
        <w:pStyle w:val="Heading2"/>
        <w:keepNext/>
        <w:keepLines/>
        <w:widowControl/>
        <w:spacing w:before="140" w:after="60"/>
      </w:pPr>
      <w:r>
        <w:rPr>
          <w:lang w:val="de-DE"/>
        </w:rPr>
        <w:t>5.1. Anamnese</w:t>
      </w:r>
    </w:p>
    <w:p>
      <w:pPr>
        <w:pStyle w:val="ListBullet"/>
        <w:spacing w:after="50"/>
        <w:ind w:left="369" w:hanging="170"/>
        <w:widowControl/>
      </w:pPr>
      <w:r>
        <w:rPr>
          <w:lang w:val="de-DE"/>
        </w:rPr>
        <w:t>keine bekannte Traumaanamnese;</w:t>
      </w:r>
    </w:p>
    <w:p>
      <w:pPr>
        <w:pStyle w:val="ListBullet"/>
        <w:spacing w:after="50"/>
        <w:ind w:left="369" w:hanging="170"/>
        <w:widowControl/>
      </w:pPr>
      <w:r>
        <w:rPr>
          <w:lang w:val="de-DE"/>
        </w:rPr>
        <w:t>während der Menstruation verstärkte lumboischialgische Schmerzen;</w:t>
      </w:r>
    </w:p>
    <w:p>
      <w:pPr>
        <w:pStyle w:val="ListBullet"/>
        <w:spacing w:after="50"/>
        <w:ind w:left="369" w:hanging="170"/>
        <w:widowControl/>
      </w:pPr>
      <w:r>
        <w:rPr>
          <w:lang w:val="de-DE"/>
        </w:rPr>
        <w:t>im Gespräch angegebene Belastungsharninkontinenz;</w:t>
      </w:r>
    </w:p>
    <w:p>
      <w:pPr>
        <w:pStyle w:val="ListBullet"/>
        <w:spacing w:after="50"/>
        <w:ind w:left="369" w:hanging="170"/>
        <w:widowControl/>
      </w:pPr>
      <w:r>
        <w:rPr>
          <w:lang w:val="de-DE"/>
        </w:rPr>
        <w:t>prolongierte Geburt bei einer Primipara;</w:t>
      </w:r>
    </w:p>
    <w:p>
      <w:pPr>
        <w:pStyle w:val="ListBullet"/>
        <w:spacing w:after="50"/>
        <w:ind w:left="369" w:hanging="170"/>
        <w:widowControl/>
      </w:pPr>
      <w:r>
        <w:rPr>
          <w:lang w:val="de-DE"/>
        </w:rPr>
        <w:t>gynäkologische Untersuchung ohne festgestellte Auffälligkeit; Röntgenaufnahme mit leichter Verschmälerung des Bandscheibenfachs L5–S1 ohne nachgewiesenen Nervenwurzelkonflikt;</w:t>
      </w:r>
    </w:p>
    <w:p>
      <w:pPr>
        <w:pStyle w:val="ListBullet"/>
        <w:spacing w:after="50"/>
        <w:ind w:left="369" w:hanging="170"/>
        <w:widowControl/>
      </w:pPr>
      <w:r>
        <w:rPr>
          <w:lang w:val="de-DE"/>
        </w:rPr>
        <w:t>deutliche emotionale Belastung, da die Patientin ihre selbstständige berufliche Tätigkeit zeitnah wieder aufnehmen wollte.</w:t>
      </w:r>
    </w:p>
    <w:p>
      <w:pPr>
        <w:pStyle w:val="Heading2"/>
        <w:keepNext/>
        <w:keepLines/>
        <w:widowControl/>
        <w:spacing w:before="140" w:after="60"/>
      </w:pPr>
      <w:r>
        <w:rPr>
          <w:lang w:val="de-DE"/>
        </w:rPr>
        <w:t>5.2. Tests</w:t>
      </w:r>
    </w:p>
    <w:p>
      <w:pPr>
        <w:pStyle w:val="ListBullet"/>
        <w:spacing w:after="50"/>
        <w:ind w:left="369" w:hanging="170"/>
        <w:widowControl/>
      </w:pPr>
      <w:r>
        <w:rPr>
          <w:lang w:val="de-DE"/>
        </w:rPr>
        <w:t>globale Listening-Tests im Stehen und Sitzen zeigen eine tiefe anteriore Rumpfflexion und eine Linksneigung;</w:t>
      </w:r>
    </w:p>
    <w:p>
      <w:pPr>
        <w:pStyle w:val="ListBullet"/>
        <w:spacing w:after="50"/>
        <w:ind w:left="369" w:hanging="170"/>
        <w:widowControl/>
      </w:pPr>
      <w:r>
        <w:rPr>
          <w:lang w:val="de-DE"/>
        </w:rPr>
        <w:t>Wirbeltests zeigen eine mäßige Verminderung der linksseitigen Beweglichkeit auf Höhe L2–L3 und L5–S1 mit Fixierung des linken Iliosakralgelenks und des Steißbeins;</w:t>
      </w:r>
    </w:p>
    <w:p>
      <w:pPr>
        <w:pStyle w:val="ListBullet"/>
        <w:spacing w:after="50"/>
        <w:ind w:left="369" w:hanging="170"/>
        <w:widowControl/>
      </w:pPr>
      <w:r>
        <w:rPr>
          <w:lang w:val="de-DE"/>
        </w:rPr>
        <w:t>in Rückenlage verbessert sich der augmentierte Straight-Leg-Raise-Test, wenn die über der Symphysis pubica liegende Hand leicht nach links und in die Tiefe in Richtung der zervikoisthmischen Region des Uterus geführt wird;</w:t>
      </w:r>
    </w:p>
    <w:p>
      <w:pPr>
        <w:pStyle w:val="ListBullet"/>
        <w:spacing w:after="50"/>
        <w:ind w:left="369" w:hanging="170"/>
        <w:widowControl/>
      </w:pPr>
      <w:r>
        <w:rPr>
          <w:lang w:val="de-DE"/>
        </w:rPr>
        <w:t>in Linksseitenlage zeigt das Listening über dem Unterbauch einen Widerstand gegen die Uterusmobilität;</w:t>
      </w:r>
    </w:p>
    <w:p>
      <w:pPr>
        <w:pStyle w:val="ListBullet"/>
        <w:spacing w:after="50"/>
        <w:ind w:left="369" w:hanging="170"/>
        <w:widowControl/>
      </w:pPr>
      <w:r>
        <w:rPr>
          <w:lang w:val="de-DE"/>
        </w:rPr>
        <w:t>die linke Hüfte weist eine verminderte Innenrotation auf.</w:t>
      </w:r>
    </w:p>
    <w:p>
      <w:pPr>
        <w:pStyle w:val="Heading2"/>
        <w:keepNext/>
        <w:keepLines/>
        <w:widowControl/>
        <w:spacing w:before="140" w:after="60"/>
      </w:pPr>
      <w:r>
        <w:rPr>
          <w:lang w:val="de-DE"/>
        </w:rPr>
        <w:t>5.3. In ROP vorgeschlagene funktionelle Interpretation</w:t>
      </w:r>
    </w:p>
    <w:p>
      <w:pPr>
        <w:pStyle w:val="BodyText"/>
        <w:spacing w:after="80"/>
        <w:ind w:left="0" w:firstLine="255"/>
        <w:widowControl/>
      </w:pPr>
      <w:r>
        <w:rPr>
          <w:i w:val="0"/>
          <w:lang w:val="de-DE"/>
        </w:rPr>
        <w:t>Die Befunde sprechen für einen möglichen Beitrag der Uterus- und Beckenregion zum lokalen und regionalen Syndrom. Unter dieser Arbeitshypothese gilt:</w:t>
      </w:r>
    </w:p>
    <w:p>
      <w:pPr>
        <w:pStyle w:val="ListBullet"/>
        <w:spacing w:after="50"/>
        <w:ind w:left="369" w:hanging="170"/>
        <w:widowControl/>
      </w:pPr>
      <w:r>
        <w:rPr>
          <w:lang w:val="de-DE"/>
        </w:rPr>
        <w:t>das gleichzeitige Vorliegen einer wahrgenommenen Restriktion in der linken uterosakralen Region und einer verminderten Beweglichkeit des linken Iliosakralgelenks stellt eine lokale und regionale Beziehung dar, die untersucht und nach der Behandlung erneut beurteilt werden muss;</w:t>
      </w:r>
    </w:p>
    <w:p>
      <w:pPr>
        <w:pStyle w:val="ListBullet"/>
        <w:spacing w:after="50"/>
        <w:ind w:left="369" w:hanging="170"/>
        <w:widowControl/>
      </w:pPr>
      <w:r>
        <w:rPr>
          <w:lang w:val="de-DE"/>
        </w:rPr>
        <w:t>ein veränderter Tonus des linken M. piriformis kann als somatische Komponente betrachtet werden, die zur Schmerzsymptomatik beitragen kann;</w:t>
      </w:r>
    </w:p>
    <w:p>
      <w:pPr>
        <w:pStyle w:val="ListBullet"/>
        <w:spacing w:after="50"/>
        <w:ind w:left="369" w:hanging="170"/>
        <w:widowControl/>
      </w:pPr>
      <w:r>
        <w:rPr>
          <w:lang w:val="de-DE"/>
        </w:rPr>
        <w:t>regionale Beziehungen zwischen Uterus, Harnblase, Sakrum und Beckenboden werden in die Arbeitshypothese einbezogen und mit Veränderungen der Belastungsinkontinenz und der sakrokokzygealen Beweglichkeit verglichen;</w:t>
      </w:r>
    </w:p>
    <w:p>
      <w:pPr>
        <w:pStyle w:val="ListBullet"/>
        <w:spacing w:after="50"/>
        <w:ind w:left="369" w:hanging="170"/>
        <w:widowControl/>
      </w:pPr>
      <w:r>
        <w:rPr>
          <w:lang w:val="de-DE"/>
        </w:rPr>
        <w:t>Menstruationszyklus und autonomer Zustand werden bei der Beurteilung der Ebene 2 und der gesamten funktionellen Reaktion berücksichtigt;</w:t>
      </w:r>
    </w:p>
    <w:p>
      <w:pPr>
        <w:pStyle w:val="ListBullet"/>
        <w:spacing w:after="50"/>
        <w:ind w:left="369" w:hanging="170"/>
        <w:widowControl/>
      </w:pPr>
      <w:r>
        <w:rPr>
          <w:lang w:val="de-DE"/>
        </w:rPr>
        <w:t>im ROP-Modell wird die sakrokokzygeale Fixierung auch im Zusammenhang mit den meningealen Hüllen und dem PRM betrachtet;</w:t>
      </w:r>
    </w:p>
    <w:p>
      <w:pPr>
        <w:pStyle w:val="ListBullet"/>
        <w:spacing w:after="50"/>
        <w:ind w:left="369" w:hanging="170"/>
        <w:widowControl/>
      </w:pPr>
      <w:r>
        <w:rPr>
          <w:lang w:val="de-DE"/>
        </w:rPr>
        <w:t>der emotionale Kontext und die Angst im Zusammenhang mit den Schmerzen, der noch jungen Mutterschaft und der Rückkehr in den Beruf können zur Aufrechterhaltung der Symptome beitragen.</w:t>
      </w:r>
    </w:p>
    <w:p>
      <w:pPr>
        <w:pStyle w:val="Heading2"/>
        <w:keepNext/>
        <w:keepLines/>
        <w:widowControl/>
        <w:spacing w:before="140" w:after="60"/>
      </w:pPr>
      <w:r>
        <w:rPr>
          <w:lang w:val="de-DE"/>
        </w:rPr>
        <w:t>5.4. ROP-Behandlung</w:t>
      </w:r>
    </w:p>
    <w:p>
      <w:pPr>
        <w:pStyle w:val="BodyText"/>
        <w:spacing w:after="60"/>
        <w:ind w:left="369" w:hanging="312"/>
        <w:widowControl/>
      </w:pPr>
      <w:r>
        <w:rPr>
          <w:b/>
          <w:lang w:val="de-DE"/>
        </w:rPr>
        <w:t>1. Ebene 1 — Zentrale Regulation: okzipitale Reflexzonen, neuromeningeale ROP-Orientierungspunkte, Dienzephalon, Hirnstamm und Hypothalamus-Hypophysen-Achse.</w:t>
      </w:r>
      <w:r>
        <w:rPr>
          <w:lang w:val="de-DE"/>
        </w:rPr>
      </w:r>
      <w:r>
        <w:rPr>
          <w:b/>
          <w:lang w:val="de-DE"/>
        </w:rPr>
      </w:r>
      <w:r>
        <w:rPr>
          <w:b w:val="0"/>
          <w:lang w:val="de-DE"/>
        </w:rPr>
      </w:r>
    </w:p>
    <w:p>
      <w:pPr>
        <w:pStyle w:val="BodyText"/>
        <w:spacing w:after="60"/>
        <w:ind w:left="369" w:hanging="312"/>
        <w:widowControl/>
      </w:pPr>
      <w:r>
        <w:rPr>
          <w:b/>
          <w:lang w:val="de-DE"/>
        </w:rPr>
        <w:t>2. Ebene 2 — Autonome Regulation und Anpassung: Zwerchfell, sympathische und parasympathische Bahnen, Nebennieren, sakrale Beckenbahnen und Beckenplexus entsprechend den Testergebnissen.</w:t>
      </w:r>
      <w:r>
        <w:rPr>
          <w:lang w:val="de-DE"/>
        </w:rPr>
      </w:r>
      <w:r>
        <w:rPr>
          <w:b/>
          <w:lang w:val="de-DE"/>
        </w:rPr>
      </w:r>
      <w:r>
        <w:rPr>
          <w:b w:val="0"/>
          <w:lang w:val="de-DE"/>
        </w:rPr>
      </w:r>
    </w:p>
    <w:p>
      <w:pPr>
        <w:pStyle w:val="BodyText"/>
        <w:spacing w:after="60"/>
        <w:ind w:left="369" w:hanging="312"/>
        <w:widowControl/>
      </w:pPr>
      <w:r>
        <w:rPr>
          <w:b/>
          <w:lang w:val="de-DE"/>
        </w:rPr>
        <w:t>3. Ebene 3 — Lokale und regionale viszerale Regulation: zervikoisthmische Region des Uterus, Beckenhöhle sowie lokale und regionale Beziehungen, insbesondere die bei der Untersuchung identifizierten Bandstrukturen.</w:t>
      </w:r>
      <w:r>
        <w:rPr>
          <w:lang w:val="de-DE"/>
        </w:rPr>
      </w:r>
      <w:r>
        <w:rPr>
          <w:b/>
          <w:lang w:val="de-DE"/>
        </w:rPr>
      </w:r>
      <w:r>
        <w:rPr>
          <w:b w:val="0"/>
          <w:lang w:val="de-DE"/>
        </w:rPr>
      </w:r>
    </w:p>
    <w:p>
      <w:pPr>
        <w:pStyle w:val="BodyText"/>
        <w:spacing w:after="60"/>
        <w:ind w:left="369" w:hanging="312"/>
        <w:widowControl/>
      </w:pPr>
      <w:r>
        <w:rPr>
          <w:b/>
          <w:lang w:val="de-DE"/>
        </w:rPr>
        <w:t>4. Ebene 4 — Viszerosomatische und viszero-emotionale Integration: N. pudendus, Plexus sacralis, M. piriformis, Sakrokokzygeal- und Iliosakralgelenke sowie Verlauf des linken N. ischiadicus; insuläre und limbische Netzwerke, sofern durch den klinischen Kontext angezeigt.</w:t>
      </w:r>
      <w:r>
        <w:rPr>
          <w:lang w:val="de-DE"/>
        </w:rPr>
      </w:r>
      <w:r>
        <w:rPr>
          <w:b/>
          <w:lang w:val="de-DE"/>
        </w:rPr>
      </w:r>
      <w:r>
        <w:rPr>
          <w:b w:val="0"/>
          <w:lang w:val="de-DE"/>
        </w:rPr>
      </w:r>
    </w:p>
    <w:p>
      <w:pPr>
        <w:pStyle w:val="BodyText"/>
        <w:spacing w:after="80"/>
        <w:ind w:left="0" w:firstLine="255"/>
        <w:widowControl/>
      </w:pPr>
      <w:r>
        <w:rPr>
          <w:i w:val="0"/>
          <w:lang w:val="de-DE"/>
        </w:rPr>
        <w:t>Veränderungen des Hauptsymptoms, der Beweglichkeit, der Belastungsinkontinenz, des Schlafs und der Vitalität müssen nach der Sitzung dokumentiert werden, um diese Priorisierung zu bestätigen oder infrage zu stellen.</w:t>
      </w:r>
    </w:p>
    <w:p>
      <w:pPr>
        <w:pStyle w:val="Heading1"/>
        <w:keepNext/>
        <w:keepLines/>
        <w:widowControl/>
        <w:spacing w:before="200" w:after="80"/>
      </w:pPr>
      <w:r>
        <w:rPr>
          <w:lang w:val="de-DE"/>
        </w:rPr>
        <w:t>6. Kontraindikationen und Warnzeichen</w:t>
      </w:r>
    </w:p>
    <w:p>
      <w:pPr>
        <w:pStyle w:val="BodyText"/>
        <w:spacing w:after="80"/>
        <w:ind w:left="0" w:firstLine="255"/>
        <w:widowControl/>
      </w:pPr>
      <w:r>
        <w:rPr>
          <w:i w:val="0"/>
          <w:lang w:val="de-DE"/>
        </w:rPr>
        <w:t>ROP ist Teil eines funktionellen Behandlungsansatzes. Jeder Verdacht auf eine organische Erkrankung, Komplikation oder ein Warnzeichen erfordert eine medizinische Abklärung. Scheinbar geringfügige Symptome können auf eine ernsthafte Erkrankung hinweisen; entsprechend dem Vorsorgeprinzip muss der Behandler Situationen erkennen, in denen keine Behandlung durchgeführt werden sollte.</w:t>
      </w:r>
    </w:p>
    <w:p>
      <w:pPr>
        <w:pStyle w:val="BodyText"/>
        <w:spacing w:after="80"/>
        <w:ind w:left="0" w:firstLine="255"/>
        <w:widowControl/>
      </w:pPr>
      <w:r>
        <w:rPr>
          <w:i w:val="0"/>
          <w:lang w:val="de-DE"/>
        </w:rPr>
        <w:t>Insbesondere folgende Zeichen sollten zu einer erneuten Beurteilung und je nach Kontext zu einer Überweisung führen:</w:t>
      </w:r>
    </w:p>
    <w:p>
      <w:pPr>
        <w:pStyle w:val="ListBullet"/>
        <w:spacing w:after="50"/>
        <w:ind w:left="369" w:hanging="170"/>
        <w:widowControl/>
      </w:pPr>
      <w:r>
        <w:rPr>
          <w:lang w:val="de-DE"/>
        </w:rPr>
        <w:t>nichtmechanischer Schmerz, der in der ersten Nachthälfte anhält oder sich verstärkt;</w:t>
      </w:r>
    </w:p>
    <w:p>
      <w:pPr>
        <w:pStyle w:val="ListBullet"/>
        <w:spacing w:after="50"/>
        <w:ind w:left="369" w:hanging="170"/>
        <w:widowControl/>
      </w:pPr>
      <w:r>
        <w:rPr>
          <w:lang w:val="de-DE"/>
        </w:rPr>
        <w:t>atypischer Brustschmerz, Dyspnoe oder Malaise;</w:t>
      </w:r>
    </w:p>
    <w:p>
      <w:pPr>
        <w:pStyle w:val="ListBullet"/>
        <w:spacing w:after="50"/>
        <w:ind w:left="369" w:hanging="170"/>
        <w:widowControl/>
      </w:pPr>
      <w:r>
        <w:rPr>
          <w:lang w:val="de-DE"/>
        </w:rPr>
        <w:t>Blut im Urin oder Stuhl;</w:t>
      </w:r>
    </w:p>
    <w:p>
      <w:pPr>
        <w:pStyle w:val="ListBullet"/>
        <w:spacing w:after="50"/>
        <w:ind w:left="369" w:hanging="170"/>
        <w:widowControl/>
      </w:pPr>
      <w:r>
        <w:rPr>
          <w:lang w:val="de-DE"/>
        </w:rPr>
        <w:t>Fieber oder Verdacht auf eine Infektionserkrankung;</w:t>
      </w:r>
    </w:p>
    <w:p>
      <w:pPr>
        <w:pStyle w:val="ListBullet"/>
        <w:spacing w:after="50"/>
        <w:ind w:left="369" w:hanging="170"/>
        <w:widowControl/>
      </w:pPr>
      <w:r>
        <w:rPr>
          <w:lang w:val="de-DE"/>
        </w:rPr>
        <w:t>ungeklärter Gewichtsverlust;</w:t>
      </w:r>
    </w:p>
    <w:p>
      <w:pPr>
        <w:pStyle w:val="ListBullet"/>
        <w:spacing w:after="50"/>
        <w:ind w:left="369" w:hanging="170"/>
        <w:widowControl/>
      </w:pPr>
      <w:r>
        <w:rPr>
          <w:lang w:val="de-DE"/>
        </w:rPr>
        <w:t>bekanntes Risiko einer Thrombusmigration;</w:t>
      </w:r>
    </w:p>
    <w:p>
      <w:pPr>
        <w:pStyle w:val="ListBullet"/>
        <w:spacing w:after="50"/>
        <w:ind w:left="369" w:hanging="170"/>
        <w:widowControl/>
      </w:pPr>
      <w:r>
        <w:rPr>
          <w:lang w:val="de-DE"/>
        </w:rPr>
        <w:t>Blässe in Verbindung mit ausgeprägter Müdigkeit;</w:t>
      </w:r>
    </w:p>
    <w:p>
      <w:pPr>
        <w:pStyle w:val="ListBullet"/>
        <w:spacing w:after="50"/>
        <w:ind w:left="369" w:hanging="170"/>
        <w:widowControl/>
      </w:pPr>
      <w:r>
        <w:rPr>
          <w:lang w:val="de-DE"/>
        </w:rPr>
        <w:t>neurologisches Defizit, neu aufgetretene Sphinkterstörung oder progrediente Sensibilitätsstörungen;</w:t>
      </w:r>
    </w:p>
    <w:p>
      <w:pPr>
        <w:pStyle w:val="ListBullet"/>
        <w:spacing w:after="50"/>
        <w:ind w:left="369" w:hanging="170"/>
        <w:widowControl/>
      </w:pPr>
      <w:r>
        <w:rPr>
          <w:lang w:val="de-DE"/>
        </w:rPr>
        <w:t>akute Angst, Todesangst oder ungewöhnliche Verschlechterung des Allgemeinzustands;</w:t>
      </w:r>
    </w:p>
    <w:p>
      <w:pPr>
        <w:pStyle w:val="ListBullet"/>
        <w:spacing w:after="50"/>
        <w:ind w:left="369" w:hanging="170"/>
        <w:widowControl/>
      </w:pPr>
      <w:r>
        <w:rPr>
          <w:lang w:val="de-DE"/>
        </w:rPr>
        <w:t>eine ungeklärte klinische Situation oder eine Situation außerhalb des Kompetenzbereichs des Behandlers.</w:t>
      </w:r>
    </w:p>
    <w:p>
      <w:pPr>
        <w:pStyle w:val="BodyText"/>
        <w:spacing w:after="80"/>
        <w:ind w:left="0" w:firstLine="255"/>
        <w:widowControl/>
      </w:pPr>
      <w:r>
        <w:rPr>
          <w:i w:val="0"/>
          <w:lang w:val="de-DE"/>
        </w:rPr>
        <w:t>ROP darf eine medizinische Diagnostik niemals verzögern oder eine angemessenere medizinische Behandlung ersetzen. Innerhalb eines integrativen Ansatzes kann ROP eine ergänzende Rolle spielen, insbesondere zur Unterstützung bestimmter funktioneller Symptome oder des Wohlbefindens des Patienten, sofern erforderlich in Abstimmung mit dem medizinischen Behandlungsteam.</w:t>
      </w:r>
    </w:p>
    <w:p>
      <w:pPr>
        <w:pStyle w:val="Heading1"/>
        <w:keepNext/>
        <w:keepLines/>
        <w:widowControl/>
        <w:spacing w:before="200" w:after="80"/>
      </w:pPr>
      <w:r>
        <w:rPr>
          <w:lang w:val="de-DE"/>
        </w:rPr>
        <w:t>7. Indikationen</w:t>
      </w:r>
    </w:p>
    <w:p>
      <w:pPr>
        <w:pStyle w:val="BodyText"/>
        <w:spacing w:after="80"/>
        <w:ind w:left="0" w:firstLine="255"/>
        <w:widowControl/>
      </w:pPr>
      <w:r>
        <w:rPr>
          <w:i w:val="0"/>
          <w:lang w:val="de-DE"/>
        </w:rPr>
        <w:t>Die Indikationen beruhen auf Anamnese, klinischer Untersuchung, Tests, der Konsistenz der Befunde an den Reflexzonen und der Priorisierung entsprechend dem funktionellen Gesamtzustand des Patienten. ROP richtet sich in erster Linie an funktionelle Störungen, nachdem eine organische Erkrankung, die eine spezifische medizinische Behandlung erfordert, ausgeschlossen wurde.</w:t>
      </w:r>
    </w:p>
    <w:p>
      <w:pPr>
        <w:pStyle w:val="BodyText"/>
        <w:spacing w:after="80"/>
        <w:ind w:left="0" w:firstLine="255"/>
        <w:widowControl/>
      </w:pPr>
      <w:r>
        <w:rPr>
          <w:i w:val="0"/>
          <w:lang w:val="de-DE"/>
        </w:rPr>
        <w:t>Häufig anzutreffende Situationen sind:</w:t>
      </w:r>
    </w:p>
    <w:p>
      <w:pPr>
        <w:pStyle w:val="ListBullet"/>
        <w:spacing w:after="50"/>
        <w:ind w:left="369" w:hanging="170"/>
        <w:widowControl/>
      </w:pPr>
      <w:r>
        <w:rPr>
          <w:lang w:val="de-DE"/>
        </w:rPr>
        <w:t>muskuloskelettale Schmerzen mit funktioneller Komponente;</w:t>
      </w:r>
    </w:p>
    <w:p>
      <w:pPr>
        <w:pStyle w:val="ListBullet"/>
        <w:spacing w:after="50"/>
        <w:ind w:left="369" w:hanging="170"/>
        <w:widowControl/>
      </w:pPr>
      <w:r>
        <w:rPr>
          <w:lang w:val="de-DE"/>
        </w:rPr>
        <w:t>Folgezustände muskuloskelettaler Traumata;</w:t>
      </w:r>
    </w:p>
    <w:p>
      <w:pPr>
        <w:pStyle w:val="ListBullet"/>
        <w:spacing w:after="50"/>
        <w:ind w:left="369" w:hanging="170"/>
        <w:widowControl/>
      </w:pPr>
      <w:r>
        <w:rPr>
          <w:lang w:val="de-DE"/>
        </w:rPr>
        <w:t>funktionelle Folgezustände nach Verletzungen spinaler oder kranialer Nerven;</w:t>
      </w:r>
    </w:p>
    <w:p>
      <w:pPr>
        <w:pStyle w:val="ListBullet"/>
        <w:spacing w:after="50"/>
        <w:ind w:left="369" w:hanging="170"/>
        <w:widowControl/>
      </w:pPr>
      <w:r>
        <w:rPr>
          <w:lang w:val="de-DE"/>
        </w:rPr>
        <w:t>viszerale Funktionsstörungen in Verbindung mit Geweberestriktionen und autonomen Regelkreisen im ROP-Modell;</w:t>
      </w:r>
    </w:p>
    <w:p>
      <w:pPr>
        <w:pStyle w:val="ListBullet"/>
        <w:spacing w:after="50"/>
        <w:ind w:left="369" w:hanging="170"/>
        <w:widowControl/>
      </w:pPr>
      <w:r>
        <w:rPr>
          <w:lang w:val="de-DE"/>
        </w:rPr>
        <w:t>viszerosomatische und somatoviszerale Störungen;</w:t>
      </w:r>
    </w:p>
    <w:p>
      <w:pPr>
        <w:pStyle w:val="ListBullet"/>
        <w:spacing w:after="50"/>
        <w:ind w:left="369" w:hanging="170"/>
        <w:widowControl/>
      </w:pPr>
      <w:r>
        <w:rPr>
          <w:lang w:val="de-DE"/>
        </w:rPr>
        <w:t>funktionelles autonomes Ungleichgewicht;</w:t>
      </w:r>
    </w:p>
    <w:p>
      <w:pPr>
        <w:pStyle w:val="ListBullet"/>
        <w:spacing w:after="50"/>
        <w:ind w:left="369" w:hanging="170"/>
        <w:widowControl/>
      </w:pPr>
      <w:r>
        <w:rPr>
          <w:lang w:val="de-DE"/>
        </w:rPr>
        <w:t>emotionaler Stress und Angst als Ergänzung zu einer angemessenen Versorgung.</w:t>
      </w:r>
    </w:p>
    <w:p>
      <w:pPr>
        <w:pStyle w:val="Heading1"/>
        <w:keepNext/>
        <w:keepLines/>
        <w:widowControl/>
        <w:spacing w:before="200" w:after="80"/>
      </w:pPr>
      <w:r>
        <w:rPr>
          <w:lang w:val="de-DE"/>
        </w:rPr>
        <w:t>8. Angestrebte und beobachtete Wirkungen</w:t>
      </w:r>
    </w:p>
    <w:p>
      <w:pPr>
        <w:pStyle w:val="BodyText"/>
        <w:spacing w:after="80"/>
        <w:ind w:left="0" w:firstLine="255"/>
        <w:widowControl/>
      </w:pPr>
      <w:r>
        <w:rPr>
          <w:i w:val="0"/>
          <w:lang w:val="de-DE"/>
        </w:rPr>
        <w:t>Klinische Ergebnisse von ROP werden häufig von Patienten berichtet und während der Tests beobachtet, können jedoch objektiv schwer messbar bleiben. Zu den angestrebten oder häufig berichteten Wirkungen gehören:</w:t>
      </w:r>
    </w:p>
    <w:p>
      <w:pPr>
        <w:pStyle w:val="ListBullet"/>
        <w:spacing w:after="50"/>
        <w:ind w:left="369" w:hanging="170"/>
        <w:widowControl/>
      </w:pPr>
      <w:r>
        <w:rPr>
          <w:lang w:val="de-DE"/>
        </w:rPr>
        <w:t>Verringerung von Schmerzen oder Beschwerden;</w:t>
      </w:r>
    </w:p>
    <w:p>
      <w:pPr>
        <w:pStyle w:val="ListBullet"/>
        <w:spacing w:after="50"/>
        <w:ind w:left="369" w:hanging="170"/>
        <w:widowControl/>
      </w:pPr>
      <w:r>
        <w:rPr>
          <w:lang w:val="de-DE"/>
        </w:rPr>
        <w:t>Zeichen, die mit einer Veränderung des autonomen Zustands vereinbar sind: Ruhe, Gähnen, Schläfrigkeit, ausgeprägte Entspannung oder Ruhebedürfnis;</w:t>
      </w:r>
    </w:p>
    <w:p>
      <w:pPr>
        <w:pStyle w:val="ListBullet"/>
        <w:spacing w:after="50"/>
        <w:ind w:left="369" w:hanging="170"/>
        <w:widowControl/>
      </w:pPr>
      <w:r>
        <w:rPr>
          <w:lang w:val="de-DE"/>
        </w:rPr>
        <w:t>Veränderungen der Darmpassage, Diurese oder viszeraler Empfindungen;</w:t>
      </w:r>
    </w:p>
    <w:p>
      <w:pPr>
        <w:pStyle w:val="ListBullet"/>
        <w:spacing w:after="50"/>
        <w:ind w:left="369" w:hanging="170"/>
        <w:widowControl/>
      </w:pPr>
      <w:r>
        <w:rPr>
          <w:lang w:val="de-DE"/>
        </w:rPr>
        <w:t>veränderte Beweglichkeit in einem vor der Sitzung identifizierten somatischen oder lokalen und regionalen Gebiet;</w:t>
      </w:r>
    </w:p>
    <w:p>
      <w:pPr>
        <w:pStyle w:val="ListBullet"/>
        <w:spacing w:after="50"/>
        <w:ind w:left="369" w:hanging="170"/>
        <w:widowControl/>
      </w:pPr>
      <w:r>
        <w:rPr>
          <w:lang w:val="de-DE"/>
        </w:rPr>
        <w:t>Verbesserung von Schlaf, Energie und funktioneller Leistungsfähigkeit.</w:t>
      </w:r>
    </w:p>
    <w:p>
      <w:pPr>
        <w:pStyle w:val="BodyText"/>
        <w:spacing w:after="80"/>
        <w:ind w:left="0" w:firstLine="255"/>
        <w:widowControl/>
      </w:pPr>
      <w:r>
        <w:rPr>
          <w:i w:val="0"/>
          <w:lang w:val="de-DE"/>
        </w:rPr>
        <w:t>Diese Wirkungen müssen anhand von vor der Sitzung definierten Indikatoren beurteilt werden: Hauptsymptom, Schmerz oder Beschwerden, Beweglichkeit, Schlaf, Darmfunktion, Energie und Fähigkeit zur Wiederaufnahme von Aktivitäten. Ziel ist nicht lediglich, einen allgemeinen Eindruck festzuhalten, sondern den Verlauf mit einem klar beschriebenen Ausgangsniveau zu vergleichen.</w:t>
      </w:r>
    </w:p>
    <w:p>
      <w:pPr>
        <w:pStyle w:val="Heading1"/>
        <w:keepNext/>
        <w:keepLines/>
        <w:widowControl/>
        <w:spacing w:before="200" w:after="80"/>
      </w:pPr>
      <w:r>
        <w:rPr>
          <w:lang w:val="de-DE"/>
        </w:rPr>
        <w:t>9. Reaktionen nach der Behandlung und erneute Beurteilung</w:t>
      </w:r>
    </w:p>
    <w:p>
      <w:pPr>
        <w:spacing w:before="100" w:after="60"/>
        <w:jc w:val="center"/>
        <w:widowControl/>
      </w:pPr>
      <w:r>
        <w:drawing>
          <wp:inline xmlns:a="http://schemas.openxmlformats.org/drawingml/2006/main" xmlns:pic="http://schemas.openxmlformats.org/drawingml/2006/picture">
            <wp:extent cx="6044184" cy="3401661"/>
            <wp:docPr id="1" name="Picture 1"/>
            <wp:cNvGraphicFramePr>
              <a:graphicFrameLocks noChangeAspect="1"/>
            </wp:cNvGraphicFramePr>
            <a:graphic>
              <a:graphicData uri="http://schemas.openxmlformats.org/drawingml/2006/picture">
                <pic:pic>
                  <pic:nvPicPr>
                    <pic:cNvPr id="0" name="Figure_2_1_fenetre_adaptation_revisee.png"/>
                    <pic:cNvPicPr/>
                  </pic:nvPicPr>
                  <pic:blipFill>
                    <a:blip r:embed="rId13"/>
                    <a:stretch>
                      <a:fillRect/>
                    </a:stretch>
                  </pic:blipFill>
                  <pic:spPr>
                    <a:xfrm>
                      <a:off x="0" y="0"/>
                      <a:ext cx="6044184" cy="3401661"/>
                    </a:xfrm>
                    <a:prstGeom prst="rect"/>
                  </pic:spPr>
                </pic:pic>
              </a:graphicData>
            </a:graphic>
          </wp:inline>
        </w:drawing>
      </w:r>
    </w:p>
    <w:p>
      <w:pPr>
        <w:pStyle w:val="Caption"/>
        <w:spacing w:before="80" w:after="120"/>
        <w:jc w:val="center"/>
        <w:keepNext/>
        <w:widowControl/>
      </w:pPr>
      <w:r>
        <w:rPr>
          <w:i/>
          <w:lang w:val="de-DE"/>
        </w:rPr>
        <w:t>Abbildung 2.1 — Adaptationsfenster nach der ersten Sitzung. Diese Kurve stellt ein aus klinischer Erfahrung abgeleitetes Modell dar. Die vertikale Achse beschreibt ein klinisches Funktionsniveau und keine gemessene physiologische Variable; der zeitliche Verlauf sollte zunehmend mithilfe standardisierter Messungen dokumentiert werden.</w:t>
      </w:r>
    </w:p>
    <w:p>
      <w:pPr>
        <w:pStyle w:val="Heading2"/>
        <w:keepNext/>
        <w:keepLines/>
        <w:widowControl/>
        <w:spacing w:before="140" w:after="60"/>
      </w:pPr>
      <w:r>
        <w:rPr>
          <w:lang w:val="de-DE"/>
        </w:rPr>
        <w:t>9.1. Unmittelbare Reaktionen</w:t>
      </w:r>
    </w:p>
    <w:p>
      <w:pPr>
        <w:pStyle w:val="BodyText"/>
        <w:spacing w:after="80"/>
        <w:ind w:left="0" w:firstLine="255"/>
        <w:widowControl/>
      </w:pPr>
      <w:r>
        <w:rPr>
          <w:i w:val="0"/>
          <w:lang w:val="de-DE"/>
        </w:rPr>
        <w:t>Am häufigsten erlebt der Patient eine Entspannung. Schläfrigkeit, Ruhebedürfnis, Harndrang oder Stuhldrang können ebenfalls auftreten. Unmittelbar nach der Sitzung kann vorübergehend eine Verminderung der Energie empfunden werden.</w:t>
      </w:r>
    </w:p>
    <w:p>
      <w:pPr>
        <w:pStyle w:val="Heading2"/>
        <w:keepNext/>
        <w:keepLines/>
        <w:widowControl/>
        <w:spacing w:before="140" w:after="60"/>
      </w:pPr>
      <w:r>
        <w:rPr>
          <w:lang w:val="de-DE"/>
        </w:rPr>
        <w:t>9.2. Innerhalb von 24–48 Stunden</w:t>
      </w:r>
    </w:p>
    <w:p>
      <w:pPr>
        <w:pStyle w:val="BodyText"/>
        <w:spacing w:after="80"/>
        <w:ind w:left="0" w:firstLine="255"/>
        <w:widowControl/>
      </w:pPr>
      <w:r>
        <w:rPr>
          <w:i w:val="0"/>
          <w:lang w:val="de-DE"/>
        </w:rPr>
        <w:t>Bei manchen Patienten können Muskelschmerzen, leichte Ermüdbarkeit, veränderter Schlaf, lebhaftere Träume oder wiederauftauchende Erinnerungen auftreten. Diese Reaktionen sind vorübergehend, unterscheiden sich individuell und treten nicht systematisch auf. Ihr Ausbleiben bedeutet nicht, dass die Behandlung unwirksam ist.</w:t>
      </w:r>
    </w:p>
    <w:p>
      <w:pPr>
        <w:pStyle w:val="Heading2"/>
        <w:keepNext/>
        <w:keepLines/>
        <w:widowControl/>
        <w:spacing w:before="140" w:after="60"/>
      </w:pPr>
      <w:r>
        <w:rPr>
          <w:lang w:val="de-DE"/>
        </w:rPr>
        <w:t>9.3. Im Verlauf der folgenden Tage</w:t>
      </w:r>
    </w:p>
    <w:p>
      <w:pPr>
        <w:pStyle w:val="BodyText"/>
        <w:spacing w:after="80"/>
        <w:ind w:left="0" w:firstLine="255"/>
        <w:widowControl/>
      </w:pPr>
      <w:r>
        <w:rPr>
          <w:i w:val="0"/>
          <w:lang w:val="de-DE"/>
        </w:rPr>
        <w:t>Das Funktionsniveau des Patienten kann sich allmählich seinem üblichen Niveau annähern. Diese Veränderung kann mit einer Abnahme des Hauptsymptoms und Verbesserungen von Schlaf, Darmfunktion, Energie oder funktioneller Leistungsfähigkeit einhergehen.</w:t>
      </w:r>
    </w:p>
    <w:p>
      <w:pPr>
        <w:pStyle w:val="Heading2"/>
        <w:keepNext/>
        <w:keepLines/>
        <w:widowControl/>
        <w:spacing w:before="140" w:after="60"/>
      </w:pPr>
      <w:r>
        <w:rPr>
          <w:lang w:val="de-DE"/>
        </w:rPr>
        <w:t>9.4. Entscheidungspunkt an den Tagen 3–4</w:t>
      </w:r>
    </w:p>
    <w:p>
      <w:pPr>
        <w:pStyle w:val="BodyText"/>
        <w:spacing w:after="80"/>
        <w:ind w:left="0" w:firstLine="255"/>
        <w:widowControl/>
      </w:pPr>
      <w:r>
        <w:rPr>
          <w:i w:val="0"/>
          <w:lang w:val="de-DE"/>
        </w:rPr>
        <w:t>An den Tagen 3–4 beurteilen Behandler und Patient den Verlauf erneut:</w:t>
      </w:r>
    </w:p>
    <w:p>
      <w:pPr>
        <w:pStyle w:val="ListBullet"/>
        <w:spacing w:after="50"/>
        <w:ind w:left="369" w:hanging="170"/>
        <w:widowControl/>
      </w:pPr>
      <w:r>
        <w:rPr>
          <w:lang w:val="de-DE"/>
        </w:rPr>
        <w:t>wenn das Hauptsymptom abgeklungen oder deutlich gebessert ist und die übliche Funktionsfähigkeit wiederhergestellt wurde, gilt das funktionelle Ziel zu diesem Zeitpunkt als erreicht; kurzfristig ist keine weitere Sitzung erforderlich;</w:t>
      </w:r>
    </w:p>
    <w:p>
      <w:pPr>
        <w:pStyle w:val="ListBullet"/>
        <w:spacing w:after="50"/>
        <w:ind w:left="369" w:hanging="170"/>
        <w:widowControl/>
      </w:pPr>
      <w:r>
        <w:rPr>
          <w:lang w:val="de-DE"/>
        </w:rPr>
        <w:t>wenn die Besserung unvollständig bleibt, kann eine zweite Sitzung angeboten werden;</w:t>
      </w:r>
    </w:p>
    <w:p>
      <w:pPr>
        <w:pStyle w:val="ListBullet"/>
        <w:spacing w:after="50"/>
        <w:ind w:left="369" w:hanging="170"/>
        <w:widowControl/>
      </w:pPr>
      <w:r>
        <w:rPr>
          <w:lang w:val="de-DE"/>
        </w:rPr>
        <w:t>wenn die Reaktion ausbleibt, atypisch oder unerwünscht ist, müssen Priorisierung und Indikation neu bewertet werden.</w:t>
      </w:r>
    </w:p>
    <w:p>
      <w:pPr>
        <w:pStyle w:val="BodyText"/>
        <w:spacing w:after="80"/>
        <w:ind w:left="0" w:firstLine="255"/>
        <w:widowControl/>
      </w:pPr>
      <w:r>
        <w:rPr>
          <w:i w:val="0"/>
          <w:lang w:val="de-DE"/>
        </w:rPr>
        <w:t>Das funktionelle Ziel beschreibt den Verlauf der vorliegenden Beschwerde; es bedeutet nicht, dass eine zugrunde liegende organische Erkrankung geheilt wurde oder dass ein bestimmter Kausalmechanismus bestätigt ist.</w:t>
      </w:r>
    </w:p>
    <w:p>
      <w:pPr>
        <w:pStyle w:val="Heading2"/>
        <w:keepNext/>
        <w:keepLines/>
        <w:widowControl/>
        <w:spacing w:before="140" w:after="60"/>
      </w:pPr>
      <w:r>
        <w:rPr>
          <w:lang w:val="de-DE"/>
        </w:rPr>
        <w:t>9.5. Ungewöhnliche Reaktionen</w:t>
      </w:r>
    </w:p>
    <w:p>
      <w:pPr>
        <w:pStyle w:val="BodyText"/>
        <w:spacing w:after="80"/>
        <w:ind w:left="0" w:firstLine="255"/>
        <w:widowControl/>
      </w:pPr>
      <w:r>
        <w:rPr>
          <w:i w:val="0"/>
          <w:lang w:val="de-DE"/>
        </w:rPr>
        <w:t>Sind die Reaktionen ausgeprägt, halten sie länger als 72 Stunden an oder gehen sie mit ungewöhnlichen oder besorgniserregenden Zeichen einher, muss die Situation neu beurteilt werden. Wenn der Kontext dies erfordert, wird der Patient an einen Arzt überwiesen.</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lang w:val="de-DE"/>
              </w:rPr>
              <w:t>Zur ROP-Rückmeldung mit SuiviPatient beitragen</w:t>
            </w:r>
          </w:p>
          <w:p>
            <w:pPr>
              <w:keepLines/>
              <w:spacing w:after="60" w:line="259" w:lineRule="auto"/>
            </w:pPr>
            <w:r>
              <w:rPr>
                <w:lang w:val="de-DE"/>
              </w:rPr>
              <w:t>Die in diesem Kapitel beschriebene zeitliche Abfolge und die Reaktionen beruhen überwiegend auf der klinischen Erfahrung der Behandler. Um sie besser zu dokumentieren, kann die Anwendung SuiviPatient in regelmäßigen Abständen einfache Indikatoren im Vergleich zum Ausgangsniveau erfassen: Hauptsymptom, Schmerz oder Beschwerden, Vitalität, Schlaf, viszerale Funktionen, funktionelle Leistungsfähigkeit und ungewöhnliche Reaktionen.</w:t>
            </w:r>
          </w:p>
          <w:p>
            <w:pPr>
              <w:keepLines/>
              <w:spacing w:after="60" w:line="259" w:lineRule="auto"/>
            </w:pPr>
            <w:r>
              <w:rPr>
                <w:lang w:val="de-DE"/>
              </w:rPr>
              <w:t>Behandler, die dieses Buch lesen, der ROP-Community beitreten und die Anwendung SuiviPatient kostenlos mit ihren Patienten nutzen möchten, sind eingeladen, uns zu kontaktieren. Dieses Vorgehen muss die Einwilligung des Patienten und die Vertraulichkeit der erhobenen Informationen wahren.</w:t>
            </w:r>
          </w:p>
        </w:tc>
      </w:tr>
    </w:tbl>
    <w:p>
      <w:pPr>
        <w:spacing w:after="0"/>
        <w:widowControl/>
      </w:pPr>
    </w:p>
    <w:p>
      <w:pPr>
        <w:pStyle w:val="Heading1"/>
        <w:keepNext/>
        <w:keepLines/>
        <w:widowControl/>
        <w:spacing w:before="200" w:after="80"/>
      </w:pPr>
      <w:r>
        <w:rPr>
          <w:lang w:val="de-DE"/>
        </w:rPr>
        <w:t>10. Empfehlungen an den Patienten</w:t>
      </w:r>
    </w:p>
    <w:p>
      <w:pPr>
        <w:pStyle w:val="BodyText"/>
        <w:spacing w:after="80"/>
        <w:ind w:left="0" w:firstLine="255"/>
        <w:widowControl/>
      </w:pPr>
      <w:r>
        <w:rPr>
          <w:i w:val="0"/>
          <w:lang w:val="de-DE"/>
        </w:rPr>
        <w:t>Auch die beste Behandlung kann keine anhaltende Besserung garantieren, wenn sie nicht von einer aktiven Beteiligung des Patienten und einfachen, der Situation angepassten Maßnahmen begleitet wird. Die Empfehlungen beruhen im Allgemeinen auf gesundem Menschenverstand:</w:t>
      </w:r>
    </w:p>
    <w:p>
      <w:pPr>
        <w:pStyle w:val="ListBullet"/>
        <w:spacing w:after="50"/>
        <w:ind w:left="369" w:hanging="170"/>
        <w:widowControl/>
      </w:pPr>
      <w:r>
        <w:rPr>
          <w:lang w:val="de-DE"/>
        </w:rPr>
        <w:t>relative Schonung einplanen und am Tag der Sitzung übermäßige körperliche Belastung vermeiden;</w:t>
      </w:r>
    </w:p>
    <w:p>
      <w:pPr>
        <w:pStyle w:val="ListBullet"/>
        <w:spacing w:after="50"/>
        <w:ind w:left="369" w:hanging="170"/>
        <w:widowControl/>
      </w:pPr>
      <w:r>
        <w:rPr>
          <w:lang w:val="de-DE"/>
        </w:rPr>
        <w:t>auf eine ausreichende Flüssigkeitszufuhr achten;</w:t>
      </w:r>
    </w:p>
    <w:p>
      <w:pPr>
        <w:pStyle w:val="ListBullet"/>
        <w:spacing w:after="50"/>
        <w:ind w:left="369" w:hanging="170"/>
        <w:widowControl/>
      </w:pPr>
      <w:r>
        <w:rPr>
          <w:lang w:val="de-DE"/>
        </w:rPr>
        <w:t>eine ausgewogene Ernährung einhalten;</w:t>
      </w:r>
    </w:p>
    <w:p>
      <w:pPr>
        <w:pStyle w:val="ListBullet"/>
        <w:spacing w:after="50"/>
        <w:ind w:left="369" w:hanging="170"/>
        <w:widowControl/>
      </w:pPr>
      <w:r>
        <w:rPr>
          <w:lang w:val="de-DE"/>
        </w:rPr>
        <w:t>regelmäßige körperliche Aktivität entsprechend der aktuellen Belastbarkeit beibehalten;</w:t>
      </w:r>
    </w:p>
    <w:p>
      <w:pPr>
        <w:pStyle w:val="ListBullet"/>
        <w:spacing w:after="50"/>
        <w:ind w:left="369" w:hanging="170"/>
        <w:widowControl/>
      </w:pPr>
      <w:r>
        <w:rPr>
          <w:lang w:val="de-DE"/>
        </w:rPr>
        <w:t>Schlaf, Erholung und ein unterstützendes soziales Umfeld fördern;</w:t>
      </w:r>
    </w:p>
    <w:p>
      <w:pPr>
        <w:pStyle w:val="ListBullet"/>
        <w:spacing w:after="50"/>
        <w:ind w:left="369" w:hanging="170"/>
        <w:widowControl/>
      </w:pPr>
      <w:r>
        <w:rPr>
          <w:lang w:val="de-DE"/>
        </w:rPr>
        <w:t>aktiv an der eigenen Gesundheit mitwirken und bei neuen oder besorgniserregenden Zeichen medizinischen Rat einholen;</w:t>
      </w:r>
    </w:p>
    <w:p>
      <w:pPr>
        <w:pStyle w:val="ListBullet"/>
        <w:spacing w:after="50"/>
        <w:ind w:left="369" w:hanging="170"/>
        <w:widowControl/>
      </w:pPr>
      <w:r>
        <w:rPr>
          <w:lang w:val="de-DE"/>
        </w:rPr>
        <w:t>Veränderungen des Hauptsymptoms, der Schmerzen, des Schlafs, der Darmfunktion, der Vitalität und der funktionellen Leistungsfähigkeit dokumentieren;</w:t>
      </w:r>
    </w:p>
    <w:p>
      <w:pPr>
        <w:pStyle w:val="ListBullet"/>
        <w:spacing w:after="50"/>
        <w:ind w:left="369" w:hanging="170"/>
        <w:widowControl/>
      </w:pPr>
      <w:r>
        <w:rPr>
          <w:lang w:val="de-DE"/>
        </w:rPr>
        <w:t>diese Beobachtungen dem Behandler mitteilen, um die Auswirkungen der Sitzung zu dokumentieren und die weitere Behandlung zu steuern.</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lang w:val="de-DE"/>
              </w:rPr>
              <w:t>Praktische Zusammenfassung</w:t>
            </w:r>
          </w:p>
          <w:p>
            <w:pPr>
              <w:keepLines/>
              <w:spacing w:after="60" w:line="259" w:lineRule="auto"/>
            </w:pPr>
            <w:r>
              <w:rPr>
                <w:b/>
                <w:lang w:val="de-DE"/>
              </w:rPr>
              <w:t>Vor der Sitzung: Hauptsymptom und dessen Ausgangsniveau festlegen.</w:t>
            </w:r>
          </w:p>
          <w:p>
            <w:pPr>
              <w:keepLines/>
              <w:spacing w:after="60" w:line="259" w:lineRule="auto"/>
            </w:pPr>
            <w:r>
              <w:rPr>
                <w:b/>
                <w:lang w:val="de-DE"/>
              </w:rPr>
              <w:t>Nach der Sitzung: Reaktionen beobachten und Verlauf dokumentieren.</w:t>
            </w:r>
          </w:p>
          <w:p>
            <w:pPr>
              <w:keepLines/>
              <w:spacing w:after="60" w:line="259" w:lineRule="auto"/>
            </w:pPr>
            <w:r>
              <w:rPr>
                <w:b/>
                <w:lang w:val="de-DE"/>
              </w:rPr>
              <w:t>An den Tagen 3–4: entscheiden, ob beendet, eine weitere Sitzung durchgeführt oder neu beurteilt werden soll.</w:t>
            </w:r>
          </w:p>
          <w:p>
            <w:pPr>
              <w:keepLines/>
              <w:spacing w:after="60" w:line="259" w:lineRule="auto"/>
            </w:pPr>
            <w:r>
              <w:rPr>
                <w:b/>
                <w:lang w:val="de-DE"/>
              </w:rPr>
              <w:t>Nach drei Sitzungen ohne Besserung: Indikation überdenken und den Patienten falls erforderlich überweisen.</w:t>
            </w:r>
          </w:p>
        </w:tc>
      </w:tr>
    </w:tbl>
    <w:p>
      <w:pPr>
        <w:spacing w:after="0"/>
        <w:widowControl/>
      </w:pPr>
    </w:p>
    <w:p>
      <w:pPr>
        <w:spacing w:before="200" w:after="0"/>
        <w:jc w:val="center"/>
        <w:widowControl/>
      </w:pPr>
      <w:r>
        <w:rPr>
          <w:rFonts w:ascii="Aptos Display" w:hAnsi="Aptos Display"/>
          <w:b/>
          <w:color w:val="3E6F70"/>
          <w:sz w:val="23"/>
          <w:lang w:val="de-DE"/>
        </w:rPr>
        <w:t>Leitprinzip: beobachten, messen, neu beurteilen.</w:t>
      </w:r>
    </w:p>
    <w:p>
      <w:pPr>
        <w:pStyle w:val="Heading1"/>
      </w:pPr>
      <w:r>
        <w:rPr>
          <w:lang w:val="de-DE"/>
        </w:rPr>
        <w:t>Literatur</w:t>
      </w:r>
    </w:p>
    <w:p>
      <w:pPr>
        <w:pStyle w:val="BodyText"/>
        <w:spacing w:after="80"/>
      </w:pPr>
      <w:r>
        <w:rPr>
          <w:lang w:val="en-US"/>
        </w:rPr>
        <w:t>1. Vallbo Å, Olausson H, Wessberg J, Norrsell U. A system of unmyelinated afferents for innocuous mechanoreception in the human skin. Brain Res. 1993;628(1–2):301–304. doi:10.1016/0006-8993(93)90968-S.</w:t>
      </w:r>
    </w:p>
    <w:p>
      <w:pPr>
        <w:pStyle w:val="BodyText"/>
        <w:spacing w:after="80"/>
      </w:pPr>
      <w:r>
        <w:rPr>
          <w:lang w:val="en-US"/>
        </w:rPr>
        <w:t>2. Löken LS, Wessberg J, Morrison I, McGlone F, Olausson H. Coding of pleasant touch by unmyelinated afferents in humans. Nat Neurosci. 2009;12(5):547–548. doi:10.1038/nn.2312.</w:t>
      </w:r>
    </w:p>
    <w:p>
      <w:pPr>
        <w:pStyle w:val="BodyText"/>
        <w:spacing w:after="80"/>
      </w:pPr>
      <w:r>
        <w:rPr>
          <w:lang w:val="en-US"/>
        </w:rPr>
        <w:t>3. Ackerley R, Backlund Wasling H, Liljencrantz J, Olausson H, Johnson RD, Wessberg J. Human C-tactile afferents are tuned to the temperature of a skin-stroking caress. J Neurosci. 2014;34(8):2879–2883. doi:10.1523/JNEUROSCI.2847-13.2014.</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lang w:val="de-DE"/>
      </w:rPr>
      <w:t>KAPITEL 2  |  ROP-BEHANDLUNG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ROP Treatment (Revised Medical English)</dc:title>
  <dc:subject>Réflexothérapie Occipito-Podale — Chapitre 2</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