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A773" w14:textId="77777777" w:rsidR="00A90C56" w:rsidRDefault="00A90C56">
      <w:pPr>
        <w:jc w:val="both"/>
        <w:rPr>
          <w:rFonts w:ascii="Times New Roman" w:hAnsi="Times New Roman" w:cs="Times New Roman"/>
          <w:sz w:val="24"/>
          <w:szCs w:val="24"/>
        </w:rPr>
      </w:pPr>
    </w:p>
    <w:p w14:paraId="3358A173" w14:textId="77777777" w:rsidR="00A90C56" w:rsidRDefault="00000000">
      <w:pPr>
        <w:pStyle w:val="Title"/>
        <w:jc w:val="center"/>
      </w:pPr>
      <w:r>
        <w:t>Chapitre 20</w:t>
      </w:r>
    </w:p>
    <w:p w14:paraId="6A3674DE" w14:textId="77777777" w:rsidR="00A90C56" w:rsidRDefault="00000000">
      <w:pPr>
        <w:pStyle w:val="Title"/>
        <w:jc w:val="center"/>
      </w:pPr>
      <w:r>
        <w:t>Les organes génitaux masculins</w:t>
      </w:r>
    </w:p>
    <w:p w14:paraId="462E5C6A" w14:textId="77777777" w:rsidR="00A90C56" w:rsidRDefault="00000000">
      <w:pPr>
        <w:pStyle w:val="Heading1"/>
        <w:spacing w:before="160" w:after="80"/>
        <w:rPr>
          <w:color w:val="auto"/>
        </w:rPr>
      </w:pPr>
      <w:r>
        <w:t>1. Présentation</w:t>
      </w:r>
    </w:p>
    <w:p w14:paraId="7B9C1A55" w14:textId="77777777" w:rsidR="00A90C56" w:rsidRDefault="00000000">
      <w:pPr>
        <w:pStyle w:val="ListParagraph"/>
        <w:jc w:val="both"/>
        <w:rPr>
          <w:rFonts w:ascii="Times New Roman" w:hAnsi="Times New Roman" w:cs="Times New Roman"/>
          <w:sz w:val="24"/>
          <w:szCs w:val="24"/>
        </w:rPr>
      </w:pPr>
      <w:r>
        <w:t>Vers la soixantaine, la prostate grossit par déséquilibre hormonal et exerce plus de pression sur l’urètre et la vessie. C’est alors que beaucoup d’hommes commencent à avoir des ennuis urinaires dont les répercussions atteignent aussi leur vie sexuelle et psycho-émotionnelle.</w:t>
      </w:r>
    </w:p>
    <w:p w14:paraId="2EAB2830" w14:textId="77777777" w:rsidR="00A90C56" w:rsidRDefault="00000000">
      <w:pPr>
        <w:pStyle w:val="ListParagraph"/>
        <w:jc w:val="both"/>
        <w:rPr>
          <w:rFonts w:ascii="Times New Roman" w:hAnsi="Times New Roman" w:cs="Times New Roman"/>
          <w:sz w:val="24"/>
          <w:szCs w:val="24"/>
        </w:rPr>
      </w:pPr>
      <w:r>
        <w:t xml:space="preserve"> La prostate fournit aussi son lot de troubles de la statique pelvienne, lombo-sciatalgies ou périnéalgies qui peuvent cacher une dysfonction vésico-prostatique et qui sont accentués par la sédentarité, l’obésité et une mauvaise hygiène de vie.</w:t>
      </w:r>
    </w:p>
    <w:p w14:paraId="77319645" w14:textId="77777777" w:rsidR="00A90C56" w:rsidRDefault="00000000">
      <w:pPr>
        <w:pStyle w:val="ListParagraph"/>
        <w:jc w:val="both"/>
        <w:rPr>
          <w:rFonts w:ascii="Times New Roman" w:hAnsi="Times New Roman" w:cs="Times New Roman"/>
          <w:sz w:val="24"/>
          <w:szCs w:val="24"/>
        </w:rPr>
      </w:pPr>
      <w:r>
        <w:t>Plus que les femmes, parler de « ces choses-là » pour la plupart des hommes est encore souvent difficile. La chirurgie et les traitements médicamenteux ne  sont pas sans risques car ils entraînent des effets secondaires mal vécus: impuissance, incontinence et éjaculation rétrograde.</w:t>
      </w:r>
    </w:p>
    <w:p w14:paraId="445ED74B" w14:textId="77777777" w:rsidR="00A90C56" w:rsidRDefault="00000000">
      <w:pPr>
        <w:pStyle w:val="ListParagraph"/>
        <w:jc w:val="both"/>
        <w:rPr>
          <w:rFonts w:ascii="Times New Roman" w:hAnsi="Times New Roman" w:cs="Times New Roman"/>
          <w:sz w:val="24"/>
          <w:szCs w:val="24"/>
        </w:rPr>
      </w:pPr>
      <w:r>
        <w:t>La ROP peut contribuer à diminuer les conséquences des problèmes prostatiques à condition que le patient  associe une bonne hygiène de vie. La ROP est sans effets iatrogènes et préserve la pudeur des hommes par notre action à distance.</w:t>
      </w:r>
    </w:p>
    <w:p w14:paraId="05762666" w14:textId="77777777" w:rsidR="00A90C56" w:rsidRDefault="00A90C56">
      <w:pPr>
        <w:pStyle w:val="ListParagraph"/>
        <w:jc w:val="both"/>
        <w:rPr>
          <w:rFonts w:ascii="Times New Roman" w:hAnsi="Times New Roman" w:cs="Times New Roman"/>
          <w:sz w:val="24"/>
          <w:szCs w:val="24"/>
        </w:rPr>
      </w:pPr>
    </w:p>
    <w:p w14:paraId="20ABDBD7" w14:textId="1166CDA8" w:rsidR="00A90C56" w:rsidRDefault="00000000">
      <w:pPr>
        <w:pStyle w:val="ListParagraph"/>
        <w:numPr>
          <w:ilvl w:val="0"/>
          <w:numId w:val="18"/>
        </w:numPr>
        <w:jc w:val="both"/>
        <w:rPr>
          <w:rFonts w:ascii="Times New Roman" w:hAnsi="Times New Roman" w:cs="Times New Roman"/>
          <w:sz w:val="24"/>
          <w:szCs w:val="24"/>
        </w:rPr>
      </w:pPr>
      <w:r>
        <w:t xml:space="preserve">Appareil de reproduction de </w:t>
      </w:r>
      <w:proofErr w:type="gramStart"/>
      <w:r>
        <w:t>l’homme:</w:t>
      </w:r>
      <w:proofErr w:type="gramEnd"/>
      <w:r>
        <w:t xml:space="preserve"> il </w:t>
      </w:r>
      <w:proofErr w:type="gramStart"/>
      <w:r>
        <w:t>comprend:</w:t>
      </w:r>
      <w:proofErr w:type="gramEnd"/>
      <w:r>
        <w:t xml:space="preserve"> les testicules, les épididymes, les conduits déférents, les vésicules séminales, les conduits éjaculateurs, la prostate, l’urètre et le pénis. </w:t>
      </w:r>
    </w:p>
    <w:p w14:paraId="7C1D9733" w14:textId="77777777" w:rsidR="00A90C56" w:rsidRDefault="00A90C56">
      <w:pPr>
        <w:pStyle w:val="ListParagraph"/>
        <w:ind w:left="1069"/>
        <w:jc w:val="both"/>
        <w:rPr>
          <w:rFonts w:ascii="Times New Roman" w:hAnsi="Times New Roman" w:cs="Times New Roman"/>
          <w:sz w:val="24"/>
          <w:szCs w:val="24"/>
        </w:rPr>
      </w:pPr>
    </w:p>
    <w:p w14:paraId="163E8667" w14:textId="77777777" w:rsidR="00A90C56" w:rsidRDefault="00000000">
      <w:pPr>
        <w:pStyle w:val="Heading1"/>
        <w:spacing w:before="160" w:after="80"/>
        <w:rPr>
          <w:color w:val="auto"/>
          <w:szCs w:val="24"/>
        </w:rPr>
      </w:pPr>
      <w:r>
        <w:t>2. Situation</w:t>
      </w:r>
    </w:p>
    <w:p w14:paraId="77B6CF18" w14:textId="77777777" w:rsidR="00A90C56" w:rsidRDefault="00000000">
      <w:pPr>
        <w:pStyle w:val="Heading2"/>
        <w:spacing w:before="160" w:after="80"/>
        <w:jc w:val="both"/>
        <w:rPr>
          <w:rFonts w:ascii="Times New Roman" w:hAnsi="Times New Roman" w:cs="Times New Roman"/>
          <w:sz w:val="24"/>
          <w:szCs w:val="24"/>
        </w:rPr>
      </w:pPr>
      <w:r>
        <w:t>2.1. Migration embryonnaire des gonades</w:t>
      </w:r>
    </w:p>
    <w:p w14:paraId="3B33B5F8" w14:textId="77777777" w:rsidR="00A90C56" w:rsidRDefault="00000000">
      <w:pPr>
        <w:pStyle w:val="ListParagraph"/>
        <w:numPr>
          <w:ilvl w:val="0"/>
          <w:numId w:val="17"/>
        </w:numPr>
        <w:jc w:val="both"/>
        <w:rPr>
          <w:rFonts w:ascii="Times New Roman" w:hAnsi="Times New Roman" w:cs="Times New Roman"/>
          <w:sz w:val="24"/>
          <w:szCs w:val="24"/>
        </w:rPr>
      </w:pPr>
      <w:r>
        <w:t>Chez la femme: seul le ligament rond qui est un reliquat du gubernaculum, continue sa migration à travers du canal inguinal.</w:t>
      </w:r>
    </w:p>
    <w:p w14:paraId="49D8B473" w14:textId="5B84B7C1" w:rsidR="00A90C56" w:rsidRDefault="00000000">
      <w:pPr>
        <w:pStyle w:val="ListParagraph"/>
        <w:numPr>
          <w:ilvl w:val="0"/>
          <w:numId w:val="17"/>
        </w:numPr>
        <w:jc w:val="both"/>
        <w:rPr>
          <w:rFonts w:ascii="Times New Roman" w:hAnsi="Times New Roman" w:cs="Times New Roman"/>
          <w:sz w:val="24"/>
          <w:szCs w:val="24"/>
        </w:rPr>
      </w:pPr>
      <w:r>
        <w:t xml:space="preserve"> Chez l’homme, les testicules continuent à migrer dans le canal inguinal, en entraînant avec eux artères, veines, lymphatiques, nerfs et le canal déférent. Les testicules atteignent l’orifice profond du canal inguinal autour du 6ème mois, franchissent le canal durant le 7ème mois et atteignent leur position intra-scrotale définitive vers la fin du 8ème mois. Cette migration est réglée par le système hormonal, la croissance du fœtus et l’augmentation de poids des testicules.</w:t>
      </w:r>
    </w:p>
    <w:p w14:paraId="198F72F3" w14:textId="77777777" w:rsidR="00A90C56" w:rsidRDefault="00000000">
      <w:pPr>
        <w:pStyle w:val="ListParagraph"/>
        <w:ind w:left="1211"/>
        <w:jc w:val="both"/>
        <w:rPr>
          <w:rFonts w:ascii="Times New Roman" w:hAnsi="Times New Roman" w:cs="Times New Roman"/>
          <w:sz w:val="24"/>
          <w:szCs w:val="24"/>
        </w:rPr>
      </w:pPr>
      <w:r>
        <w:t xml:space="preserve"> Les anomalies sont fréquentes, allant de l’ectopie simple inguino-scrotale à la cryptorchidie pelvienne, iliaque ou lombale, causes de stérilité ou de cancer.</w:t>
      </w:r>
    </w:p>
    <w:p w14:paraId="2F399F95" w14:textId="77777777" w:rsidR="00A90C56" w:rsidRDefault="00000000">
      <w:pPr>
        <w:pStyle w:val="Heading2"/>
        <w:spacing w:before="160" w:after="80"/>
        <w:jc w:val="both"/>
        <w:rPr>
          <w:rFonts w:ascii="Times New Roman" w:hAnsi="Times New Roman" w:cs="Times New Roman"/>
          <w:sz w:val="24"/>
          <w:szCs w:val="24"/>
        </w:rPr>
      </w:pPr>
      <w:r>
        <w:lastRenderedPageBreak/>
        <w:t>2.2. Testicules</w:t>
      </w:r>
    </w:p>
    <w:p w14:paraId="50ABDFA9" w14:textId="77777777" w:rsidR="00A90C56" w:rsidRDefault="00000000">
      <w:pPr>
        <w:pStyle w:val="EncadreROP"/>
        <w:ind w:left="927"/>
        <w:jc w:val="both"/>
        <w:rPr>
          <w:rFonts w:ascii="Times New Roman" w:hAnsi="Times New Roman" w:cs="Times New Roman"/>
          <w:sz w:val="24"/>
          <w:szCs w:val="24"/>
        </w:rPr>
      </w:pPr>
      <w:r>
        <w:t>INTÉRÊT EN ROP</w:t>
      </w:r>
    </w:p>
    <w:p w14:paraId="6CB029A3" w14:textId="77777777" w:rsidR="00A90C56" w:rsidRDefault="00000000">
      <w:pPr>
        <w:pStyle w:val="ListParagraph"/>
        <w:ind w:left="927"/>
        <w:jc w:val="both"/>
        <w:rPr>
          <w:rFonts w:ascii="Times New Roman" w:hAnsi="Times New Roman" w:cs="Times New Roman"/>
          <w:sz w:val="24"/>
          <w:szCs w:val="24"/>
        </w:rPr>
      </w:pPr>
      <w:r>
        <w:t xml:space="preserve"> La même zone réflexe des ovaires et des testicules s’explique par leur migration embryologique commune jusqu’à la cavité pelvienne.</w:t>
      </w:r>
    </w:p>
    <w:p w14:paraId="3D3A4ADA" w14:textId="77777777" w:rsidR="00A90C56" w:rsidRDefault="00000000">
      <w:pPr>
        <w:pStyle w:val="Heading2"/>
        <w:spacing w:before="160" w:after="80"/>
        <w:jc w:val="both"/>
        <w:rPr>
          <w:rFonts w:ascii="Times New Roman" w:hAnsi="Times New Roman" w:cs="Times New Roman"/>
          <w:sz w:val="24"/>
          <w:szCs w:val="24"/>
        </w:rPr>
      </w:pPr>
      <w:r>
        <w:t>2.3. Prostate</w:t>
      </w:r>
    </w:p>
    <w:p w14:paraId="005651C2" w14:textId="77777777" w:rsidR="00A90C56" w:rsidRDefault="00000000">
      <w:pPr>
        <w:pStyle w:val="Heading1"/>
        <w:spacing w:before="160" w:after="80"/>
        <w:rPr>
          <w:color w:val="auto"/>
        </w:rPr>
      </w:pPr>
      <w:r>
        <w:t>3. Anatomie</w:t>
      </w:r>
    </w:p>
    <w:p w14:paraId="0A8B3AAC" w14:textId="77777777" w:rsidR="00A90C56" w:rsidRDefault="00000000">
      <w:pPr>
        <w:pStyle w:val="Heading2"/>
        <w:spacing w:before="160" w:after="80"/>
        <w:jc w:val="both"/>
        <w:rPr>
          <w:rFonts w:ascii="Times New Roman" w:hAnsi="Times New Roman" w:cs="Times New Roman"/>
          <w:sz w:val="24"/>
          <w:szCs w:val="24"/>
        </w:rPr>
      </w:pPr>
      <w:r>
        <w:t>3.1. Testicules</w:t>
      </w:r>
    </w:p>
    <w:p w14:paraId="1A569EFF" w14:textId="0D8A3E42" w:rsidR="00A90C56" w:rsidRDefault="00000000">
      <w:pPr>
        <w:pStyle w:val="ListParagraph"/>
        <w:ind w:left="1353"/>
        <w:jc w:val="both"/>
        <w:rPr>
          <w:rFonts w:ascii="Times New Roman" w:hAnsi="Times New Roman" w:cs="Times New Roman"/>
          <w:sz w:val="24"/>
          <w:szCs w:val="24"/>
        </w:rPr>
      </w:pPr>
      <w:r>
        <w:t xml:space="preserve"> De forme ovoïde de 5 cm de long chez l’adulte, le testicule est recouvert par une membrane résistante, l’albuginée. Il est entouré par une gaine, le processus </w:t>
      </w:r>
      <w:proofErr w:type="gramStart"/>
      <w:r>
        <w:t>vaginal  .</w:t>
      </w:r>
      <w:proofErr w:type="gramEnd"/>
      <w:r>
        <w:t xml:space="preserve"> Sa constitution interne  comprend des lobules contenant 400 à 600 canalicules séminifères, lieu de production et de maturation des spermatozoïdes (spermatogenèse). Ces canalicules débouchent, au pôle supérieur du testicule, dans le canal de l’épididyme.</w:t>
      </w:r>
    </w:p>
    <w:p w14:paraId="081E5B92" w14:textId="77777777" w:rsidR="00A90C56" w:rsidRDefault="00000000">
      <w:pPr>
        <w:pStyle w:val="Heading2"/>
        <w:spacing w:before="160" w:after="80"/>
        <w:jc w:val="both"/>
        <w:rPr>
          <w:rFonts w:ascii="Times New Roman" w:hAnsi="Times New Roman" w:cs="Times New Roman"/>
          <w:sz w:val="24"/>
          <w:szCs w:val="24"/>
        </w:rPr>
      </w:pPr>
      <w:r>
        <w:t>3.2. Épididyme</w:t>
      </w:r>
    </w:p>
    <w:p w14:paraId="0FABAA73" w14:textId="77777777" w:rsidR="00A90C56" w:rsidRDefault="00000000">
      <w:pPr>
        <w:pStyle w:val="Heading2"/>
        <w:spacing w:before="160" w:after="80"/>
        <w:jc w:val="both"/>
        <w:rPr>
          <w:rFonts w:ascii="Times New Roman" w:hAnsi="Times New Roman" w:cs="Times New Roman"/>
          <w:sz w:val="24"/>
          <w:szCs w:val="24"/>
        </w:rPr>
      </w:pPr>
      <w:r>
        <w:t>3.3. Conduit déférent</w:t>
      </w:r>
    </w:p>
    <w:p w14:paraId="47B6B4AA" w14:textId="77777777" w:rsidR="00A90C56" w:rsidRDefault="00000000">
      <w:pPr>
        <w:pStyle w:val="Heading2"/>
        <w:spacing w:before="160" w:after="80"/>
        <w:jc w:val="both"/>
        <w:rPr>
          <w:rFonts w:ascii="Times New Roman" w:hAnsi="Times New Roman" w:cs="Times New Roman"/>
          <w:sz w:val="24"/>
          <w:szCs w:val="24"/>
        </w:rPr>
      </w:pPr>
      <w:r>
        <w:t>3.4. Canal inguinal</w:t>
      </w:r>
    </w:p>
    <w:p w14:paraId="473DA667" w14:textId="77777777" w:rsidR="00A90C56" w:rsidRDefault="00000000">
      <w:pPr>
        <w:pStyle w:val="Heading3"/>
        <w:spacing w:before="160" w:after="80"/>
        <w:jc w:val="both"/>
        <w:rPr>
          <w:rFonts w:ascii="Times New Roman" w:hAnsi="Times New Roman" w:cs="Times New Roman"/>
          <w:sz w:val="24"/>
          <w:szCs w:val="24"/>
        </w:rPr>
      </w:pPr>
      <w:r>
        <w:t>3.4.1. Anneau inguinal profond</w:t>
      </w:r>
    </w:p>
    <w:p w14:paraId="232587E6" w14:textId="77777777" w:rsidR="00A90C56" w:rsidRDefault="00000000">
      <w:pPr>
        <w:pStyle w:val="Heading3"/>
        <w:spacing w:before="160" w:after="80"/>
        <w:jc w:val="both"/>
        <w:rPr>
          <w:rFonts w:ascii="Times New Roman" w:hAnsi="Times New Roman" w:cs="Times New Roman"/>
          <w:sz w:val="24"/>
          <w:szCs w:val="24"/>
        </w:rPr>
      </w:pPr>
      <w:r>
        <w:t>3.4.2. Anneau inguinal superficiel</w:t>
      </w:r>
    </w:p>
    <w:p w14:paraId="71DB4B28" w14:textId="77777777" w:rsidR="00A90C56" w:rsidRDefault="00000000">
      <w:pPr>
        <w:pStyle w:val="Heading3"/>
        <w:spacing w:before="160" w:after="80"/>
        <w:jc w:val="both"/>
        <w:rPr>
          <w:rFonts w:ascii="Times New Roman" w:hAnsi="Times New Roman" w:cs="Times New Roman"/>
          <w:sz w:val="24"/>
          <w:szCs w:val="24"/>
        </w:rPr>
      </w:pPr>
      <w:r>
        <w:t>3.4.3. Constitution du canal inguinal</w:t>
      </w:r>
    </w:p>
    <w:p w14:paraId="04DF3E1D" w14:textId="77777777" w:rsidR="00A90C56" w:rsidRDefault="00000000">
      <w:pPr>
        <w:pStyle w:val="Heading3"/>
        <w:spacing w:before="160" w:after="80"/>
        <w:jc w:val="both"/>
        <w:rPr>
          <w:rFonts w:ascii="Times New Roman" w:hAnsi="Times New Roman" w:cs="Times New Roman"/>
          <w:sz w:val="24"/>
          <w:szCs w:val="24"/>
        </w:rPr>
      </w:pPr>
      <w:r>
        <w:t>3.4.4. Hernies inguinales</w:t>
      </w:r>
    </w:p>
    <w:p w14:paraId="035E8653" w14:textId="77777777" w:rsidR="00A90C56" w:rsidRDefault="00000000">
      <w:pPr>
        <w:pStyle w:val="Heading3"/>
        <w:spacing w:before="160" w:after="80"/>
        <w:jc w:val="both"/>
        <w:rPr>
          <w:rFonts w:ascii="Times New Roman" w:hAnsi="Times New Roman" w:cs="Times New Roman"/>
          <w:sz w:val="24"/>
          <w:szCs w:val="24"/>
        </w:rPr>
      </w:pPr>
      <w:r>
        <w:t>3.4.5. Muscle crémaster</w:t>
      </w:r>
    </w:p>
    <w:p w14:paraId="5C53E2EF" w14:textId="77777777" w:rsidR="00A90C56" w:rsidRDefault="00000000">
      <w:pPr>
        <w:pStyle w:val="EncadreROP"/>
        <w:ind w:left="1416"/>
        <w:jc w:val="both"/>
        <w:rPr>
          <w:rFonts w:ascii="Times New Roman" w:hAnsi="Times New Roman" w:cs="Times New Roman"/>
          <w:sz w:val="24"/>
          <w:szCs w:val="24"/>
        </w:rPr>
      </w:pPr>
      <w:r>
        <w:t>INTÉRÊT EN ROP</w:t>
      </w:r>
    </w:p>
    <w:p w14:paraId="1935E14A" w14:textId="77777777" w:rsidR="00A90C56" w:rsidRDefault="00000000">
      <w:pPr>
        <w:pStyle w:val="ListParagraph"/>
        <w:ind w:left="1416"/>
        <w:jc w:val="both"/>
        <w:rPr>
          <w:rFonts w:ascii="Times New Roman" w:hAnsi="Times New Roman" w:cs="Times New Roman"/>
          <w:sz w:val="24"/>
          <w:szCs w:val="24"/>
        </w:rPr>
      </w:pPr>
      <w:r>
        <w:t xml:space="preserve"> Notre action réflexe conjointe sur le ligament inguinal et les orifices profond et superficiel du canal inguinal, contribue à équilibrer les pressions intra-canalaires sur le cordon spermatique et son contenu vasculaire, nerveux et le canal déférent.</w:t>
      </w:r>
    </w:p>
    <w:p w14:paraId="43108E07" w14:textId="77777777" w:rsidR="00A90C56" w:rsidRDefault="00000000">
      <w:pPr>
        <w:pStyle w:val="Heading2"/>
        <w:spacing w:before="160" w:after="80"/>
        <w:jc w:val="both"/>
        <w:rPr>
          <w:rFonts w:ascii="Times New Roman" w:hAnsi="Times New Roman" w:cs="Times New Roman"/>
          <w:sz w:val="24"/>
          <w:szCs w:val="24"/>
        </w:rPr>
      </w:pPr>
      <w:r>
        <w:t>3.5. Vésicules séminales</w:t>
      </w:r>
    </w:p>
    <w:p w14:paraId="6D257A95" w14:textId="77777777" w:rsidR="00A90C56" w:rsidRDefault="00000000">
      <w:pPr>
        <w:pStyle w:val="ListParagraph"/>
        <w:ind w:left="1353"/>
        <w:jc w:val="both"/>
        <w:rPr>
          <w:rFonts w:ascii="Times New Roman" w:hAnsi="Times New Roman" w:cs="Times New Roman"/>
          <w:sz w:val="24"/>
          <w:szCs w:val="24"/>
        </w:rPr>
      </w:pPr>
      <w:r>
        <w:t xml:space="preserve"> Mesurant 5 à 8 cm de long et 1,5 cm de large, les vésicules séminales ont la consistance d’une figue un peu mûre.</w:t>
      </w:r>
    </w:p>
    <w:p w14:paraId="51DC9060" w14:textId="77777777" w:rsidR="00A90C56" w:rsidRDefault="00000000">
      <w:pPr>
        <w:pStyle w:val="ListParagraph"/>
        <w:ind w:left="1353"/>
        <w:jc w:val="both"/>
        <w:rPr>
          <w:rFonts w:ascii="Times New Roman" w:hAnsi="Times New Roman" w:cs="Times New Roman"/>
          <w:sz w:val="24"/>
          <w:szCs w:val="24"/>
        </w:rPr>
      </w:pPr>
      <w:r>
        <w:t>Elles produisent une part importante du liquide séminal, riche notamment en fructose, qui soutient la fonction des spermatozoïdes et contribue au volume de l’éjaculat.</w:t>
      </w:r>
    </w:p>
    <w:p w14:paraId="159BA299" w14:textId="77777777" w:rsidR="00A90C56" w:rsidRDefault="00000000">
      <w:pPr>
        <w:pStyle w:val="Heading2"/>
        <w:spacing w:before="160" w:after="80"/>
        <w:jc w:val="both"/>
        <w:rPr>
          <w:rFonts w:ascii="Times New Roman" w:hAnsi="Times New Roman" w:cs="Times New Roman"/>
          <w:sz w:val="24"/>
          <w:szCs w:val="24"/>
        </w:rPr>
      </w:pPr>
      <w:r>
        <w:lastRenderedPageBreak/>
        <w:t>3.6. Conduits éjaculateurs</w:t>
      </w:r>
    </w:p>
    <w:p w14:paraId="0EB97464" w14:textId="77777777" w:rsidR="00A90C56" w:rsidRDefault="00000000">
      <w:pPr>
        <w:pStyle w:val="Heading2"/>
        <w:spacing w:before="160" w:after="80"/>
        <w:jc w:val="both"/>
        <w:rPr>
          <w:rFonts w:ascii="Times New Roman" w:hAnsi="Times New Roman" w:cs="Times New Roman"/>
          <w:sz w:val="24"/>
          <w:szCs w:val="24"/>
        </w:rPr>
      </w:pPr>
      <w:r>
        <w:t>3.7. Prostate</w:t>
      </w:r>
    </w:p>
    <w:p w14:paraId="7BB2EBA1" w14:textId="5795418C" w:rsidR="00A90C56" w:rsidRDefault="00000000">
      <w:pPr>
        <w:pStyle w:val="ListParagraph"/>
        <w:ind w:left="1353"/>
        <w:jc w:val="both"/>
        <w:rPr>
          <w:rFonts w:ascii="Times New Roman" w:hAnsi="Times New Roman" w:cs="Times New Roman"/>
          <w:sz w:val="24"/>
          <w:szCs w:val="24"/>
        </w:rPr>
      </w:pPr>
      <w:r>
        <w:t xml:space="preserve"> Chez un adulte jeune, elle a la forme d’une châtaigne. Sa consistance ferme mais souple est comparable au globe oculaire. Son poids est de 20 à 25 g. Son volume augmentant beaucoup après 60 ans, peut devenir gros comme une orange et exercer une pression sur l’urètre et la vessie et occasionner des troubles de la miction. </w:t>
      </w:r>
    </w:p>
    <w:p w14:paraId="1A066E63" w14:textId="77777777" w:rsidR="00A90C56" w:rsidRDefault="00000000">
      <w:pPr>
        <w:pStyle w:val="ListParagraph"/>
        <w:ind w:left="1353"/>
        <w:jc w:val="both"/>
        <w:rPr>
          <w:rFonts w:ascii="Times New Roman" w:hAnsi="Times New Roman" w:cs="Times New Roman"/>
          <w:sz w:val="24"/>
          <w:szCs w:val="24"/>
        </w:rPr>
      </w:pPr>
      <w:r>
        <w:t>La prostate participe à la composition du sperme et à la protection des spermatozoïdes dans la traversée vagino-utéro-tubaire.</w:t>
      </w:r>
    </w:p>
    <w:p w14:paraId="03C578DA" w14:textId="77777777" w:rsidR="00A90C56" w:rsidRDefault="00000000">
      <w:pPr>
        <w:pStyle w:val="Heading3"/>
        <w:spacing w:before="160" w:after="80"/>
        <w:jc w:val="both"/>
        <w:rPr>
          <w:rFonts w:ascii="Times New Roman" w:hAnsi="Times New Roman" w:cs="Times New Roman"/>
          <w:sz w:val="24"/>
          <w:szCs w:val="24"/>
        </w:rPr>
      </w:pPr>
      <w:r>
        <w:t>3.7.1. Constitution externe</w:t>
      </w:r>
    </w:p>
    <w:p w14:paraId="49B9EF1A" w14:textId="77777777" w:rsidR="00A90C56" w:rsidRDefault="00000000">
      <w:pPr>
        <w:pStyle w:val="Heading3"/>
        <w:spacing w:before="160" w:after="80"/>
        <w:jc w:val="both"/>
        <w:rPr>
          <w:rFonts w:ascii="Times New Roman" w:hAnsi="Times New Roman" w:cs="Times New Roman"/>
          <w:sz w:val="24"/>
          <w:szCs w:val="24"/>
        </w:rPr>
      </w:pPr>
      <w:r>
        <w:t>3.7.2. Lobes de la prostate</w:t>
      </w:r>
    </w:p>
    <w:p w14:paraId="7D16A337" w14:textId="77777777" w:rsidR="00A90C56" w:rsidRDefault="00000000">
      <w:pPr>
        <w:pStyle w:val="ListParagraph"/>
        <w:numPr>
          <w:ilvl w:val="0"/>
          <w:numId w:val="13"/>
        </w:numPr>
        <w:jc w:val="both"/>
        <w:rPr>
          <w:rFonts w:ascii="Times New Roman" w:hAnsi="Times New Roman" w:cs="Times New Roman"/>
          <w:sz w:val="24"/>
          <w:szCs w:val="24"/>
        </w:rPr>
      </w:pPr>
      <w:r>
        <w:t>lobes latéraux: stimulés par les hormones mâles, ils sont séparés par un sillon médian qui disparait quand le lobe moyen de la prostate s’hypertrophie.</w:t>
      </w:r>
    </w:p>
    <w:p w14:paraId="68806EF6" w14:textId="1400773F" w:rsidR="00A90C56" w:rsidRDefault="00000000">
      <w:pPr>
        <w:pStyle w:val="ListParagraph"/>
        <w:numPr>
          <w:ilvl w:val="0"/>
          <w:numId w:val="13"/>
        </w:numPr>
        <w:jc w:val="both"/>
        <w:rPr>
          <w:rFonts w:ascii="Times New Roman" w:hAnsi="Times New Roman" w:cs="Times New Roman"/>
          <w:sz w:val="24"/>
          <w:szCs w:val="24"/>
        </w:rPr>
      </w:pPr>
      <w:r>
        <w:t xml:space="preserve"> </w:t>
      </w:r>
      <w:proofErr w:type="gramStart"/>
      <w:r>
        <w:t>lobe</w:t>
      </w:r>
      <w:proofErr w:type="gramEnd"/>
      <w:r>
        <w:t xml:space="preserve"> </w:t>
      </w:r>
      <w:proofErr w:type="gramStart"/>
      <w:r>
        <w:t>moyen:</w:t>
      </w:r>
      <w:proofErr w:type="gramEnd"/>
      <w:r>
        <w:t xml:space="preserve"> médial, il est parcouru par l’urètre </w:t>
      </w:r>
      <w:proofErr w:type="gramStart"/>
      <w:r>
        <w:t>prostatique  qui</w:t>
      </w:r>
      <w:proofErr w:type="gramEnd"/>
      <w:r>
        <w:t xml:space="preserve"> présente une fente l’utricule prostatique. Celui-ci est le vestige atrophié des trompes, de l’utérus et du vagin chez la femme. Les anciens l’appelaient le «vagin mâle ».</w:t>
      </w:r>
    </w:p>
    <w:p w14:paraId="222DC87B" w14:textId="77777777" w:rsidR="00A90C56" w:rsidRDefault="00000000">
      <w:pPr>
        <w:pStyle w:val="ListParagraph"/>
        <w:ind w:left="1920"/>
        <w:jc w:val="both"/>
        <w:rPr>
          <w:rFonts w:ascii="Times New Roman" w:hAnsi="Times New Roman" w:cs="Times New Roman"/>
          <w:sz w:val="24"/>
          <w:szCs w:val="24"/>
        </w:rPr>
      </w:pPr>
      <w:r>
        <w:t>Œstrogéno-dépendant, le lobe moyen s’hypertrophie à l’andropause par déséquilibre hormonal entre androgènes et testostérone. Son augmentation de volume comprime l’urètre, rendant la miction difficile et les éjaculations ont un trajet rétrograde vers la vessie.</w:t>
      </w:r>
    </w:p>
    <w:p w14:paraId="5170ECDA" w14:textId="77777777" w:rsidR="00A90C56" w:rsidRDefault="00000000">
      <w:pPr>
        <w:pStyle w:val="Heading3"/>
        <w:spacing w:before="160" w:after="80"/>
        <w:jc w:val="both"/>
        <w:rPr>
          <w:rFonts w:ascii="Times New Roman" w:hAnsi="Times New Roman" w:cs="Times New Roman"/>
          <w:sz w:val="24"/>
          <w:szCs w:val="24"/>
        </w:rPr>
      </w:pPr>
      <w:r>
        <w:t>3.7.3. Constitution interne</w:t>
      </w:r>
    </w:p>
    <w:p w14:paraId="743B3CB0" w14:textId="77777777" w:rsidR="00A90C56" w:rsidRDefault="00000000">
      <w:pPr>
        <w:pStyle w:val="Heading2"/>
        <w:spacing w:before="160" w:after="80"/>
        <w:jc w:val="both"/>
        <w:rPr>
          <w:rFonts w:ascii="Times New Roman" w:hAnsi="Times New Roman" w:cs="Times New Roman"/>
          <w:sz w:val="24"/>
          <w:szCs w:val="24"/>
        </w:rPr>
      </w:pPr>
      <w:r>
        <w:t>3.8. Urètre</w:t>
      </w:r>
    </w:p>
    <w:p w14:paraId="1F940F72" w14:textId="77777777" w:rsidR="00A90C56" w:rsidRDefault="00000000">
      <w:pPr>
        <w:pStyle w:val="Heading3"/>
        <w:spacing w:before="160" w:after="80"/>
        <w:jc w:val="both"/>
        <w:rPr>
          <w:rFonts w:ascii="Times New Roman" w:hAnsi="Times New Roman" w:cs="Times New Roman"/>
          <w:sz w:val="24"/>
          <w:szCs w:val="24"/>
        </w:rPr>
      </w:pPr>
      <w:r>
        <w:t>3.8.1. Urètre prostatique</w:t>
      </w:r>
    </w:p>
    <w:p w14:paraId="0E214449" w14:textId="77777777" w:rsidR="00A90C56" w:rsidRDefault="00000000">
      <w:pPr>
        <w:pStyle w:val="Heading3"/>
        <w:spacing w:before="160" w:after="80"/>
        <w:jc w:val="both"/>
        <w:rPr>
          <w:rFonts w:ascii="Times New Roman" w:hAnsi="Times New Roman" w:cs="Times New Roman"/>
          <w:sz w:val="24"/>
          <w:szCs w:val="24"/>
        </w:rPr>
      </w:pPr>
      <w:r>
        <w:t>3.8.2. Colliculus séminal ou veru montanum</w:t>
      </w:r>
    </w:p>
    <w:p w14:paraId="2D455D04" w14:textId="77777777" w:rsidR="00A90C56" w:rsidRDefault="00000000">
      <w:pPr>
        <w:pStyle w:val="Heading3"/>
        <w:spacing w:before="160" w:after="80"/>
        <w:jc w:val="both"/>
        <w:rPr>
          <w:rFonts w:ascii="Times New Roman" w:hAnsi="Times New Roman" w:cs="Times New Roman"/>
          <w:sz w:val="24"/>
          <w:szCs w:val="24"/>
        </w:rPr>
      </w:pPr>
      <w:r>
        <w:t>3.8.3. Sphincters</w:t>
      </w:r>
    </w:p>
    <w:p w14:paraId="590E3AA4" w14:textId="77777777" w:rsidR="00A90C56" w:rsidRDefault="00000000">
      <w:pPr>
        <w:pStyle w:val="Heading3"/>
        <w:spacing w:before="160" w:after="80"/>
        <w:jc w:val="both"/>
        <w:rPr>
          <w:rFonts w:ascii="Times New Roman" w:hAnsi="Times New Roman" w:cs="Times New Roman"/>
          <w:sz w:val="24"/>
          <w:szCs w:val="24"/>
        </w:rPr>
      </w:pPr>
      <w:r>
        <w:t>3.8.4. Urètre membraneux</w:t>
      </w:r>
    </w:p>
    <w:p w14:paraId="11EC9DC4" w14:textId="77777777" w:rsidR="00A90C56" w:rsidRDefault="00000000">
      <w:pPr>
        <w:pStyle w:val="Heading1"/>
        <w:spacing w:before="160" w:after="80"/>
        <w:rPr>
          <w:color w:val="auto"/>
          <w:szCs w:val="24"/>
        </w:rPr>
      </w:pPr>
      <w:r>
        <w:t>4. Rapports</w:t>
      </w:r>
    </w:p>
    <w:p w14:paraId="3D6D292B" w14:textId="77777777" w:rsidR="00A90C56" w:rsidRDefault="00000000">
      <w:pPr>
        <w:pStyle w:val="Heading2"/>
        <w:spacing w:before="160" w:after="80"/>
        <w:rPr>
          <w:rFonts w:ascii="Times New Roman" w:hAnsi="Times New Roman" w:cs="Times New Roman"/>
          <w:sz w:val="24"/>
          <w:szCs w:val="24"/>
        </w:rPr>
      </w:pPr>
      <w:r>
        <w:t>4.1. Loge prostatique</w:t>
      </w:r>
    </w:p>
    <w:p w14:paraId="1FD11C9B" w14:textId="77777777" w:rsidR="00A90C56" w:rsidRDefault="00000000">
      <w:pPr>
        <w:pStyle w:val="ListParagraph"/>
        <w:numPr>
          <w:ilvl w:val="0"/>
          <w:numId w:val="2"/>
        </w:numPr>
        <w:jc w:val="both"/>
        <w:rPr>
          <w:rFonts w:ascii="Times New Roman" w:hAnsi="Times New Roman" w:cs="Times New Roman"/>
          <w:sz w:val="24"/>
          <w:szCs w:val="24"/>
        </w:rPr>
      </w:pPr>
      <w:r>
        <w:t xml:space="preserve"> Face crâniale: elle sert de maintien à la vessie.</w:t>
      </w:r>
    </w:p>
    <w:p w14:paraId="344332D0" w14:textId="77777777" w:rsidR="00A90C56" w:rsidRDefault="00000000">
      <w:pPr>
        <w:pStyle w:val="ListParagraph"/>
        <w:numPr>
          <w:ilvl w:val="0"/>
          <w:numId w:val="2"/>
        </w:numPr>
        <w:jc w:val="both"/>
        <w:rPr>
          <w:rFonts w:ascii="Times New Roman" w:hAnsi="Times New Roman" w:cs="Times New Roman"/>
          <w:sz w:val="24"/>
          <w:szCs w:val="24"/>
        </w:rPr>
      </w:pPr>
      <w:r>
        <w:t>Face ventrale: la symphyse pubienne, les ligaments pubo-urétraux et le plexus veineux de Santorini;</w:t>
      </w:r>
    </w:p>
    <w:p w14:paraId="11011A80" w14:textId="77777777" w:rsidR="00A90C56" w:rsidRDefault="00000000">
      <w:pPr>
        <w:pStyle w:val="ListParagraph"/>
        <w:numPr>
          <w:ilvl w:val="0"/>
          <w:numId w:val="2"/>
        </w:numPr>
        <w:jc w:val="both"/>
        <w:rPr>
          <w:rFonts w:ascii="Times New Roman" w:hAnsi="Times New Roman" w:cs="Times New Roman"/>
          <w:sz w:val="24"/>
          <w:szCs w:val="24"/>
        </w:rPr>
      </w:pPr>
      <w:r>
        <w:t>Face caudale: le plancher périnéal;</w:t>
      </w:r>
    </w:p>
    <w:p w14:paraId="7262582B" w14:textId="77777777" w:rsidR="00A90C56" w:rsidRDefault="00000000">
      <w:pPr>
        <w:pStyle w:val="ListParagraph"/>
        <w:numPr>
          <w:ilvl w:val="0"/>
          <w:numId w:val="2"/>
        </w:numPr>
        <w:jc w:val="both"/>
        <w:rPr>
          <w:rFonts w:ascii="Times New Roman" w:hAnsi="Times New Roman" w:cs="Times New Roman"/>
          <w:sz w:val="24"/>
          <w:szCs w:val="24"/>
        </w:rPr>
      </w:pPr>
      <w:r>
        <w:t xml:space="preserve">Face dorsale: l’aponévrose prostato-péritonéale de Denonvilliers, s’étendant du périnée au cul-de-sac de Douglas. Elle est l’équivalent du ligament large chez la femme. Elle est riche en fibres musculaires lisses. </w:t>
      </w:r>
    </w:p>
    <w:p w14:paraId="41DD6840" w14:textId="77777777" w:rsidR="00A90C56" w:rsidRDefault="00000000">
      <w:pPr>
        <w:pStyle w:val="ListParagraph"/>
        <w:numPr>
          <w:ilvl w:val="0"/>
          <w:numId w:val="2"/>
        </w:numPr>
        <w:jc w:val="both"/>
        <w:rPr>
          <w:rFonts w:ascii="Times New Roman" w:hAnsi="Times New Roman" w:cs="Times New Roman"/>
          <w:sz w:val="24"/>
          <w:szCs w:val="24"/>
        </w:rPr>
      </w:pPr>
      <w:r>
        <w:t xml:space="preserve">Parois latérales: les membranes obturatrices et les lames sacro-recto-génito-pubienne constituées de fibres  musculaires lisses. Elles sont parcourues par le plexus hypogastrique inférieur. </w:t>
      </w:r>
    </w:p>
    <w:p w14:paraId="65F53830" w14:textId="77777777" w:rsidR="00A90C56" w:rsidRDefault="00000000">
      <w:pPr>
        <w:pStyle w:val="Heading2"/>
        <w:spacing w:before="160" w:after="80"/>
        <w:jc w:val="both"/>
        <w:rPr>
          <w:rFonts w:ascii="Times New Roman" w:hAnsi="Times New Roman" w:cs="Times New Roman"/>
          <w:sz w:val="24"/>
          <w:szCs w:val="24"/>
        </w:rPr>
      </w:pPr>
      <w:r>
        <w:lastRenderedPageBreak/>
        <w:t>4.2. Vésicules séminales</w:t>
      </w:r>
    </w:p>
    <w:p w14:paraId="0B797A95" w14:textId="77777777" w:rsidR="00A90C56" w:rsidRDefault="00000000">
      <w:pPr>
        <w:pStyle w:val="Heading1"/>
        <w:spacing w:before="160" w:after="80"/>
        <w:rPr>
          <w:color w:val="auto"/>
        </w:rPr>
      </w:pPr>
      <w:r>
        <w:t>5. Vascularisation</w:t>
      </w:r>
    </w:p>
    <w:p w14:paraId="4E60643E" w14:textId="77777777" w:rsidR="00A90C56" w:rsidRDefault="00000000">
      <w:pPr>
        <w:pStyle w:val="Heading2"/>
        <w:spacing w:before="160" w:after="80"/>
        <w:jc w:val="both"/>
        <w:rPr>
          <w:rFonts w:ascii="Times New Roman" w:hAnsi="Times New Roman" w:cs="Times New Roman"/>
          <w:sz w:val="24"/>
          <w:szCs w:val="24"/>
        </w:rPr>
      </w:pPr>
      <w:r>
        <w:t>5.1. Testicules</w:t>
      </w:r>
    </w:p>
    <w:p w14:paraId="62F28E9D" w14:textId="5373363B" w:rsidR="00A90C56" w:rsidRDefault="00000000">
      <w:pPr>
        <w:pStyle w:val="ListParagraph"/>
        <w:numPr>
          <w:ilvl w:val="0"/>
          <w:numId w:val="5"/>
        </w:numPr>
        <w:jc w:val="both"/>
        <w:rPr>
          <w:rFonts w:ascii="Times New Roman" w:hAnsi="Times New Roman" w:cs="Times New Roman"/>
          <w:sz w:val="24"/>
          <w:szCs w:val="24"/>
        </w:rPr>
      </w:pPr>
      <w:proofErr w:type="gramStart"/>
      <w:r>
        <w:t>Artérielle:</w:t>
      </w:r>
      <w:proofErr w:type="gramEnd"/>
      <w:r>
        <w:t xml:space="preserve"> l’artère spermatique naît de l’aorte abdominale, près de l’artère </w:t>
      </w:r>
      <w:proofErr w:type="gramStart"/>
      <w:r>
        <w:t>rénale;</w:t>
      </w:r>
      <w:proofErr w:type="gramEnd"/>
    </w:p>
    <w:p w14:paraId="0E56130D" w14:textId="05F4592B" w:rsidR="00A90C56" w:rsidRDefault="00000000">
      <w:pPr>
        <w:pStyle w:val="ListParagraph"/>
        <w:numPr>
          <w:ilvl w:val="0"/>
          <w:numId w:val="5"/>
        </w:numPr>
        <w:jc w:val="both"/>
        <w:rPr>
          <w:rFonts w:ascii="Times New Roman" w:hAnsi="Times New Roman" w:cs="Times New Roman"/>
          <w:sz w:val="24"/>
          <w:szCs w:val="24"/>
        </w:rPr>
      </w:pPr>
      <w:r>
        <w:t>Veineuse : la vascularisation veineuse du testicule présente des particularités proches de celle de l’ovaire. La veine spermatique droite rejoint la veine cave inférieure, tandis que la veine spermatique gauche rejoint la veine rénale gauche. Une stase veineuse gauche peut favoriser une varicocèle et retentir sur le spermogramme. On parle classiquement d’oligozoospermie lorsque la concentration de spermatozoïdes est inférieure aux valeurs de référence, autour de 15 millions/mL selon les référentiels utilisés ; des valeurs très basses correspondent à des formes plus sévères. L’hypospermie correspond à un volume d’éjaculat inférieur aux valeurs attendues.</w:t>
      </w:r>
    </w:p>
    <w:p w14:paraId="1725906C" w14:textId="0A0D7109" w:rsidR="00A90C56" w:rsidRDefault="00000000">
      <w:pPr>
        <w:pStyle w:val="ListParagraph"/>
        <w:ind w:left="1069"/>
        <w:jc w:val="both"/>
        <w:rPr>
          <w:rFonts w:ascii="Times New Roman" w:hAnsi="Times New Roman" w:cs="Times New Roman"/>
          <w:sz w:val="24"/>
          <w:szCs w:val="24"/>
        </w:rPr>
      </w:pPr>
      <w:r>
        <w:t xml:space="preserve">Le système veineux maintient la prostate en place et amortit les microtraumatismes dont la prostate peut être victime. Le retour veineux est sous le double contrôle du système porte. Comme pour les hémorroïdes, toute congestion du système porte, et donc du foie, entraîne une congestion de la prostate. </w:t>
      </w:r>
    </w:p>
    <w:p w14:paraId="172249A4" w14:textId="77777777" w:rsidR="00A90C56" w:rsidRDefault="00000000">
      <w:pPr>
        <w:pStyle w:val="EncadreROP"/>
        <w:ind w:left="1069"/>
        <w:jc w:val="both"/>
        <w:rPr>
          <w:rFonts w:ascii="Times New Roman" w:hAnsi="Times New Roman" w:cs="Times New Roman"/>
          <w:sz w:val="24"/>
          <w:szCs w:val="24"/>
        </w:rPr>
      </w:pPr>
      <w:r>
        <w:t>INTÉRÊT EN ROP</w:t>
      </w:r>
    </w:p>
    <w:p w14:paraId="196FDA38" w14:textId="77777777" w:rsidR="00A90C56" w:rsidRDefault="00000000">
      <w:pPr>
        <w:pStyle w:val="ListParagraph"/>
        <w:ind w:left="1069"/>
        <w:jc w:val="both"/>
        <w:rPr>
          <w:rFonts w:ascii="Times New Roman" w:hAnsi="Times New Roman" w:cs="Times New Roman"/>
          <w:sz w:val="24"/>
          <w:szCs w:val="24"/>
        </w:rPr>
      </w:pPr>
      <w:r>
        <w:t>Le foie, le rein gauche et l’intestin grêle font partie des zones réflexes à aborder quand on traite le système uro-génital et les problèmes veineux des membres inférieurs.</w:t>
      </w:r>
    </w:p>
    <w:p w14:paraId="73134E50" w14:textId="678EC568" w:rsidR="00A90C56" w:rsidRDefault="00000000">
      <w:pPr>
        <w:pStyle w:val="ListParagraph"/>
        <w:ind w:left="1069"/>
        <w:jc w:val="both"/>
        <w:rPr>
          <w:rFonts w:ascii="Times New Roman" w:hAnsi="Times New Roman" w:cs="Times New Roman"/>
          <w:sz w:val="24"/>
          <w:szCs w:val="24"/>
        </w:rPr>
      </w:pPr>
      <w:r>
        <w:t>La fixation du rein gauche ou le clampage de la veine rénale par la racine du mésentère ou par la pince aorto-</w:t>
      </w:r>
      <w:proofErr w:type="gramStart"/>
      <w:r>
        <w:t>mésentérique  à</w:t>
      </w:r>
      <w:proofErr w:type="gramEnd"/>
      <w:r>
        <w:t xml:space="preserve"> la suite de ptose de l’intestin grêle, freine le retour veineux dans la cavité pelvienne, occasionnant des varicocèles gauches et des varices prédominant dans le membre inférieur gauche. Prostate et vésicules séminales:</w:t>
      </w:r>
    </w:p>
    <w:p w14:paraId="46B04734" w14:textId="77777777" w:rsidR="00A90C56" w:rsidRDefault="00000000">
      <w:pPr>
        <w:pStyle w:val="Heading1"/>
        <w:spacing w:before="160" w:after="80"/>
        <w:rPr>
          <w:color w:val="auto"/>
        </w:rPr>
      </w:pPr>
      <w:r>
        <w:t>6. Innervation</w:t>
      </w:r>
    </w:p>
    <w:p w14:paraId="73A85E58" w14:textId="77777777" w:rsidR="00A90C56" w:rsidRDefault="00000000">
      <w:pPr>
        <w:pStyle w:val="Heading2"/>
        <w:spacing w:before="160" w:after="80"/>
        <w:jc w:val="both"/>
        <w:rPr>
          <w:rFonts w:ascii="Times New Roman" w:hAnsi="Times New Roman" w:cs="Times New Roman"/>
          <w:sz w:val="24"/>
          <w:szCs w:val="24"/>
        </w:rPr>
      </w:pPr>
      <w:r>
        <w:t>6.1. Testicules</w:t>
      </w:r>
    </w:p>
    <w:p w14:paraId="1D38489D" w14:textId="40B61267" w:rsidR="00A90C56" w:rsidRDefault="00000000">
      <w:pPr>
        <w:pStyle w:val="ListParagraph"/>
        <w:numPr>
          <w:ilvl w:val="0"/>
          <w:numId w:val="36"/>
        </w:numPr>
        <w:jc w:val="both"/>
        <w:rPr>
          <w:rFonts w:ascii="Times New Roman" w:hAnsi="Times New Roman" w:cs="Times New Roman"/>
          <w:sz w:val="24"/>
          <w:szCs w:val="24"/>
        </w:rPr>
      </w:pPr>
      <w:proofErr w:type="gramStart"/>
      <w:r>
        <w:t>Sympathique:</w:t>
      </w:r>
      <w:proofErr w:type="gramEnd"/>
      <w:r>
        <w:t xml:space="preserve"> origine médullaire Th10-Th11 et Th</w:t>
      </w:r>
      <w:proofErr w:type="gramStart"/>
      <w:r>
        <w:t>12;</w:t>
      </w:r>
      <w:proofErr w:type="gramEnd"/>
      <w:r>
        <w:t xml:space="preserve"> </w:t>
      </w:r>
    </w:p>
    <w:p w14:paraId="13465F38" w14:textId="77777777" w:rsidR="00A90C56" w:rsidRDefault="00000000">
      <w:pPr>
        <w:pStyle w:val="ListParagraph"/>
        <w:numPr>
          <w:ilvl w:val="0"/>
          <w:numId w:val="36"/>
        </w:numPr>
        <w:jc w:val="both"/>
        <w:rPr>
          <w:rFonts w:ascii="Times New Roman" w:hAnsi="Times New Roman" w:cs="Times New Roman"/>
          <w:sz w:val="24"/>
          <w:szCs w:val="24"/>
        </w:rPr>
      </w:pPr>
      <w:r>
        <w:t>Parasympathique pelvien S2 à S4 (à hauteur de la vertèbre L1</w:t>
      </w:r>
      <w:proofErr w:type="gramStart"/>
      <w:r>
        <w:t>);</w:t>
      </w:r>
      <w:proofErr w:type="gramEnd"/>
    </w:p>
    <w:p w14:paraId="0DBF92F5" w14:textId="77777777" w:rsidR="00A90C56" w:rsidRDefault="00000000">
      <w:pPr>
        <w:pStyle w:val="ListParagraph"/>
        <w:numPr>
          <w:ilvl w:val="0"/>
          <w:numId w:val="36"/>
        </w:numPr>
        <w:jc w:val="both"/>
        <w:rPr>
          <w:rFonts w:ascii="Times New Roman" w:hAnsi="Times New Roman" w:cs="Times New Roman"/>
          <w:sz w:val="24"/>
          <w:szCs w:val="24"/>
        </w:rPr>
      </w:pPr>
      <w:r>
        <w:t>Plexus aortorénal: situé en avant de l’artère rénale, il reçoit le nerf petit splanchnique issu des 10ème, 11ème et 12ème ganglions thoraciques et du 1er  ganglion lombaire. Il est destiné au rein et au testicule.</w:t>
      </w:r>
    </w:p>
    <w:p w14:paraId="0975698B" w14:textId="77777777" w:rsidR="00A90C56" w:rsidRDefault="00000000">
      <w:pPr>
        <w:pStyle w:val="Heading2"/>
        <w:spacing w:before="160" w:after="80"/>
        <w:jc w:val="both"/>
        <w:rPr>
          <w:rFonts w:ascii="Times New Roman" w:hAnsi="Times New Roman" w:cs="Times New Roman"/>
          <w:sz w:val="24"/>
          <w:szCs w:val="24"/>
        </w:rPr>
      </w:pPr>
      <w:r>
        <w:t>6.2. Prostate</w:t>
      </w:r>
    </w:p>
    <w:p w14:paraId="785EB73C" w14:textId="77777777" w:rsidR="00A90C56" w:rsidRDefault="00000000">
      <w:pPr>
        <w:pStyle w:val="ListParagraph"/>
        <w:numPr>
          <w:ilvl w:val="0"/>
          <w:numId w:val="37"/>
        </w:numPr>
        <w:jc w:val="both"/>
        <w:rPr>
          <w:rFonts w:ascii="Times New Roman" w:hAnsi="Times New Roman" w:cs="Times New Roman"/>
          <w:sz w:val="24"/>
          <w:szCs w:val="24"/>
        </w:rPr>
      </w:pPr>
      <w:r>
        <w:t>Sympathique: Th12-L1-L2 et ganglion mésentérique inférieur;</w:t>
      </w:r>
    </w:p>
    <w:p w14:paraId="64A86C69" w14:textId="77777777" w:rsidR="00A90C56" w:rsidRDefault="00000000">
      <w:pPr>
        <w:pStyle w:val="ListParagraph"/>
        <w:numPr>
          <w:ilvl w:val="0"/>
          <w:numId w:val="37"/>
        </w:numPr>
        <w:jc w:val="both"/>
        <w:rPr>
          <w:rFonts w:ascii="Times New Roman" w:hAnsi="Times New Roman" w:cs="Times New Roman"/>
          <w:sz w:val="24"/>
          <w:szCs w:val="24"/>
        </w:rPr>
      </w:pPr>
      <w:r>
        <w:t>Parasympathique: l’origine est la moelle sacrée S2 à S4, à hauteur de la vertèbre L1. Les  2ème, 3ème et 4ème racines sacrées  forment le nerf érecteur d’Eckardt destiné aux organes pelviens;</w:t>
      </w:r>
    </w:p>
    <w:p w14:paraId="2C53DC7A" w14:textId="01E1462D" w:rsidR="00A90C56" w:rsidRDefault="00000000">
      <w:pPr>
        <w:pStyle w:val="ListParagraph"/>
        <w:numPr>
          <w:ilvl w:val="0"/>
          <w:numId w:val="37"/>
        </w:numPr>
        <w:jc w:val="both"/>
        <w:rPr>
          <w:rFonts w:ascii="Times New Roman" w:hAnsi="Times New Roman" w:cs="Times New Roman"/>
          <w:sz w:val="24"/>
          <w:szCs w:val="24"/>
        </w:rPr>
      </w:pPr>
      <w:r>
        <w:t xml:space="preserve">Plexus hypogastrique </w:t>
      </w:r>
      <w:proofErr w:type="gramStart"/>
      <w:r>
        <w:t>supérieur:</w:t>
      </w:r>
      <w:proofErr w:type="gramEnd"/>
      <w:r>
        <w:t xml:space="preserve"> il apporte l’innervation sympathique au plexus hypogastrique inférieur. </w:t>
      </w:r>
    </w:p>
    <w:p w14:paraId="283DF01D" w14:textId="77777777" w:rsidR="00A90C56" w:rsidRDefault="00000000">
      <w:pPr>
        <w:pStyle w:val="ListParagraph"/>
        <w:numPr>
          <w:ilvl w:val="0"/>
          <w:numId w:val="37"/>
        </w:numPr>
        <w:jc w:val="both"/>
        <w:rPr>
          <w:rFonts w:ascii="Times New Roman" w:hAnsi="Times New Roman" w:cs="Times New Roman"/>
          <w:sz w:val="24"/>
          <w:szCs w:val="24"/>
        </w:rPr>
      </w:pPr>
      <w:r>
        <w:t xml:space="preserve">Plexus hypogastrique </w:t>
      </w:r>
      <w:proofErr w:type="gramStart"/>
      <w:r>
        <w:t>inférieur:</w:t>
      </w:r>
      <w:proofErr w:type="gramEnd"/>
      <w:r>
        <w:t xml:space="preserve"> il est situé dans la cavité pelvienne, contenu dans la lame sacro-recto-génito-pubienne. Il apporte l’innervation autonome aux organes pelviens.</w:t>
      </w:r>
    </w:p>
    <w:p w14:paraId="6B31606C" w14:textId="77777777" w:rsidR="00A90C56" w:rsidRDefault="00A90C56">
      <w:pPr>
        <w:pStyle w:val="ListParagraph"/>
        <w:ind w:left="660"/>
        <w:jc w:val="both"/>
        <w:rPr>
          <w:rFonts w:ascii="Times New Roman" w:hAnsi="Times New Roman" w:cs="Times New Roman"/>
          <w:sz w:val="24"/>
          <w:szCs w:val="24"/>
        </w:rPr>
      </w:pPr>
    </w:p>
    <w:p w14:paraId="604D11E8" w14:textId="77777777" w:rsidR="00A90C56" w:rsidRDefault="00000000">
      <w:pPr>
        <w:pStyle w:val="Heading1"/>
        <w:spacing w:before="160" w:after="80"/>
        <w:rPr>
          <w:color w:val="auto"/>
        </w:rPr>
      </w:pPr>
      <w:r>
        <w:t>7. Physiologie</w:t>
      </w:r>
    </w:p>
    <w:p w14:paraId="07B4E918" w14:textId="77777777" w:rsidR="00A90C56" w:rsidRDefault="00000000">
      <w:pPr>
        <w:pStyle w:val="Heading2"/>
        <w:spacing w:before="160" w:after="80"/>
        <w:jc w:val="both"/>
        <w:rPr>
          <w:rFonts w:ascii="Times New Roman" w:hAnsi="Times New Roman" w:cs="Times New Roman"/>
          <w:sz w:val="24"/>
          <w:szCs w:val="24"/>
        </w:rPr>
      </w:pPr>
      <w:r>
        <w:t>7.1. Testicules</w:t>
      </w:r>
    </w:p>
    <w:p w14:paraId="425F0234" w14:textId="77777777" w:rsidR="00A90C56" w:rsidRDefault="00000000">
      <w:pPr>
        <w:pStyle w:val="Heading3"/>
        <w:spacing w:before="160" w:after="80"/>
        <w:rPr>
          <w:rFonts w:ascii="Times New Roman" w:hAnsi="Times New Roman" w:cs="Times New Roman"/>
          <w:sz w:val="24"/>
          <w:szCs w:val="24"/>
        </w:rPr>
      </w:pPr>
      <w:r>
        <w:t>7.1.1. Spermatogenèse</w:t>
      </w:r>
    </w:p>
    <w:p w14:paraId="51E45F7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7.1.2. Stéroïdogenèse</w:t>
      </w:r>
    </w:p>
    <w:p w14:paraId="412FBC50"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7.1.3. Contribution des corticosurrénales</w:t>
      </w:r>
    </w:p>
    <w:p w14:paraId="5F581F9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7.1.4. Régulation par les centres supérieurs</w:t>
      </w:r>
    </w:p>
    <w:p w14:paraId="52C14F48"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7.1.5. Immunité</w:t>
      </w:r>
    </w:p>
    <w:p w14:paraId="5D0B4C0E" w14:textId="77777777" w:rsidR="00A90C56" w:rsidRDefault="00A90C56">
      <w:pPr>
        <w:pStyle w:val="ListParagraph"/>
        <w:spacing w:before="100" w:beforeAutospacing="1" w:after="24" w:line="240" w:lineRule="auto"/>
        <w:ind w:left="927"/>
        <w:rPr>
          <w:rFonts w:ascii="Times New Roman" w:eastAsia="Times New Roman" w:hAnsi="Times New Roman" w:cs="Times New Roman"/>
          <w:color w:val="202122"/>
          <w:sz w:val="24"/>
          <w:szCs w:val="24"/>
          <w:lang w:eastAsia="fr-FR"/>
        </w:rPr>
      </w:pPr>
    </w:p>
    <w:p w14:paraId="15719931" w14:textId="77777777" w:rsidR="00A90C56" w:rsidRDefault="00000000">
      <w:pPr>
        <w:pStyle w:val="Heading2"/>
        <w:spacing w:before="160" w:beforeAutospacing="1" w:after="80" w:line="240" w:lineRule="auto"/>
        <w:rPr>
          <w:rFonts w:ascii="Times New Roman" w:eastAsia="Times New Roman" w:hAnsi="Times New Roman" w:cs="Times New Roman"/>
          <w:color w:val="202122"/>
          <w:sz w:val="24"/>
          <w:szCs w:val="24"/>
          <w:lang w:eastAsia="fr-FR"/>
        </w:rPr>
      </w:pPr>
      <w:r>
        <w:t>7.2. Prostate et vésicules séminales</w:t>
      </w:r>
    </w:p>
    <w:p w14:paraId="420EBA0D"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7.2.1. Rôle mécanique</w:t>
      </w:r>
    </w:p>
    <w:p w14:paraId="4A0468F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7.2.2. Continence urinaire</w:t>
      </w:r>
    </w:p>
    <w:p w14:paraId="263C1A03"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7.2.3. Constitution du sperme</w:t>
      </w:r>
    </w:p>
    <w:p w14:paraId="6ABE9ABC" w14:textId="77777777" w:rsidR="00A90C56" w:rsidRDefault="00000000">
      <w:pPr>
        <w:pStyle w:val="Heading3"/>
        <w:spacing w:before="160" w:after="80"/>
        <w:jc w:val="both"/>
        <w:rPr>
          <w:rFonts w:ascii="Times New Roman" w:hAnsi="Times New Roman" w:cs="Times New Roman"/>
          <w:sz w:val="24"/>
          <w:szCs w:val="24"/>
        </w:rPr>
      </w:pPr>
      <w:r>
        <w:t>7.2.4. Rôle des sécrétions prostatiques</w:t>
      </w:r>
    </w:p>
    <w:p w14:paraId="2D432099" w14:textId="77777777" w:rsidR="00A90C56" w:rsidRDefault="00000000">
      <w:pPr>
        <w:pStyle w:val="ListParagraph"/>
        <w:numPr>
          <w:ilvl w:val="0"/>
          <w:numId w:val="38"/>
        </w:numPr>
        <w:jc w:val="both"/>
        <w:rPr>
          <w:rFonts w:ascii="Times New Roman" w:hAnsi="Times New Roman" w:cs="Times New Roman"/>
          <w:sz w:val="24"/>
          <w:szCs w:val="24"/>
        </w:rPr>
      </w:pPr>
      <w:r>
        <w:t>La fluidité du liquide séminal grâce à des enzymes prostatiques, dont l’antigène prostatique spécifique (PSA) ;</w:t>
      </w:r>
    </w:p>
    <w:p w14:paraId="0346628E" w14:textId="77777777" w:rsidR="00A90C56" w:rsidRDefault="00000000">
      <w:pPr>
        <w:pStyle w:val="ListParagraph"/>
        <w:numPr>
          <w:ilvl w:val="0"/>
          <w:numId w:val="38"/>
        </w:numPr>
        <w:jc w:val="both"/>
        <w:rPr>
          <w:rFonts w:ascii="Times New Roman" w:hAnsi="Times New Roman" w:cs="Times New Roman"/>
          <w:sz w:val="24"/>
          <w:szCs w:val="24"/>
        </w:rPr>
      </w:pPr>
      <w:r>
        <w:t>L’apport de composants tels que le citrate, le zinc et des enzymes participant à la fonction du sperme ;</w:t>
      </w:r>
    </w:p>
    <w:p w14:paraId="3E3F9450" w14:textId="77777777" w:rsidR="00A90C56" w:rsidRDefault="00000000">
      <w:pPr>
        <w:pStyle w:val="ListParagraph"/>
        <w:numPr>
          <w:ilvl w:val="0"/>
          <w:numId w:val="38"/>
        </w:numPr>
        <w:jc w:val="both"/>
        <w:rPr>
          <w:rFonts w:ascii="Times New Roman" w:hAnsi="Times New Roman" w:cs="Times New Roman"/>
          <w:sz w:val="24"/>
          <w:szCs w:val="24"/>
        </w:rPr>
      </w:pPr>
      <w:r>
        <w:t>La participation à l’équilibre du pH du sperme, en complément des sécrétions des vésicules séminales.</w:t>
      </w:r>
    </w:p>
    <w:p w14:paraId="282999C8" w14:textId="77777777" w:rsidR="00A90C56" w:rsidRDefault="00000000">
      <w:pPr>
        <w:pStyle w:val="ListParagraph"/>
        <w:ind w:left="2046"/>
        <w:jc w:val="both"/>
        <w:rPr>
          <w:rFonts w:ascii="Times New Roman" w:eastAsia="Times New Roman" w:hAnsi="Times New Roman" w:cs="Times New Roman"/>
          <w:color w:val="202122"/>
          <w:sz w:val="24"/>
          <w:szCs w:val="24"/>
          <w:lang w:eastAsia="fr-FR"/>
        </w:rPr>
      </w:pPr>
      <w:r>
        <w:t>Par ses sécrétions, la prostate contribue à la mobilité et à la viabilité des spermatozoïdes, sans être à elle seule responsable de la fécondance du sperme.</w:t>
      </w:r>
    </w:p>
    <w:p w14:paraId="5EFD5A88"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7.2.5. Rôle des vésicules séminales</w:t>
      </w:r>
    </w:p>
    <w:p w14:paraId="3886FB2F" w14:textId="77777777" w:rsidR="00A90C56" w:rsidRDefault="00000000">
      <w:pPr>
        <w:pStyle w:val="Heading1"/>
        <w:spacing w:before="160" w:after="80"/>
        <w:rPr>
          <w:rFonts w:eastAsia="Times New Roman"/>
          <w:color w:val="auto"/>
          <w:lang w:eastAsia="fr-FR"/>
        </w:rPr>
      </w:pPr>
      <w:r>
        <w:t>8. Pathologies courantes</w:t>
      </w:r>
    </w:p>
    <w:p w14:paraId="2D5F0381" w14:textId="77777777" w:rsidR="00A90C56" w:rsidRDefault="00000000">
      <w:pPr>
        <w:pStyle w:val="Heading2"/>
        <w:spacing w:before="160" w:after="80"/>
        <w:rPr>
          <w:rFonts w:ascii="Times New Roman" w:hAnsi="Times New Roman" w:cs="Times New Roman"/>
          <w:sz w:val="24"/>
          <w:szCs w:val="24"/>
          <w:lang w:eastAsia="fr-FR"/>
        </w:rPr>
      </w:pPr>
      <w:r>
        <w:t>8.1. Diagnostic d’exclusion</w:t>
      </w:r>
    </w:p>
    <w:p w14:paraId="31164601" w14:textId="77777777" w:rsidR="00A90C56" w:rsidRDefault="00000000">
      <w:pPr>
        <w:pStyle w:val="Heading3"/>
        <w:spacing w:before="160" w:after="80"/>
        <w:rPr>
          <w:rFonts w:ascii="Times New Roman" w:hAnsi="Times New Roman" w:cs="Times New Roman"/>
          <w:sz w:val="24"/>
          <w:szCs w:val="24"/>
          <w:lang w:eastAsia="fr-FR"/>
        </w:rPr>
      </w:pPr>
      <w:r>
        <w:t>8.1.1. Cancer du testicule</w:t>
      </w:r>
    </w:p>
    <w:p w14:paraId="3E885B8C" w14:textId="77777777" w:rsidR="00A90C56" w:rsidRDefault="00000000">
      <w:pPr>
        <w:pStyle w:val="ListParagraph"/>
        <w:ind w:left="1353"/>
        <w:rPr>
          <w:rFonts w:ascii="Times New Roman" w:hAnsi="Times New Roman" w:cs="Times New Roman"/>
          <w:color w:val="000000"/>
          <w:sz w:val="24"/>
          <w:szCs w:val="24"/>
          <w:shd w:val="clear" w:color="auto" w:fill="FFFFFF"/>
        </w:rPr>
      </w:pPr>
      <w:r>
        <w:t xml:space="preserve"> Le mode de découverte le plus fréquent est l'augmentation de volume. La cause est une mutation de l'ADN des cellules du testicule qui se multiplient rapidement pour former une tumeur. La cryptorchidie (testicule non descendu) est cause de cancer du testicule.</w:t>
      </w:r>
    </w:p>
    <w:p w14:paraId="102CD2C5" w14:textId="77777777" w:rsidR="00A90C56" w:rsidRDefault="00000000">
      <w:pPr>
        <w:pStyle w:val="ListParagraph"/>
        <w:numPr>
          <w:ilvl w:val="0"/>
          <w:numId w:val="39"/>
        </w:numPr>
        <w:rPr>
          <w:rFonts w:ascii="Times New Roman" w:hAnsi="Times New Roman" w:cs="Times New Roman"/>
          <w:color w:val="000000"/>
          <w:sz w:val="24"/>
          <w:szCs w:val="24"/>
          <w:shd w:val="clear" w:color="auto" w:fill="FFFFFF"/>
        </w:rPr>
      </w:pPr>
      <w:r>
        <w:lastRenderedPageBreak/>
        <w:t>Evolution: c’est le risque de métastases aux ganglions lymphatiques, au foie et aux poumons.</w:t>
      </w:r>
    </w:p>
    <w:p w14:paraId="229E78EE" w14:textId="77777777" w:rsidR="00A90C56" w:rsidRDefault="00000000">
      <w:pPr>
        <w:pStyle w:val="ListParagraph"/>
        <w:keepNext/>
        <w:numPr>
          <w:ilvl w:val="0"/>
          <w:numId w:val="39"/>
        </w:numPr>
        <w:rPr>
          <w:rFonts w:ascii="Times New Roman" w:hAnsi="Times New Roman" w:cs="Times New Roman"/>
          <w:color w:val="000000"/>
          <w:sz w:val="24"/>
          <w:szCs w:val="24"/>
          <w:shd w:val="clear" w:color="auto" w:fill="FFFFFF"/>
        </w:rPr>
      </w:pPr>
      <w:r>
        <w:t>Symptômes:</w:t>
      </w:r>
    </w:p>
    <w:p w14:paraId="34920021"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Grosseur ou gonflement dans le testicule;</w:t>
      </w:r>
    </w:p>
    <w:p w14:paraId="601BB845"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Douleur ou une gêne au niveau du testicule;</w:t>
      </w:r>
    </w:p>
    <w:p w14:paraId="22791772"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Douleur ou une sensation de lourdeur dans le bas de l'abdomen ou du dos;</w:t>
      </w:r>
    </w:p>
    <w:p w14:paraId="1A8524DE"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Hypertrophie du tissu mammaire;</w:t>
      </w:r>
    </w:p>
    <w:p w14:paraId="00E411D3"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Modification de la voix et la croissance des poils du visage et du corps chez les garçons prépubères.</w:t>
      </w:r>
    </w:p>
    <w:p w14:paraId="488C6F78" w14:textId="77777777" w:rsidR="00A90C56" w:rsidRDefault="00000000">
      <w:pPr>
        <w:pStyle w:val="ListParagraph"/>
        <w:ind w:left="993"/>
        <w:jc w:val="center"/>
        <w:rPr>
          <w:rFonts w:ascii="Times New Roman" w:hAnsi="Times New Roman" w:cs="Times New Roman"/>
          <w:color w:val="333333"/>
          <w:sz w:val="24"/>
          <w:szCs w:val="24"/>
          <w:shd w:val="clear" w:color="auto" w:fill="FFFFFF"/>
        </w:rPr>
      </w:pPr>
      <w:r>
        <w:t>Le principal traitement est l’ablation du testicule (orchidectomie)</w:t>
      </w:r>
    </w:p>
    <w:p w14:paraId="4E9D21B1" w14:textId="77777777" w:rsidR="00A90C56" w:rsidRDefault="00A90C56">
      <w:pPr>
        <w:pStyle w:val="ListParagraph"/>
        <w:ind w:left="1429"/>
        <w:rPr>
          <w:rFonts w:ascii="Times New Roman" w:eastAsia="Times New Roman" w:hAnsi="Times New Roman" w:cs="Times New Roman"/>
          <w:color w:val="000000"/>
          <w:sz w:val="24"/>
          <w:szCs w:val="24"/>
          <w:lang w:eastAsia="fr-FR"/>
        </w:rPr>
      </w:pPr>
    </w:p>
    <w:p w14:paraId="7D225319" w14:textId="77777777" w:rsidR="00A90C56" w:rsidRDefault="00000000">
      <w:pPr>
        <w:pStyle w:val="Heading3"/>
        <w:spacing w:before="160" w:after="80"/>
        <w:jc w:val="both"/>
        <w:rPr>
          <w:rFonts w:ascii="Times New Roman" w:eastAsia="Times New Roman" w:hAnsi="Times New Roman" w:cs="Times New Roman"/>
          <w:color w:val="000000"/>
          <w:sz w:val="24"/>
          <w:szCs w:val="24"/>
          <w:lang w:eastAsia="fr-FR"/>
        </w:rPr>
      </w:pPr>
      <w:r>
        <w:t>8.1.2. Torsion testiculaire</w:t>
      </w:r>
    </w:p>
    <w:p w14:paraId="28DAD115" w14:textId="77777777" w:rsidR="00A90C56" w:rsidRDefault="00000000">
      <w:pPr>
        <w:pStyle w:val="ListParagraph"/>
        <w:keepNext/>
        <w:ind w:left="1494"/>
        <w:rPr>
          <w:rFonts w:ascii="source_sans_proregular" w:hAnsi="source_sans_proregular"/>
          <w:color w:val="000000"/>
          <w:sz w:val="24"/>
          <w:szCs w:val="24"/>
          <w:shd w:val="clear" w:color="auto" w:fill="FFFFFF"/>
        </w:rPr>
      </w:pPr>
      <w:r>
        <w:t>Les deux périodes de découverte de la torsion testiculaire sont:</w:t>
      </w:r>
    </w:p>
    <w:p w14:paraId="6D93D4CA" w14:textId="77777777" w:rsidR="00A90C56" w:rsidRDefault="00000000">
      <w:pPr>
        <w:pStyle w:val="text-align-justify"/>
        <w:numPr>
          <w:ilvl w:val="0"/>
          <w:numId w:val="30"/>
        </w:numPr>
        <w:spacing w:before="0" w:beforeAutospacing="0"/>
        <w:jc w:val="both"/>
        <w:rPr>
          <w:color w:val="000000"/>
        </w:rPr>
      </w:pPr>
      <w:r>
        <w:t>Période périnatale: la torsion testiculaire se manifeste par une augmentation du volume du testicule, qui prend une couleur bleutée ou rouge. Le testicule devient particulièrement sensible au toucher et le nouveau-né manifeste la douleur ressentie par des pleurs soudains.</w:t>
      </w:r>
    </w:p>
    <w:p w14:paraId="5B573222" w14:textId="77777777" w:rsidR="00A90C56" w:rsidRDefault="00000000">
      <w:pPr>
        <w:pStyle w:val="ListParagraph"/>
        <w:numPr>
          <w:ilvl w:val="0"/>
          <w:numId w:val="29"/>
        </w:numPr>
        <w:rPr>
          <w:rFonts w:ascii="Times New Roman" w:hAnsi="Times New Roman" w:cs="Times New Roman"/>
          <w:color w:val="000000"/>
          <w:sz w:val="24"/>
          <w:szCs w:val="24"/>
          <w:shd w:val="clear" w:color="auto" w:fill="FFFFFF"/>
        </w:rPr>
      </w:pPr>
      <w:r>
        <w:t>Période pubertaire: la torsion testiculaire peut survenir à l’adolescence, avec l’augmentation rapide du volume des testicules au moment de la puberté.</w:t>
      </w:r>
    </w:p>
    <w:p w14:paraId="3B2B19CB" w14:textId="77777777" w:rsidR="00A90C56" w:rsidRDefault="00000000">
      <w:pPr>
        <w:pStyle w:val="ListParagraph"/>
        <w:ind w:left="1636"/>
        <w:rPr>
          <w:rFonts w:ascii="Times New Roman" w:hAnsi="Times New Roman" w:cs="Times New Roman"/>
          <w:color w:val="000000"/>
          <w:sz w:val="24"/>
          <w:szCs w:val="24"/>
          <w:shd w:val="clear" w:color="auto" w:fill="FFFFFF"/>
        </w:rPr>
      </w:pPr>
      <w:r>
        <w:t>Les symptômes sont une douleur intense et soudaine ressentie au niveau du testicule. Elle peut se propager au niveau de l’aine et/ou dans la région lombaire. L’intervention chirurgicale est le seul traitement viable: l’ablation du testicule (orchidectomie).</w:t>
      </w:r>
    </w:p>
    <w:p w14:paraId="7F89599C" w14:textId="77777777" w:rsidR="00A90C56" w:rsidRDefault="00000000">
      <w:pPr>
        <w:ind w:left="1429"/>
        <w:rPr>
          <w:rFonts w:ascii="Times New Roman" w:hAnsi="Times New Roman" w:cs="Times New Roman"/>
          <w:color w:val="000000"/>
          <w:sz w:val="24"/>
          <w:szCs w:val="24"/>
          <w:shd w:val="clear" w:color="auto" w:fill="FFFFFF"/>
        </w:rPr>
      </w:pPr>
      <w:r>
        <w:t>La torsion testiculaire ne constitue pas un facteur d’infertilité pour l’homme. Le testicule restant suffit à la production de spermatozoïdes, bien que l’on constate souvent une diminution de la fertilité.</w:t>
      </w:r>
    </w:p>
    <w:p w14:paraId="533F9FD8" w14:textId="77777777" w:rsidR="00A90C56" w:rsidRDefault="00000000">
      <w:pPr>
        <w:pStyle w:val="Heading3"/>
        <w:spacing w:before="160" w:after="80"/>
        <w:jc w:val="both"/>
        <w:rPr>
          <w:rFonts w:ascii="Times New Roman" w:hAnsi="Times New Roman" w:cs="Times New Roman"/>
          <w:sz w:val="24"/>
          <w:szCs w:val="24"/>
        </w:rPr>
      </w:pPr>
      <w:r>
        <w:t>8.1.3. Cancer de la prostate</w:t>
      </w:r>
    </w:p>
    <w:p w14:paraId="4AE40A25" w14:textId="77777777" w:rsidR="00A90C56" w:rsidRDefault="00000000">
      <w:pPr>
        <w:pStyle w:val="ListParagraph"/>
        <w:numPr>
          <w:ilvl w:val="0"/>
          <w:numId w:val="21"/>
        </w:numPr>
        <w:jc w:val="both"/>
        <w:rPr>
          <w:rFonts w:ascii="Times New Roman" w:hAnsi="Times New Roman" w:cs="Times New Roman"/>
          <w:sz w:val="24"/>
          <w:szCs w:val="24"/>
        </w:rPr>
      </w:pPr>
      <w:r>
        <w:t>Diagnostic: il se fait par le toucher rectal (prostate pierreuse, relief induré, anomalie de contour) et par la recherche du taux de PSA qui est produit en trop grande quantité par les cellules cancéreuses. Ce taux doit être inférieur à 4ng/ml de sang après 50 ans. Cependant, toute augmentation du taux de PSA n’est pas synonyme de cancer. Il existe deux types de PSA dans le sang. Ce qui est important dans la prise de sang, c’est le dosage de PSA libre par rapport au PSA total. Plus ce rapport baisse, plus la probabilité de cancer augmente. La biopsie confirme le cancer.</w:t>
      </w:r>
    </w:p>
    <w:p w14:paraId="2965FDC4" w14:textId="77777777" w:rsidR="00A90C56" w:rsidRDefault="00000000">
      <w:pPr>
        <w:pStyle w:val="ListParagraph"/>
        <w:numPr>
          <w:ilvl w:val="0"/>
          <w:numId w:val="21"/>
        </w:numPr>
        <w:jc w:val="both"/>
        <w:rPr>
          <w:rFonts w:ascii="Times New Roman" w:hAnsi="Times New Roman" w:cs="Times New Roman"/>
          <w:sz w:val="24"/>
          <w:szCs w:val="24"/>
        </w:rPr>
      </w:pPr>
      <w:r>
        <w:t>Evolution: le PSA est un bon marqueur pour surveiller l’évolution du cancer. L’âge après 50 ans, les facteurs génétiques, ethniques (afro-américains) et hygiéno-diététiques favorisent le cancer de la prostate.</w:t>
      </w:r>
    </w:p>
    <w:p w14:paraId="48C51741" w14:textId="77777777" w:rsidR="00A90C56" w:rsidRDefault="00000000">
      <w:pPr>
        <w:pStyle w:val="ListParagraph"/>
        <w:numPr>
          <w:ilvl w:val="0"/>
          <w:numId w:val="21"/>
        </w:numPr>
        <w:jc w:val="both"/>
        <w:rPr>
          <w:rFonts w:ascii="Times New Roman" w:hAnsi="Times New Roman" w:cs="Times New Roman"/>
          <w:sz w:val="24"/>
          <w:szCs w:val="24"/>
        </w:rPr>
      </w:pPr>
      <w:r>
        <w:t xml:space="preserve">Métastases: c’est un cancer qui métastase et qui est souvent de diagnostic tardif car les symptômes du début sont ceux de l’hypertrophie bénigne de la prostate (HBP) mais plus tardifs et moins significatifs car ne concernent pas le </w:t>
      </w:r>
      <w:r>
        <w:lastRenderedPageBreak/>
        <w:t>lobe moyen qui entoure l’urètre. Mais quand les métastases ont migré, les douleurs vertébrales sont très importantes: les patients souffrent de lombalgie et de sciatalgie aiguës, à prédominance nocturne.</w:t>
      </w:r>
    </w:p>
    <w:p w14:paraId="4C19E44A" w14:textId="77777777" w:rsidR="00A90C56" w:rsidRDefault="00000000">
      <w:pPr>
        <w:ind w:left="1353"/>
        <w:jc w:val="both"/>
        <w:rPr>
          <w:rFonts w:ascii="Times New Roman" w:hAnsi="Times New Roman" w:cs="Times New Roman"/>
          <w:sz w:val="24"/>
          <w:szCs w:val="24"/>
        </w:rPr>
      </w:pPr>
      <w:r>
        <w:t>La ROP ne peut pas grand-chose pour eux. Le traitement médical repose sur le blocage androgénique (chimiothérapie, hormonothérapie) et morphine.</w:t>
      </w:r>
    </w:p>
    <w:p w14:paraId="1857D642" w14:textId="77777777" w:rsidR="00A90C56" w:rsidRDefault="00000000">
      <w:pPr>
        <w:pStyle w:val="Heading3"/>
        <w:spacing w:before="160" w:after="80"/>
        <w:rPr>
          <w:rFonts w:ascii="Times New Roman" w:hAnsi="Times New Roman" w:cs="Times New Roman"/>
          <w:sz w:val="24"/>
          <w:szCs w:val="24"/>
          <w:lang w:eastAsia="fr-FR"/>
        </w:rPr>
      </w:pPr>
      <w:r>
        <w:t>8.1.4. Prostatite aiguë</w:t>
      </w:r>
    </w:p>
    <w:p w14:paraId="7CC3609D" w14:textId="77777777" w:rsidR="00A90C56" w:rsidRDefault="00000000">
      <w:pPr>
        <w:pStyle w:val="ListParagraph"/>
        <w:ind w:left="1353"/>
        <w:rPr>
          <w:rFonts w:ascii="Times New Roman" w:hAnsi="Times New Roman" w:cs="Times New Roman"/>
          <w:sz w:val="24"/>
          <w:szCs w:val="24"/>
          <w:lang w:eastAsia="fr-FR"/>
        </w:rPr>
      </w:pPr>
      <w:r>
        <w:t>Au toucher rectal, la prostate est peu dure et très douloureuse.</w:t>
      </w:r>
    </w:p>
    <w:p w14:paraId="6E5E618A" w14:textId="77777777" w:rsidR="00A90C56" w:rsidRDefault="00A90C56">
      <w:pPr>
        <w:pStyle w:val="ListParagraph"/>
        <w:ind w:left="1353"/>
        <w:rPr>
          <w:rFonts w:ascii="Times New Roman" w:hAnsi="Times New Roman" w:cs="Times New Roman"/>
          <w:sz w:val="24"/>
          <w:szCs w:val="24"/>
          <w:lang w:eastAsia="fr-FR"/>
        </w:rPr>
      </w:pPr>
    </w:p>
    <w:p w14:paraId="35D0EABD" w14:textId="77777777" w:rsidR="00A90C56" w:rsidRDefault="00000000">
      <w:pPr>
        <w:pStyle w:val="Heading2"/>
        <w:spacing w:before="160" w:after="80"/>
        <w:rPr>
          <w:rFonts w:ascii="Times New Roman" w:hAnsi="Times New Roman" w:cs="Times New Roman"/>
          <w:sz w:val="24"/>
          <w:szCs w:val="24"/>
          <w:lang w:eastAsia="fr-FR"/>
        </w:rPr>
      </w:pPr>
      <w:r>
        <w:t>8.2. Indications : troubles fonctionnels</w:t>
      </w:r>
    </w:p>
    <w:p w14:paraId="2ACA1506" w14:textId="77777777" w:rsidR="00A90C56" w:rsidRDefault="00000000">
      <w:pPr>
        <w:pStyle w:val="Heading3"/>
        <w:spacing w:before="160" w:after="80"/>
        <w:jc w:val="both"/>
        <w:rPr>
          <w:rFonts w:ascii="Times New Roman" w:hAnsi="Times New Roman" w:cs="Times New Roman"/>
          <w:sz w:val="24"/>
          <w:szCs w:val="24"/>
        </w:rPr>
      </w:pPr>
      <w:r>
        <w:t>8.2.1. Hypertrophie bénigne de la prostate</w:t>
      </w:r>
    </w:p>
    <w:p w14:paraId="25956225" w14:textId="77777777" w:rsidR="00A90C56" w:rsidRDefault="00000000">
      <w:pPr>
        <w:pStyle w:val="ListParagraph"/>
        <w:numPr>
          <w:ilvl w:val="0"/>
          <w:numId w:val="11"/>
        </w:numPr>
        <w:rPr>
          <w:rFonts w:ascii="Times New Roman" w:hAnsi="Times New Roman" w:cs="Times New Roman"/>
          <w:b/>
          <w:sz w:val="24"/>
          <w:szCs w:val="24"/>
          <w:lang w:eastAsia="fr-FR"/>
        </w:rPr>
      </w:pPr>
      <w:r>
        <w:t>Cause: elle est hormonale. Les facteurs favorisants sont  l’alcool, le tabac, les excès de protéines animales, le manque d’activité physique, des désordres vertébraux et coccygiens.</w:t>
      </w:r>
    </w:p>
    <w:p w14:paraId="6EE2EC8C" w14:textId="77777777" w:rsidR="00A90C56" w:rsidRDefault="00000000">
      <w:pPr>
        <w:pStyle w:val="ListParagraph"/>
        <w:keepNext/>
        <w:numPr>
          <w:ilvl w:val="0"/>
          <w:numId w:val="11"/>
        </w:numPr>
        <w:rPr>
          <w:rFonts w:ascii="Times New Roman" w:hAnsi="Times New Roman" w:cs="Times New Roman"/>
          <w:b/>
          <w:sz w:val="24"/>
          <w:szCs w:val="24"/>
          <w:lang w:eastAsia="fr-FR"/>
        </w:rPr>
      </w:pPr>
      <w:r>
        <w:t xml:space="preserve">Signes cliniques: </w:t>
      </w:r>
    </w:p>
    <w:p w14:paraId="12999F2A" w14:textId="77777777" w:rsidR="00A90C56" w:rsidRDefault="00000000">
      <w:pPr>
        <w:pStyle w:val="ListParagraph"/>
        <w:numPr>
          <w:ilvl w:val="0"/>
          <w:numId w:val="22"/>
        </w:numPr>
        <w:rPr>
          <w:rFonts w:ascii="Times New Roman" w:hAnsi="Times New Roman" w:cs="Times New Roman"/>
          <w:b/>
          <w:sz w:val="24"/>
          <w:szCs w:val="24"/>
          <w:lang w:eastAsia="fr-FR"/>
        </w:rPr>
      </w:pPr>
      <w:r>
        <w:t>Urinaires: jet faible et intermittent avec participation abdominale, besoin impérieux et pollakiurie. Le besoin de pousser pour uriner hypertrophie le détrusor: c’est la vessie de lutte. Des diverticules se forment et favorisent une mauvaise vidange de la vessie et des infections. Ce n’est pas tant l’hypertrophie de la prostate qui est responsable des troubles urinaires mais sa dureté qui va comprimer l’urètre.</w:t>
      </w:r>
    </w:p>
    <w:p w14:paraId="2A7BBBBE" w14:textId="77777777" w:rsidR="00A90C56" w:rsidRDefault="00000000">
      <w:pPr>
        <w:pStyle w:val="ListParagraph"/>
        <w:ind w:left="2124"/>
        <w:rPr>
          <w:rFonts w:ascii="Times New Roman" w:hAnsi="Times New Roman" w:cs="Times New Roman"/>
          <w:sz w:val="24"/>
          <w:szCs w:val="24"/>
          <w:lang w:eastAsia="fr-FR"/>
        </w:rPr>
      </w:pPr>
      <w:r>
        <w:t>L’hypertrophie rend les sphincters moins fonctionnels entraînant une incontinence.</w:t>
      </w:r>
    </w:p>
    <w:p w14:paraId="67DE2550" w14:textId="77777777" w:rsidR="00A90C56" w:rsidRDefault="00000000">
      <w:pPr>
        <w:pStyle w:val="ListParagraph"/>
        <w:numPr>
          <w:ilvl w:val="0"/>
          <w:numId w:val="22"/>
        </w:numPr>
        <w:rPr>
          <w:rFonts w:ascii="Times New Roman" w:hAnsi="Times New Roman" w:cs="Times New Roman"/>
          <w:sz w:val="24"/>
          <w:szCs w:val="24"/>
          <w:lang w:eastAsia="fr-FR"/>
        </w:rPr>
      </w:pPr>
      <w:r>
        <w:t>Lombo-sciatalgies: elles sont le plus souvent du côté gauche en raison du retour veineux spermatique vers la veine rénale gauche;</w:t>
      </w:r>
    </w:p>
    <w:p w14:paraId="504A5E3B" w14:textId="77777777" w:rsidR="00A90C56" w:rsidRDefault="00000000">
      <w:pPr>
        <w:pStyle w:val="ListParagraph"/>
        <w:numPr>
          <w:ilvl w:val="0"/>
          <w:numId w:val="16"/>
        </w:numPr>
        <w:rPr>
          <w:rFonts w:ascii="Times New Roman" w:hAnsi="Times New Roman" w:cs="Times New Roman"/>
          <w:sz w:val="24"/>
          <w:szCs w:val="24"/>
          <w:lang w:eastAsia="fr-FR"/>
        </w:rPr>
      </w:pPr>
      <w:r>
        <w:t>Sexuels: impuissance, éjaculation rétrograde;</w:t>
      </w:r>
    </w:p>
    <w:p w14:paraId="500DD40D" w14:textId="77777777" w:rsidR="00A90C56" w:rsidRDefault="00000000">
      <w:pPr>
        <w:pStyle w:val="ListParagraph"/>
        <w:numPr>
          <w:ilvl w:val="0"/>
          <w:numId w:val="16"/>
        </w:numPr>
        <w:rPr>
          <w:rFonts w:ascii="Times New Roman" w:hAnsi="Times New Roman" w:cs="Times New Roman"/>
          <w:sz w:val="24"/>
          <w:szCs w:val="24"/>
          <w:lang w:eastAsia="fr-FR"/>
        </w:rPr>
      </w:pPr>
      <w:r>
        <w:t>Vasculaires: hémorroïdes, hernies inguinales.</w:t>
      </w:r>
    </w:p>
    <w:p w14:paraId="3D8CCFAA" w14:textId="77777777" w:rsidR="00A90C56" w:rsidRDefault="00A90C56">
      <w:pPr>
        <w:pStyle w:val="ListParagraph"/>
        <w:ind w:left="2345"/>
        <w:rPr>
          <w:rFonts w:ascii="Times New Roman" w:hAnsi="Times New Roman" w:cs="Times New Roman"/>
          <w:sz w:val="24"/>
          <w:szCs w:val="24"/>
          <w:lang w:eastAsia="fr-FR"/>
        </w:rPr>
      </w:pPr>
    </w:p>
    <w:p w14:paraId="5E077789" w14:textId="77777777" w:rsidR="00A90C56" w:rsidRDefault="00000000">
      <w:pPr>
        <w:pStyle w:val="EncadreROP"/>
        <w:ind w:left="1778"/>
        <w:jc w:val="both"/>
        <w:rPr>
          <w:rFonts w:ascii="Times New Roman" w:hAnsi="Times New Roman" w:cs="Times New Roman"/>
          <w:sz w:val="24"/>
          <w:szCs w:val="24"/>
        </w:rPr>
      </w:pPr>
      <w:r>
        <w:t>INTÉRÊT EN ROP</w:t>
      </w:r>
    </w:p>
    <w:p w14:paraId="5F81A73F" w14:textId="77777777" w:rsidR="00A90C56" w:rsidRDefault="00000000">
      <w:pPr>
        <w:pStyle w:val="ListParagraph"/>
        <w:ind w:left="1778"/>
        <w:jc w:val="both"/>
        <w:rPr>
          <w:rFonts w:ascii="Times New Roman" w:hAnsi="Times New Roman" w:cs="Times New Roman"/>
          <w:sz w:val="24"/>
          <w:szCs w:val="24"/>
        </w:rPr>
      </w:pPr>
      <w:r>
        <w:t xml:space="preserve"> L’hypertrophie de la prostate rend les faces latérales de la loge prostatique plus rigides. Elle met en tension les lames sacro-recto-génito-pubiennes et les plexus hypogastriques inférieurs. Elle perturbe la mobilité des sacro-iliaques et explique les lombo-sciatalgies ou périnéalgies d’origine congestive ou irritative et non de type mécanique, signes avant-coureurs bien avant les troubles mictionnels. </w:t>
      </w:r>
    </w:p>
    <w:p w14:paraId="0BFA0BFC" w14:textId="77777777" w:rsidR="00A90C56" w:rsidRDefault="00A90C56">
      <w:pPr>
        <w:pStyle w:val="ListParagraph"/>
        <w:ind w:left="1985"/>
        <w:rPr>
          <w:rFonts w:ascii="Times New Roman" w:hAnsi="Times New Roman" w:cs="Times New Roman"/>
          <w:sz w:val="24"/>
          <w:szCs w:val="24"/>
          <w:lang w:eastAsia="fr-FR"/>
        </w:rPr>
      </w:pPr>
    </w:p>
    <w:p w14:paraId="12AA6BD6" w14:textId="77777777" w:rsidR="00A90C56" w:rsidRDefault="00000000">
      <w:pPr>
        <w:pStyle w:val="Heading3"/>
        <w:spacing w:before="160" w:after="80"/>
        <w:rPr>
          <w:rFonts w:ascii="Times New Roman" w:hAnsi="Times New Roman" w:cs="Times New Roman"/>
          <w:sz w:val="24"/>
          <w:szCs w:val="24"/>
          <w:lang w:eastAsia="fr-FR"/>
        </w:rPr>
      </w:pPr>
      <w:r>
        <w:t>8.2.2. Prostatite chronique</w:t>
      </w:r>
    </w:p>
    <w:p w14:paraId="2EF7A771" w14:textId="77777777" w:rsidR="00A90C56" w:rsidRDefault="00000000">
      <w:pPr>
        <w:pStyle w:val="ListParagraph"/>
        <w:keepNext/>
        <w:numPr>
          <w:ilvl w:val="0"/>
          <w:numId w:val="23"/>
        </w:numPr>
        <w:rPr>
          <w:rFonts w:ascii="Times New Roman" w:hAnsi="Times New Roman" w:cs="Times New Roman"/>
          <w:sz w:val="24"/>
          <w:szCs w:val="24"/>
          <w:lang w:eastAsia="fr-FR"/>
        </w:rPr>
      </w:pPr>
      <w:r>
        <w:t xml:space="preserve">Signes cliniques: </w:t>
      </w:r>
    </w:p>
    <w:p w14:paraId="6DDF6474" w14:textId="77777777" w:rsidR="00A90C56" w:rsidRDefault="00000000">
      <w:pPr>
        <w:pStyle w:val="ListParagraph"/>
        <w:numPr>
          <w:ilvl w:val="0"/>
          <w:numId w:val="24"/>
        </w:numPr>
        <w:jc w:val="both"/>
        <w:rPr>
          <w:rFonts w:ascii="Times New Roman" w:hAnsi="Times New Roman" w:cs="Times New Roman"/>
          <w:sz w:val="24"/>
          <w:szCs w:val="24"/>
        </w:rPr>
      </w:pPr>
      <w:r>
        <w:t>dysurie: difficulté à uriner;</w:t>
      </w:r>
    </w:p>
    <w:p w14:paraId="2E1D9E24" w14:textId="77777777" w:rsidR="00A90C56" w:rsidRDefault="00000000">
      <w:pPr>
        <w:pStyle w:val="ListParagraph"/>
        <w:numPr>
          <w:ilvl w:val="0"/>
          <w:numId w:val="24"/>
        </w:numPr>
        <w:jc w:val="both"/>
        <w:rPr>
          <w:rFonts w:ascii="Times New Roman" w:hAnsi="Times New Roman" w:cs="Times New Roman"/>
          <w:sz w:val="24"/>
          <w:szCs w:val="24"/>
        </w:rPr>
      </w:pPr>
      <w:r>
        <w:t>pollakiurie: urine souvent et peu;</w:t>
      </w:r>
    </w:p>
    <w:p w14:paraId="4148A96A" w14:textId="77777777" w:rsidR="00A90C56" w:rsidRDefault="00000000">
      <w:pPr>
        <w:pStyle w:val="ListParagraph"/>
        <w:numPr>
          <w:ilvl w:val="0"/>
          <w:numId w:val="24"/>
        </w:numPr>
        <w:jc w:val="both"/>
        <w:rPr>
          <w:rFonts w:ascii="Times New Roman" w:hAnsi="Times New Roman" w:cs="Times New Roman"/>
          <w:sz w:val="24"/>
          <w:szCs w:val="24"/>
        </w:rPr>
      </w:pPr>
      <w:r>
        <w:t>brûlure à la miction;</w:t>
      </w:r>
    </w:p>
    <w:p w14:paraId="1B981549" w14:textId="77777777" w:rsidR="00A90C56" w:rsidRDefault="00000000">
      <w:pPr>
        <w:pStyle w:val="ListParagraph"/>
        <w:numPr>
          <w:ilvl w:val="0"/>
          <w:numId w:val="24"/>
        </w:numPr>
        <w:jc w:val="both"/>
        <w:rPr>
          <w:rFonts w:ascii="Times New Roman" w:hAnsi="Times New Roman" w:cs="Times New Roman"/>
          <w:sz w:val="24"/>
          <w:szCs w:val="24"/>
        </w:rPr>
      </w:pPr>
      <w:r>
        <w:t>douleurs lombaires, pelviennes et génitales;</w:t>
      </w:r>
    </w:p>
    <w:p w14:paraId="347559D4" w14:textId="77777777" w:rsidR="00A90C56" w:rsidRDefault="00000000">
      <w:pPr>
        <w:pStyle w:val="ListParagraph"/>
        <w:numPr>
          <w:ilvl w:val="0"/>
          <w:numId w:val="24"/>
        </w:numPr>
        <w:jc w:val="both"/>
        <w:rPr>
          <w:rFonts w:ascii="Times New Roman" w:hAnsi="Times New Roman" w:cs="Times New Roman"/>
          <w:sz w:val="24"/>
          <w:szCs w:val="24"/>
        </w:rPr>
      </w:pPr>
      <w:r>
        <w:lastRenderedPageBreak/>
        <w:t xml:space="preserve"> stérilité, impuissance.</w:t>
      </w:r>
    </w:p>
    <w:p w14:paraId="1503D85C" w14:textId="77777777" w:rsidR="00A90C56" w:rsidRDefault="00000000">
      <w:pPr>
        <w:pStyle w:val="ListParagraph"/>
        <w:numPr>
          <w:ilvl w:val="0"/>
          <w:numId w:val="23"/>
        </w:numPr>
        <w:jc w:val="both"/>
        <w:rPr>
          <w:rFonts w:ascii="Times New Roman" w:hAnsi="Times New Roman" w:cs="Times New Roman"/>
          <w:sz w:val="24"/>
          <w:szCs w:val="24"/>
        </w:rPr>
      </w:pPr>
      <w:r>
        <w:t>Examen: au toucher rectal, la prostate est augmentée de volume, de consistance ferme mais non douloureuse.</w:t>
      </w:r>
    </w:p>
    <w:p w14:paraId="4F8FF9B1" w14:textId="77777777" w:rsidR="00A90C56" w:rsidRDefault="00A90C56">
      <w:pPr>
        <w:pStyle w:val="ListParagraph"/>
        <w:ind w:left="2203"/>
        <w:jc w:val="both"/>
        <w:rPr>
          <w:rFonts w:ascii="Times New Roman" w:hAnsi="Times New Roman" w:cs="Times New Roman"/>
          <w:sz w:val="24"/>
          <w:szCs w:val="24"/>
        </w:rPr>
      </w:pPr>
    </w:p>
    <w:p w14:paraId="616AE4F3" w14:textId="77777777" w:rsidR="00A90C56" w:rsidRDefault="00000000">
      <w:pPr>
        <w:pStyle w:val="Heading1"/>
        <w:spacing w:before="160" w:after="80"/>
        <w:rPr>
          <w:color w:val="auto"/>
        </w:rPr>
      </w:pPr>
      <w:r>
        <w:t>9. Relations viscéro-somatiques</w:t>
      </w:r>
    </w:p>
    <w:p w14:paraId="5CDE1C76" w14:textId="77777777" w:rsidR="00A90C56" w:rsidRPr="005A45CC" w:rsidRDefault="00000000">
      <w:pPr>
        <w:pStyle w:val="ListParagraph"/>
        <w:numPr>
          <w:ilvl w:val="0"/>
          <w:numId w:val="4"/>
        </w:numPr>
        <w:rPr>
          <w:rFonts w:ascii="Times New Roman" w:hAnsi="Times New Roman" w:cs="Times New Roman"/>
          <w:sz w:val="24"/>
          <w:szCs w:val="24"/>
          <w:lang w:val="en-US"/>
        </w:rPr>
      </w:pPr>
      <w:proofErr w:type="spellStart"/>
      <w:r w:rsidRPr="005A45CC">
        <w:rPr>
          <w:lang w:val="en-US"/>
        </w:rPr>
        <w:t>Vertèbres</w:t>
      </w:r>
      <w:proofErr w:type="spellEnd"/>
      <w:r w:rsidRPr="005A45CC">
        <w:rPr>
          <w:lang w:val="en-US"/>
        </w:rPr>
        <w:t xml:space="preserve"> Th12-L1, L5-sacrum, coccyx;</w:t>
      </w:r>
    </w:p>
    <w:p w14:paraId="4FF6C112" w14:textId="77777777" w:rsidR="00A90C56" w:rsidRDefault="00000000">
      <w:pPr>
        <w:pStyle w:val="ListParagraph"/>
        <w:numPr>
          <w:ilvl w:val="0"/>
          <w:numId w:val="4"/>
        </w:numPr>
        <w:rPr>
          <w:rFonts w:ascii="Times New Roman" w:hAnsi="Times New Roman" w:cs="Times New Roman"/>
          <w:sz w:val="24"/>
          <w:szCs w:val="24"/>
        </w:rPr>
      </w:pPr>
      <w:r>
        <w:t>Membre inférieur, pied.</w:t>
      </w:r>
    </w:p>
    <w:p w14:paraId="4859A016" w14:textId="77777777" w:rsidR="00A90C56" w:rsidRDefault="00000000">
      <w:pPr>
        <w:pStyle w:val="Heading1"/>
        <w:spacing w:before="160" w:after="80"/>
      </w:pPr>
      <w:r>
        <w:t xml:space="preserve">10. Relations </w:t>
      </w:r>
      <w:proofErr w:type="spellStart"/>
      <w:r>
        <w:t>viscéro</w:t>
      </w:r>
      <w:proofErr w:type="spellEnd"/>
      <w:r>
        <w:t>-émotionnelles</w:t>
      </w:r>
    </w:p>
    <w:p w14:paraId="25617846" w14:textId="77777777" w:rsidR="00DB37D8" w:rsidRPr="00DB37D8" w:rsidRDefault="00DB37D8" w:rsidP="00DB37D8">
      <w:r w:rsidRPr="00DB37D8">
        <w:t>Les fonctions urinaires et sexuelles sont étroitement intégrées aux réseaux cérébraux impliqués dans l’</w:t>
      </w:r>
      <w:proofErr w:type="spellStart"/>
      <w:r w:rsidRPr="00DB37D8">
        <w:t>interoception</w:t>
      </w:r>
      <w:proofErr w:type="spellEnd"/>
      <w:r w:rsidRPr="00DB37D8">
        <w:t>, les émotions, l’attention et la régulation autonome. Le stress ne constitue pas à lui seul une cause de dysfonction prostatique, mais il peut modifier le tonus neuro-végétatif, le sommeil, la perception corporelle et la fonction sexuelle, et ainsi majorer le retentissement de certains symptômes uro-génitaux.</w:t>
      </w:r>
    </w:p>
    <w:p w14:paraId="274FE621" w14:textId="77777777" w:rsidR="00DB37D8" w:rsidRPr="00DB37D8" w:rsidRDefault="00DB37D8" w:rsidP="00DB37D8">
      <w:r w:rsidRPr="00DB37D8">
        <w:t>Avec l’âge, les modifications urinaires ou sexuelles peuvent également influencer l’image corporelle, la confiance en soi et la qualité de vie. La retraite, les changements de rôle social ou familial, les préoccupations liées au vieillissement ou la crainte d’une diminution des performances sexuelles peuvent constituer des facteurs de stress chez certains hommes. Leur importance varie cependant considérablement d’une personne à l’autre.</w:t>
      </w:r>
    </w:p>
    <w:p w14:paraId="3F3C4B84" w14:textId="77777777" w:rsidR="00DB37D8" w:rsidRPr="00DB37D8" w:rsidRDefault="00DB37D8" w:rsidP="00DB37D8">
      <w:r w:rsidRPr="00DB37D8">
        <w:t>La relation est bidirectionnelle : les troubles urinaires, les douleurs pelviennes ou les difficultés sexuelles peuvent générer anxiété, anticipation et évitement ; inversement, ces états peuvent amplifier la perception des symptômes et les réponses autonomes associées.</w:t>
      </w:r>
    </w:p>
    <w:p w14:paraId="0729E464" w14:textId="77777777" w:rsidR="00DB37D8" w:rsidRPr="00DB37D8" w:rsidRDefault="00DB37D8" w:rsidP="00DB37D8">
      <w:r w:rsidRPr="00DB37D8">
        <w:t xml:space="preserve">Dans la ROP, cette dimension est abordée dans le cadre de </w:t>
      </w:r>
      <w:r w:rsidRPr="00DB37D8">
        <w:rPr>
          <w:b/>
          <w:bCs/>
        </w:rPr>
        <w:t>l’axe cerveau–sphère génitale masculine</w:t>
      </w:r>
      <w:r w:rsidRPr="00DB37D8">
        <w:t>. Elle complète l’évaluation anatomique, neuro-végétative et loco-régionale, sans définir une « personnalité prostate » et sans attribuer automatiquement les symptômes à une origine émotionnelle.</w:t>
      </w:r>
    </w:p>
    <w:p w14:paraId="52783EE6" w14:textId="211B7A73" w:rsidR="00A90C56" w:rsidRDefault="00000000">
      <w:pPr>
        <w:pStyle w:val="Heading1"/>
      </w:pPr>
      <w:r>
        <w:t xml:space="preserve">11. Zones réflexes </w:t>
      </w:r>
      <w:r w:rsidR="00984015">
        <w:t>ROP</w:t>
      </w:r>
    </w:p>
    <w:p w14:paraId="6A11D37F" w14:textId="475366E7" w:rsidR="00A90C56" w:rsidRDefault="00000000">
      <w:r>
        <w:t>Les localisations décrites ci-dessous appartiennent à la cartographie clinique de la ROP. Leur sélection dépend de l’anamnèse, des tests, des réactions palpatoires et du tableau fonctionnel.</w:t>
      </w:r>
    </w:p>
    <w:p w14:paraId="48EB9617" w14:textId="77777777" w:rsidR="00A90C56" w:rsidRDefault="00000000">
      <w:r>
        <w:t>Pour les organes génitaux masculins, la lecture des zones réflexes est organisée selon les quatre niveaux du protocole ROP, en distinguant les testicules et les voies spermatiques de la prostate et des structures pelviennes associées.</w:t>
      </w:r>
    </w:p>
    <w:p w14:paraId="10E9B9DD" w14:textId="77777777" w:rsidR="00A90C56" w:rsidRDefault="00000000">
      <w:pPr>
        <w:pStyle w:val="Heading2"/>
      </w:pPr>
      <w:r>
        <w:t>11.1. Testicules et voies spermatiques</w:t>
      </w:r>
    </w:p>
    <w:p w14:paraId="718C0E07" w14:textId="77777777" w:rsidR="00A90C56" w:rsidRDefault="00000000">
      <w:pPr>
        <w:pStyle w:val="Heading3"/>
      </w:pPr>
      <w:r>
        <w:t>11.1.1. Niveau 1 — Régulation des centres supérieurs</w:t>
      </w:r>
    </w:p>
    <w:p w14:paraId="25030BF8" w14:textId="659F7CEA" w:rsidR="00A90C56" w:rsidRDefault="00000000">
      <w:r>
        <w:t xml:space="preserve">La fonction testiculaire s’inscrit dans une régulation neuroendocrine centrale, notamment par l’axe hypothalamo-hypophysaire-gonadique. </w:t>
      </w:r>
    </w:p>
    <w:p w14:paraId="00EEF274" w14:textId="77777777" w:rsidR="00A90C56" w:rsidRDefault="00000000">
      <w:pPr>
        <w:pStyle w:val="ListParagraph"/>
        <w:spacing w:after="30"/>
        <w:ind w:left="255" w:hanging="142"/>
      </w:pPr>
      <w:r>
        <w:t>• Zones réflexes occipitales.</w:t>
      </w:r>
    </w:p>
    <w:p w14:paraId="69D7F8F2" w14:textId="77777777" w:rsidR="00A90C56" w:rsidRDefault="00000000">
      <w:pPr>
        <w:pStyle w:val="ListParagraph"/>
        <w:spacing w:after="30"/>
        <w:ind w:left="255" w:hanging="142"/>
      </w:pPr>
      <w:r>
        <w:lastRenderedPageBreak/>
        <w:t>• Tronc cérébral et centres d’intégration.</w:t>
      </w:r>
    </w:p>
    <w:p w14:paraId="1D764D95" w14:textId="77777777" w:rsidR="00A90C56" w:rsidRDefault="00000000">
      <w:pPr>
        <w:pStyle w:val="ListParagraph"/>
        <w:spacing w:after="30"/>
        <w:ind w:left="255" w:hanging="142"/>
      </w:pPr>
      <w:r>
        <w:t>• Diencéphale, notamment hypothalamus.</w:t>
      </w:r>
    </w:p>
    <w:p w14:paraId="5E8B211F" w14:textId="77777777" w:rsidR="00A90C56" w:rsidRDefault="00000000">
      <w:pPr>
        <w:pStyle w:val="ListParagraph"/>
        <w:spacing w:after="30"/>
        <w:ind w:left="255" w:hanging="142"/>
      </w:pPr>
      <w:r>
        <w:t>• Hypophyse et axe hypothalamo-hypophysaire.</w:t>
      </w:r>
    </w:p>
    <w:p w14:paraId="1A8293DB" w14:textId="77777777" w:rsidR="00A90C56" w:rsidRDefault="00000000">
      <w:pPr>
        <w:pStyle w:val="ListParagraph"/>
        <w:spacing w:after="30"/>
        <w:ind w:left="255" w:hanging="142"/>
      </w:pPr>
      <w:r>
        <w:t>• Environnement neuro-méningé dans le modèle ROP.</w:t>
      </w:r>
    </w:p>
    <w:p w14:paraId="1E6EFA20" w14:textId="77777777" w:rsidR="00A90C56" w:rsidRDefault="00000000">
      <w:pPr>
        <w:spacing w:after="80"/>
      </w:pPr>
      <w:r>
        <w:rPr>
          <w:i/>
          <w:color w:val="5E666A"/>
        </w:rPr>
        <w:t>Cf. chapitre 3 — Système nerveux central, Niveau 1 : Régulation des centres supérieurs.</w:t>
      </w:r>
    </w:p>
    <w:p w14:paraId="629B4862" w14:textId="77777777" w:rsidR="00A90C56" w:rsidRDefault="00000000">
      <w:pPr>
        <w:pStyle w:val="Heading3"/>
      </w:pPr>
      <w:r>
        <w:t>11.1.2. Niveau 2 — Régulation neuro-végétative et adaptation</w:t>
      </w:r>
    </w:p>
    <w:p w14:paraId="7A34C5E5" w14:textId="77777777" w:rsidR="00A90C56" w:rsidRDefault="00000000">
      <w:r>
        <w:t>Pour le testicule, l’organisation autonome ne doit pas être calquée sur celle des organes pelviens. La composante sympathique et les plexus péri-vasculaires accompagnant les vaisseaux gonadiques occupent une place importante.</w:t>
      </w:r>
    </w:p>
    <w:p w14:paraId="5598CA6A" w14:textId="562105E4" w:rsidR="00A90C56" w:rsidRDefault="00000000">
      <w:pPr>
        <w:pStyle w:val="ListParagraph"/>
        <w:spacing w:after="30"/>
        <w:ind w:left="255" w:hanging="142"/>
      </w:pPr>
      <w:r>
        <w:t>• Sympathique thoracique inférieur : territoire principalement T10-T12 dans la lecture du chapitre.</w:t>
      </w:r>
    </w:p>
    <w:p w14:paraId="619A37D2" w14:textId="77777777" w:rsidR="00A90C56" w:rsidRDefault="00000000">
      <w:pPr>
        <w:pStyle w:val="ListParagraph"/>
        <w:spacing w:after="30"/>
        <w:ind w:left="255" w:hanging="142"/>
      </w:pPr>
      <w:r>
        <w:t>• Plexus aortorénal et réseaux péri-artériels gonadiques.</w:t>
      </w:r>
    </w:p>
    <w:p w14:paraId="745C6208" w14:textId="77777777" w:rsidR="00A90C56" w:rsidRDefault="00000000">
      <w:pPr>
        <w:pStyle w:val="ListParagraph"/>
        <w:spacing w:after="30"/>
        <w:ind w:left="255" w:hanging="142"/>
      </w:pPr>
      <w:r>
        <w:t>• Voies autonomes associées au cordon spermatique et au conduit déférent selon le contexte clinique.</w:t>
      </w:r>
    </w:p>
    <w:p w14:paraId="1729B895" w14:textId="77777777" w:rsidR="00A90C56" w:rsidRDefault="00000000">
      <w:pPr>
        <w:pStyle w:val="ListParagraph"/>
        <w:spacing w:after="30"/>
        <w:ind w:left="255" w:hanging="142"/>
      </w:pPr>
      <w:r>
        <w:t>• Réseaux pelviens autonomes à considérer surtout pour les voies génitales distales et les glandes accessoires, sans présenter S2-S4 comme une voie parasympathique directe et obligatoire du testicule.</w:t>
      </w:r>
    </w:p>
    <w:p w14:paraId="369AE05B" w14:textId="77777777" w:rsidR="00A90C56" w:rsidRDefault="00000000">
      <w:pPr>
        <w:spacing w:after="80"/>
      </w:pPr>
      <w:r>
        <w:rPr>
          <w:i/>
          <w:color w:val="5E666A"/>
        </w:rPr>
        <w:t>Cf. chapitre 4 — Système nerveux autonome, notamment les sections consacrées au sympathique thoraco-lombaire, aux nerfs splanchniques et aux plexus prévertébraux.</w:t>
      </w:r>
    </w:p>
    <w:p w14:paraId="36E8AF7B" w14:textId="77777777" w:rsidR="00A90C56" w:rsidRDefault="00000000">
      <w:pPr>
        <w:pStyle w:val="Heading3"/>
      </w:pPr>
      <w:r>
        <w:t>11.1.3. Niveau 3 — Régulation viscérale loco-régionale</w:t>
      </w:r>
    </w:p>
    <w:p w14:paraId="17A0D3BC" w14:textId="77777777" w:rsidR="00A90C56" w:rsidRDefault="00000000">
      <w:r>
        <w:t>Le Niveau 3 rassemble la cartographie des testicules, du cordon spermatique et du canal inguinal, ainsi que leurs rapports régionaux.</w:t>
      </w:r>
    </w:p>
    <w:p w14:paraId="0FE782CE" w14:textId="4BEBE673" w:rsidR="00A90C56" w:rsidRDefault="00000000">
      <w:pPr>
        <w:pStyle w:val="ListParagraph"/>
        <w:spacing w:after="30"/>
        <w:ind w:left="255" w:hanging="142"/>
      </w:pPr>
      <w:r>
        <w:t xml:space="preserve">• Testicule : même zone réflexe que l’ovaire dans la cartographie ROP, au bord antérieur du talon, à l’aplomb des quatrième et </w:t>
      </w:r>
      <w:proofErr w:type="gramStart"/>
      <w:r>
        <w:t>cinquième orteils</w:t>
      </w:r>
      <w:proofErr w:type="gramEnd"/>
      <w:r>
        <w:t>.</w:t>
      </w:r>
    </w:p>
    <w:p w14:paraId="3F91D275" w14:textId="77777777" w:rsidR="00A90C56" w:rsidRDefault="00000000">
      <w:pPr>
        <w:pStyle w:val="ListParagraph"/>
        <w:spacing w:after="30"/>
        <w:ind w:left="255" w:hanging="142"/>
      </w:pPr>
      <w:r>
        <w:t>• Épididyme et conduit déférent : à intégrer dans la continuité du territoire testiculaire et du cordon spermatique selon les figures de la méthode.</w:t>
      </w:r>
    </w:p>
    <w:p w14:paraId="5843A021" w14:textId="33F4B5D3" w:rsidR="00A90C56" w:rsidRDefault="00000000">
      <w:pPr>
        <w:pStyle w:val="ListParagraph"/>
        <w:spacing w:after="30"/>
        <w:ind w:left="255" w:hanging="142"/>
      </w:pPr>
      <w:r>
        <w:t xml:space="preserve">• Canal inguinal, cordon spermatique et muscle crémaster : interligne </w:t>
      </w:r>
      <w:proofErr w:type="spellStart"/>
      <w:r>
        <w:t>tibio</w:t>
      </w:r>
      <w:proofErr w:type="spellEnd"/>
      <w:r>
        <w:t>-tarsien antérieur.</w:t>
      </w:r>
    </w:p>
    <w:p w14:paraId="3562F2B9" w14:textId="77777777" w:rsidR="00A90C56" w:rsidRDefault="00000000">
      <w:pPr>
        <w:pStyle w:val="ListParagraph"/>
        <w:spacing w:after="30"/>
        <w:ind w:left="255" w:hanging="142"/>
      </w:pPr>
      <w:r>
        <w:t>• Anneaux inguinaux profond et superficiel : repères associés lorsque la clinique oriente vers la région inguinale.</w:t>
      </w:r>
    </w:p>
    <w:p w14:paraId="300669CA" w14:textId="77777777" w:rsidR="00A90C56" w:rsidRDefault="00000000">
      <w:pPr>
        <w:pStyle w:val="ListParagraph"/>
        <w:spacing w:after="30"/>
        <w:ind w:left="255" w:hanging="142"/>
      </w:pPr>
      <w:r>
        <w:t>• Rapports vasculaires, péritonéaux et abdomino-pelviens selon le contexte.</w:t>
      </w:r>
    </w:p>
    <w:p w14:paraId="01154846" w14:textId="77777777" w:rsidR="00A90C56" w:rsidRDefault="00000000">
      <w:pPr>
        <w:spacing w:after="80"/>
      </w:pPr>
      <w:r>
        <w:rPr>
          <w:i/>
          <w:color w:val="5E666A"/>
        </w:rPr>
        <w:t>Cf. chapitre 17 — Cavité pelvienne pour l’environnement régional ; cf. chapitre 19 pour le repère cartographique commun avec l’ovaire.</w:t>
      </w:r>
    </w:p>
    <w:p w14:paraId="294688BA" w14:textId="77777777" w:rsidR="00A90C56" w:rsidRDefault="00000000">
      <w:pPr>
        <w:pStyle w:val="Heading3"/>
      </w:pPr>
      <w:r>
        <w:t>11.1.4. Niveau 4 — Intégration viscéro-somatique et viscéro-émotionnelle</w:t>
      </w:r>
    </w:p>
    <w:p w14:paraId="11F80F2B" w14:textId="77777777" w:rsidR="00A90C56" w:rsidRDefault="00000000">
      <w:r>
        <w:t>Le Niveau 4 associe les convergences somatiques des territoires génitaux et l’intégration centrale de la sexualité, de la douleur et du vécu corporel.</w:t>
      </w:r>
    </w:p>
    <w:p w14:paraId="746A9A4E" w14:textId="77777777" w:rsidR="00A90C56" w:rsidRDefault="00000000">
      <w:r>
        <w:t>Versant viscéro-somatique :</w:t>
      </w:r>
    </w:p>
    <w:p w14:paraId="38AE94F1" w14:textId="77777777" w:rsidR="00A90C56" w:rsidRDefault="00000000">
      <w:pPr>
        <w:pStyle w:val="ListParagraph"/>
        <w:spacing w:after="30"/>
        <w:ind w:left="255" w:hanging="142"/>
      </w:pPr>
      <w:r>
        <w:t>• Régions thoraco-lombaire et lombo-inguinale selon les afférences concernées.</w:t>
      </w:r>
    </w:p>
    <w:p w14:paraId="1C94A151" w14:textId="77777777" w:rsidR="00A90C56" w:rsidRDefault="00000000">
      <w:pPr>
        <w:pStyle w:val="ListParagraph"/>
        <w:spacing w:after="30"/>
        <w:ind w:left="255" w:hanging="142"/>
      </w:pPr>
      <w:r>
        <w:t>• Nerf génito-fémoral et territoire crémastérien lorsque pertinent.</w:t>
      </w:r>
    </w:p>
    <w:p w14:paraId="0CFD6A02" w14:textId="77777777" w:rsidR="00A90C56" w:rsidRDefault="00000000">
      <w:pPr>
        <w:pStyle w:val="ListParagraph"/>
        <w:spacing w:after="30"/>
        <w:ind w:left="255" w:hanging="142"/>
      </w:pPr>
      <w:r>
        <w:t>• Nerf ilio-inguinal et région inguino-scrotale selon le tableau clinique.</w:t>
      </w:r>
    </w:p>
    <w:p w14:paraId="70D89070" w14:textId="77777777" w:rsidR="00A90C56" w:rsidRDefault="00000000">
      <w:pPr>
        <w:pStyle w:val="ListParagraph"/>
        <w:spacing w:after="30"/>
        <w:ind w:left="255" w:hanging="142"/>
      </w:pPr>
      <w:r>
        <w:t>• Périnée et nerf pudendal pour les territoires génitaux externes et sphinctériens.</w:t>
      </w:r>
    </w:p>
    <w:p w14:paraId="3F29FDFE" w14:textId="77777777" w:rsidR="00A90C56" w:rsidRDefault="00000000">
      <w:pPr>
        <w:pStyle w:val="ListParagraph"/>
        <w:spacing w:after="30"/>
        <w:ind w:left="255" w:hanging="142"/>
      </w:pPr>
      <w:r>
        <w:lastRenderedPageBreak/>
        <w:t>• Bassin, sacrum et chaînes musculaires associées lorsque des douleurs projetées ou des tensions régionales sont présentes.</w:t>
      </w:r>
    </w:p>
    <w:p w14:paraId="4901C2ED" w14:textId="77777777" w:rsidR="00A90C56" w:rsidRDefault="00000000">
      <w:r>
        <w:t>Versant viscéro-émotionnel — Axe cerveau-sphère génitale masculine :</w:t>
      </w:r>
    </w:p>
    <w:p w14:paraId="639FED24" w14:textId="77777777" w:rsidR="00A90C56" w:rsidRDefault="00000000">
      <w:r>
        <w:t>La sexualité, l’image corporelle, la fertilité, la douleur, le vieillissement, le stress et l’anxiété de performance peuvent modifier la perception des symptômes et interagir avec les réseaux autonomes, neuroendocriniens et émotionnels. Ces facteurs ne définissent pas une « personnalité génitale » masculine.</w:t>
      </w:r>
    </w:p>
    <w:p w14:paraId="09595F44" w14:textId="77777777" w:rsidR="00A90C56" w:rsidRDefault="00000000">
      <w:pPr>
        <w:spacing w:after="80"/>
      </w:pPr>
      <w:r>
        <w:rPr>
          <w:i/>
          <w:color w:val="5E666A"/>
        </w:rPr>
        <w:t>Cf. chapitre 3 — Système nerveux central pour les réseaux centraux et cortico-limbiques ; cf. section 10 « Relations viscéro-émotionnelles » du présent chapitre.</w:t>
      </w:r>
    </w:p>
    <w:p w14:paraId="092C9CAD" w14:textId="77777777" w:rsidR="00A90C56" w:rsidRDefault="00000000">
      <w:pPr>
        <w:pStyle w:val="Heading2"/>
      </w:pPr>
      <w:r>
        <w:t>11.2. Prostate, vésicules séminales et voies urinaires associées</w:t>
      </w:r>
    </w:p>
    <w:p w14:paraId="0F833F10" w14:textId="77777777" w:rsidR="00A90C56" w:rsidRDefault="00000000">
      <w:pPr>
        <w:pStyle w:val="Heading3"/>
      </w:pPr>
      <w:r>
        <w:t>11.2.1. Niveau 1 — Régulation des centres supérieurs</w:t>
      </w:r>
    </w:p>
    <w:p w14:paraId="391714B7" w14:textId="32880469" w:rsidR="00A90C56" w:rsidRDefault="00000000">
      <w:r>
        <w:t xml:space="preserve">La prostate est sensible au contexte hormonal et s’inscrit dans la régulation générale de l’axe hypothalamo-hypophysaire-gonadique. </w:t>
      </w:r>
    </w:p>
    <w:p w14:paraId="45828A65" w14:textId="77777777" w:rsidR="00A90C56" w:rsidRDefault="00000000">
      <w:pPr>
        <w:pStyle w:val="ListParagraph"/>
        <w:spacing w:after="30"/>
        <w:ind w:left="255" w:hanging="142"/>
      </w:pPr>
      <w:r>
        <w:t>• Zones réflexes occipitales.</w:t>
      </w:r>
    </w:p>
    <w:p w14:paraId="3C041D55" w14:textId="77777777" w:rsidR="00A90C56" w:rsidRDefault="00000000">
      <w:pPr>
        <w:pStyle w:val="ListParagraph"/>
        <w:spacing w:after="30"/>
        <w:ind w:left="255" w:hanging="142"/>
      </w:pPr>
      <w:r>
        <w:t>• Tronc cérébral et centres d’intégration.</w:t>
      </w:r>
    </w:p>
    <w:p w14:paraId="04E61B27" w14:textId="77777777" w:rsidR="00A90C56" w:rsidRDefault="00000000">
      <w:pPr>
        <w:pStyle w:val="ListParagraph"/>
        <w:spacing w:after="30"/>
        <w:ind w:left="255" w:hanging="142"/>
      </w:pPr>
      <w:r>
        <w:t>• Diencéphale, notamment hypothalamus.</w:t>
      </w:r>
    </w:p>
    <w:p w14:paraId="0AAC4F68" w14:textId="77777777" w:rsidR="00A90C56" w:rsidRDefault="00000000">
      <w:pPr>
        <w:pStyle w:val="ListParagraph"/>
        <w:spacing w:after="30"/>
        <w:ind w:left="255" w:hanging="142"/>
      </w:pPr>
      <w:r>
        <w:t>• Hypophyse et axe hypothalamo-hypophysaire.</w:t>
      </w:r>
    </w:p>
    <w:p w14:paraId="0F6F1104" w14:textId="77777777" w:rsidR="00A90C56" w:rsidRDefault="00000000">
      <w:pPr>
        <w:pStyle w:val="ListParagraph"/>
        <w:spacing w:after="30"/>
        <w:ind w:left="255" w:hanging="142"/>
      </w:pPr>
      <w:r>
        <w:t>• Environnement neuro-méningé dans le modèle ROP.</w:t>
      </w:r>
    </w:p>
    <w:p w14:paraId="32EC7DD4" w14:textId="77777777" w:rsidR="00A90C56" w:rsidRDefault="00000000">
      <w:pPr>
        <w:spacing w:after="80"/>
      </w:pPr>
      <w:r>
        <w:rPr>
          <w:i/>
          <w:color w:val="5E666A"/>
        </w:rPr>
        <w:t>Cf. chapitre 3 — Système nerveux central.</w:t>
      </w:r>
    </w:p>
    <w:p w14:paraId="6C64810E" w14:textId="77777777" w:rsidR="00A90C56" w:rsidRDefault="00000000">
      <w:pPr>
        <w:pStyle w:val="Heading3"/>
      </w:pPr>
      <w:r>
        <w:t>11.2.2. Niveau 2 — Régulation neuro-végétative et adaptation</w:t>
      </w:r>
    </w:p>
    <w:p w14:paraId="66B7D7CA" w14:textId="77777777" w:rsidR="00A90C56" w:rsidRDefault="00000000">
      <w:r>
        <w:t>La prostate, les vésicules séminales, le col vésical et les voies génitales pelviennes dépendent d’un réseau autonome mixte organisé autour des plexus hypogastriques.</w:t>
      </w:r>
    </w:p>
    <w:p w14:paraId="35DE5B31" w14:textId="77777777" w:rsidR="00A90C56" w:rsidRDefault="00000000">
      <w:pPr>
        <w:pStyle w:val="ListParagraph"/>
        <w:spacing w:after="30"/>
        <w:ind w:left="255" w:hanging="142"/>
      </w:pPr>
      <w:r>
        <w:t>• Sympathique thoraco-lombaire : territoire approximatif T11-L2 dans la lecture clinique.</w:t>
      </w:r>
    </w:p>
    <w:p w14:paraId="2E5D357A" w14:textId="77777777" w:rsidR="00A90C56" w:rsidRDefault="00000000">
      <w:pPr>
        <w:pStyle w:val="ListParagraph"/>
        <w:spacing w:after="30"/>
        <w:ind w:left="255" w:hanging="142"/>
      </w:pPr>
      <w:r>
        <w:t>• Plexus hypogastrique supérieur et nerfs hypogastriques.</w:t>
      </w:r>
    </w:p>
    <w:p w14:paraId="48D95885" w14:textId="77777777" w:rsidR="00A90C56" w:rsidRDefault="00000000">
      <w:pPr>
        <w:pStyle w:val="ListParagraph"/>
        <w:spacing w:after="30"/>
        <w:ind w:left="255" w:hanging="142"/>
      </w:pPr>
      <w:r>
        <w:t>• Parasympathique pelvien S2-S4.</w:t>
      </w:r>
    </w:p>
    <w:p w14:paraId="5525BFEE" w14:textId="77777777" w:rsidR="00A90C56" w:rsidRDefault="00000000">
      <w:pPr>
        <w:pStyle w:val="ListParagraph"/>
        <w:spacing w:after="30"/>
        <w:ind w:left="255" w:hanging="142"/>
      </w:pPr>
      <w:r>
        <w:t>• Plexus hypogastrique inférieur, carrefour autonome majeur de la cavité pelvienne.</w:t>
      </w:r>
    </w:p>
    <w:p w14:paraId="2440F098" w14:textId="77777777" w:rsidR="00A90C56" w:rsidRDefault="00000000">
      <w:pPr>
        <w:pStyle w:val="ListParagraph"/>
        <w:spacing w:after="30"/>
        <w:ind w:left="255" w:hanging="142"/>
      </w:pPr>
      <w:r>
        <w:t>• Coordination avec la vessie, l’urètre et les fonctions sexuelles selon le symptôme.</w:t>
      </w:r>
    </w:p>
    <w:p w14:paraId="6A5AB69B" w14:textId="77777777" w:rsidR="00A90C56" w:rsidRDefault="00000000">
      <w:pPr>
        <w:spacing w:after="80"/>
      </w:pPr>
      <w:r>
        <w:rPr>
          <w:i/>
          <w:color w:val="5E666A"/>
        </w:rPr>
        <w:t>Cf. chapitre 4 — Système nerveux autonome, notamment les sections « Parasympathique pelvien », « Sympathique viscéro-moteur » et « Plexus préviscéral pelvien » ; cf. chapitre 18 — Vessie.</w:t>
      </w:r>
    </w:p>
    <w:p w14:paraId="1993C140" w14:textId="77777777" w:rsidR="00A90C56" w:rsidRDefault="00000000">
      <w:pPr>
        <w:pStyle w:val="Heading3"/>
      </w:pPr>
      <w:r>
        <w:t>11.2.3. Niveau 3 — Régulation viscérale loco-régionale</w:t>
      </w:r>
    </w:p>
    <w:p w14:paraId="54697151" w14:textId="77777777" w:rsidR="00A90C56" w:rsidRDefault="00000000">
      <w:r>
        <w:t>Le Niveau 3 regroupe le cœur de la cartographie prostatique et son environnement pelvien immédiat.</w:t>
      </w:r>
    </w:p>
    <w:p w14:paraId="6C2D0BB0" w14:textId="555478A3" w:rsidR="00A90C56" w:rsidRDefault="00000000">
      <w:pPr>
        <w:pStyle w:val="ListParagraph"/>
        <w:spacing w:after="30"/>
        <w:ind w:left="255" w:hanging="142"/>
      </w:pPr>
      <w:r>
        <w:t>• Cavité pelvienne et périnée.</w:t>
      </w:r>
    </w:p>
    <w:p w14:paraId="172641EC" w14:textId="24A4F66F" w:rsidR="00A90C56" w:rsidRDefault="00000000">
      <w:pPr>
        <w:pStyle w:val="ListParagraph"/>
        <w:spacing w:after="30"/>
        <w:ind w:left="255" w:hanging="142"/>
      </w:pPr>
      <w:r>
        <w:t>• Prostate, vésicules séminales et partie moyenne du plexus hypogastrique inférieur : petite dépression en avant de l’articulation sacro-coccygienne.</w:t>
      </w:r>
    </w:p>
    <w:p w14:paraId="31BBAC43" w14:textId="77777777" w:rsidR="00A90C56" w:rsidRDefault="00000000">
      <w:pPr>
        <w:pStyle w:val="ListParagraph"/>
        <w:spacing w:after="30"/>
        <w:ind w:left="255" w:hanging="142"/>
      </w:pPr>
      <w:r>
        <w:t>• Urètre prostatique et col vésical selon les repères de la cartographie pelvienne.</w:t>
      </w:r>
    </w:p>
    <w:p w14:paraId="07CC62A8" w14:textId="77777777" w:rsidR="00A90C56" w:rsidRDefault="00000000">
      <w:pPr>
        <w:pStyle w:val="ListParagraph"/>
        <w:spacing w:after="30"/>
        <w:ind w:left="255" w:hanging="142"/>
      </w:pPr>
      <w:r>
        <w:t>• Vessie, notamment lorsque les symptômes mictionnels sont associés.</w:t>
      </w:r>
    </w:p>
    <w:p w14:paraId="46F1721D" w14:textId="77777777" w:rsidR="00A90C56" w:rsidRDefault="00000000">
      <w:pPr>
        <w:pStyle w:val="ListParagraph"/>
        <w:spacing w:after="30"/>
        <w:ind w:left="255" w:hanging="142"/>
      </w:pPr>
      <w:r>
        <w:t>• Plancher pelvien, symphyse pubienne et structures de soutien de la loge prostatique selon les tests.</w:t>
      </w:r>
    </w:p>
    <w:p w14:paraId="37B3AD62" w14:textId="77777777" w:rsidR="00A90C56" w:rsidRDefault="00000000">
      <w:pPr>
        <w:pStyle w:val="ListParagraph"/>
        <w:spacing w:after="30"/>
        <w:ind w:left="255" w:hanging="142"/>
      </w:pPr>
      <w:r>
        <w:lastRenderedPageBreak/>
        <w:t>• Rectum et rapports postérieurs lorsqu’ils participent au tableau loco-régional.</w:t>
      </w:r>
    </w:p>
    <w:p w14:paraId="030F6332" w14:textId="77777777" w:rsidR="00A90C56" w:rsidRDefault="00000000">
      <w:pPr>
        <w:spacing w:after="80"/>
      </w:pPr>
      <w:r>
        <w:rPr>
          <w:i/>
          <w:color w:val="5E666A"/>
        </w:rPr>
        <w:t>Cf. chapitre 17 — Cavité pelvienne, Niveau 3 : Régulation viscérale loco-régionale ; cf. chapitre 18 — Vessie.</w:t>
      </w:r>
    </w:p>
    <w:p w14:paraId="0EA56782" w14:textId="77777777" w:rsidR="00A90C56" w:rsidRDefault="00000000">
      <w:pPr>
        <w:pStyle w:val="Heading3"/>
      </w:pPr>
      <w:r>
        <w:t>11.2.4. Niveau 4 — Intégration viscéro-somatique et viscéro-émotionnelle</w:t>
      </w:r>
    </w:p>
    <w:p w14:paraId="0F075522" w14:textId="77777777" w:rsidR="008555AC" w:rsidRDefault="008555AC"/>
    <w:p w14:paraId="34D9CF51" w14:textId="2A40B25D" w:rsidR="00A90C56" w:rsidRDefault="00000000">
      <w:r>
        <w:t xml:space="preserve">Versant </w:t>
      </w:r>
      <w:proofErr w:type="spellStart"/>
      <w:r>
        <w:t>viscéro</w:t>
      </w:r>
      <w:proofErr w:type="spellEnd"/>
      <w:r>
        <w:t>-somatique :</w:t>
      </w:r>
    </w:p>
    <w:p w14:paraId="22F32B79" w14:textId="77777777" w:rsidR="00A90C56" w:rsidRDefault="00000000">
      <w:pPr>
        <w:pStyle w:val="ListParagraph"/>
        <w:spacing w:after="30"/>
        <w:ind w:left="255" w:hanging="142"/>
      </w:pPr>
      <w:r>
        <w:t>• Nerf pudendal S2-S4 et territoires périnéaux.</w:t>
      </w:r>
    </w:p>
    <w:p w14:paraId="65D77AA6" w14:textId="77777777" w:rsidR="00A90C56" w:rsidRDefault="00000000">
      <w:pPr>
        <w:pStyle w:val="ListParagraph"/>
        <w:spacing w:after="30"/>
        <w:ind w:left="255" w:hanging="142"/>
      </w:pPr>
      <w:r>
        <w:t>• Plancher pelvien et sphincter urétral externe.</w:t>
      </w:r>
    </w:p>
    <w:p w14:paraId="16892D44" w14:textId="77777777" w:rsidR="00A90C56" w:rsidRDefault="00000000">
      <w:pPr>
        <w:pStyle w:val="ListParagraph"/>
        <w:spacing w:after="30"/>
        <w:ind w:left="255" w:hanging="142"/>
      </w:pPr>
      <w:r>
        <w:t>• Sacrum et coccyx.</w:t>
      </w:r>
    </w:p>
    <w:p w14:paraId="279A3FF4" w14:textId="77777777" w:rsidR="00A90C56" w:rsidRDefault="00000000">
      <w:pPr>
        <w:pStyle w:val="ListParagraph"/>
        <w:spacing w:after="30"/>
        <w:ind w:left="255" w:hanging="142"/>
      </w:pPr>
      <w:r>
        <w:t>• Symphyse pubienne.</w:t>
      </w:r>
    </w:p>
    <w:p w14:paraId="63943A99" w14:textId="77777777" w:rsidR="00A90C56" w:rsidRDefault="00000000">
      <w:pPr>
        <w:pStyle w:val="ListParagraph"/>
        <w:spacing w:after="30"/>
        <w:ind w:left="255" w:hanging="142"/>
      </w:pPr>
      <w:r>
        <w:t>• Territoires lombo-sacrés et pelviens douloureux associés.</w:t>
      </w:r>
    </w:p>
    <w:p w14:paraId="35791C00" w14:textId="77777777" w:rsidR="008555AC" w:rsidRDefault="008555AC"/>
    <w:p w14:paraId="4898D9F2" w14:textId="2759A76F" w:rsidR="00A90C56" w:rsidRDefault="00000000">
      <w:r>
        <w:t xml:space="preserve">Versant </w:t>
      </w:r>
      <w:proofErr w:type="spellStart"/>
      <w:r>
        <w:t>viscéro</w:t>
      </w:r>
      <w:proofErr w:type="spellEnd"/>
      <w:r>
        <w:t>-émotionnel — Axe cerveau-sphère génitale masculine :</w:t>
      </w:r>
    </w:p>
    <w:p w14:paraId="017E4A8B" w14:textId="77777777" w:rsidR="00AD010F" w:rsidRDefault="00000000">
      <w:r>
        <w:t xml:space="preserve">Les symptômes urinaires ou sexuels peuvent être modulés par le stress, l’anticipation, l’anxiété, la douleur, le contexte relationnel et le vécu du vieillissement. </w:t>
      </w:r>
    </w:p>
    <w:p w14:paraId="2AEDF501" w14:textId="51759F72" w:rsidR="00A90C56" w:rsidRDefault="00000000">
      <w:r>
        <w:t>Dans le modèle clinique ROP, l’écoute-induction</w:t>
      </w:r>
      <w:r w:rsidR="00AD010F">
        <w:t xml:space="preserve"> : </w:t>
      </w:r>
      <w:r>
        <w:t>un repère prostatique et un repère central</w:t>
      </w:r>
      <w:r w:rsidR="00AD010F">
        <w:t>.</w:t>
      </w:r>
      <w:r>
        <w:t xml:space="preserve"> </w:t>
      </w:r>
    </w:p>
    <w:p w14:paraId="05DCE3E9" w14:textId="77777777" w:rsidR="00A90C56" w:rsidRDefault="00000000">
      <w:pPr>
        <w:spacing w:after="80"/>
      </w:pPr>
      <w:r>
        <w:rPr>
          <w:i/>
          <w:color w:val="5E666A"/>
        </w:rPr>
        <w:t>Cf. chapitre 3 — Système nerveux central pour les réseaux centraux et cortico-limbiques ; cf. section 10 « Relations viscéro-émotionnelles » du présent chapitre.</w:t>
      </w:r>
    </w:p>
    <w:p w14:paraId="167E2775" w14:textId="77777777" w:rsidR="00A90C56" w:rsidRDefault="00000000">
      <w:pPr>
        <w:pStyle w:val="Heading2"/>
      </w:pPr>
      <w:r>
        <w:t>11.3. Soutiens associés selon les tests</w:t>
      </w:r>
    </w:p>
    <w:p w14:paraId="00BC6257" w14:textId="2872C48A" w:rsidR="00A90C56" w:rsidRDefault="00000000">
      <w:r>
        <w:t>Le foie et le rein gauche peuvent être conservés comme soutiens associés, mais ne doivent pas être considérés comme des étapes obligatoires du traitement des organes génitaux masculins.</w:t>
      </w:r>
    </w:p>
    <w:p w14:paraId="561544DF" w14:textId="59298010" w:rsidR="00A90C56" w:rsidRDefault="00000000">
      <w:pPr>
        <w:pStyle w:val="ListParagraph"/>
        <w:spacing w:after="30"/>
        <w:ind w:left="255" w:hanging="142"/>
      </w:pPr>
      <w:r>
        <w:t>• Rein gauche et axe veineux gonadique gauche : lorsque le contexte vasculaire ou une varicocèle justifie cette lecture régionale.</w:t>
      </w:r>
    </w:p>
    <w:p w14:paraId="090011BB" w14:textId="2822BC0F" w:rsidR="00A90C56" w:rsidRDefault="00000000">
      <w:pPr>
        <w:pStyle w:val="ListParagraph"/>
        <w:spacing w:after="30"/>
        <w:ind w:left="255" w:hanging="142"/>
      </w:pPr>
      <w:r>
        <w:t>• Foie : uniquement lorsque le contexte métabolique ou systémique est retenu par l’anamnèse et les tests.</w:t>
      </w:r>
    </w:p>
    <w:p w14:paraId="62B4F565" w14:textId="77777777" w:rsidR="00A90C56" w:rsidRDefault="00000000">
      <w:pPr>
        <w:pStyle w:val="ListParagraph"/>
        <w:spacing w:after="30"/>
        <w:ind w:left="255" w:hanging="142"/>
      </w:pPr>
      <w:r>
        <w:t>• Intestin et côlon : en présence de constipation, de troubles digestifs ou de contraintes pelviennes associées.</w:t>
      </w:r>
    </w:p>
    <w:p w14:paraId="533701F3" w14:textId="77777777" w:rsidR="00A90C56" w:rsidRDefault="00000000">
      <w:pPr>
        <w:pStyle w:val="ListParagraph"/>
        <w:spacing w:after="30"/>
        <w:ind w:left="255" w:hanging="142"/>
      </w:pPr>
      <w:r>
        <w:t>• Vessie : en présence de symptômes mictionnels, notamment dans l’hypertrophie bénigne de la prostate ou les syndromes pelviens.</w:t>
      </w:r>
    </w:p>
    <w:p w14:paraId="0052B474" w14:textId="77777777" w:rsidR="00A90C56" w:rsidRDefault="00000000">
      <w:pPr>
        <w:pStyle w:val="ListParagraph"/>
        <w:spacing w:after="30"/>
        <w:ind w:left="255" w:hanging="142"/>
      </w:pPr>
      <w:r>
        <w:t>• Diaphragme et cavité abdominale : lorsque la dynamique globale du tronc et des pressions est cliniquement pertinente.</w:t>
      </w:r>
    </w:p>
    <w:p w14:paraId="0600EB3A" w14:textId="77777777" w:rsidR="00A90C56" w:rsidRDefault="00000000">
      <w:pPr>
        <w:pStyle w:val="Heading2"/>
      </w:pPr>
      <w:r>
        <w:t>11.4. Principe de sécurité</w:t>
      </w:r>
    </w:p>
    <w:p w14:paraId="6C4CB3F5" w14:textId="77777777" w:rsidR="00A90C56" w:rsidRDefault="00000000">
      <w:pPr>
        <w:pStyle w:val="EncadreROP"/>
        <w:shd w:val="clear" w:color="auto" w:fill="F8E9E5"/>
        <w:spacing w:before="80" w:after="100"/>
        <w:ind w:left="142" w:right="142"/>
      </w:pPr>
      <w:r>
        <w:t>PRÉCAUTION — Une zone réflexe sensible ou une modification palpatoire n’est pas un test diagnostique de torsion testiculaire, cancer, prostatite, hypertrophie bénigne de la prostate, infection, rétention urinaire ou autre pathologie uro-génitale. Toute douleur testiculaire aiguë, masse ou augmentation de volume, fièvre, hématurie, rétention urinaire, altération de l’état général ou symptôme inhabituel impose une évaluation médicale adaptée.</w:t>
      </w:r>
    </w:p>
    <w:sectPr w:rsidR="00A90C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_sans_proregula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9F7"/>
    <w:multiLevelType w:val="hybridMultilevel"/>
    <w:tmpl w:val="265871D4"/>
    <w:lvl w:ilvl="0" w:tplc="040C0003">
      <w:start w:val="1"/>
      <w:numFmt w:val="bullet"/>
      <w:lvlText w:val="o"/>
      <w:lvlJc w:val="left"/>
      <w:pPr>
        <w:ind w:left="1637"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 w15:restartNumberingAfterBreak="0">
    <w:nsid w:val="04D93555"/>
    <w:multiLevelType w:val="hybridMultilevel"/>
    <w:tmpl w:val="62667EA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 w15:restartNumberingAfterBreak="0">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15:restartNumberingAfterBreak="0">
    <w:nsid w:val="07307D79"/>
    <w:multiLevelType w:val="hybridMultilevel"/>
    <w:tmpl w:val="F88A5ECA"/>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 w15:restartNumberingAfterBreak="0">
    <w:nsid w:val="09292514"/>
    <w:multiLevelType w:val="hybridMultilevel"/>
    <w:tmpl w:val="0BDC611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5" w15:restartNumberingAfterBreak="0">
    <w:nsid w:val="0CF42DBB"/>
    <w:multiLevelType w:val="hybridMultilevel"/>
    <w:tmpl w:val="9BCC46DA"/>
    <w:lvl w:ilvl="0" w:tplc="4EBCF212">
      <w:numFmt w:val="bullet"/>
      <w:lvlText w:val="-"/>
      <w:lvlJc w:val="left"/>
      <w:pPr>
        <w:ind w:left="1789" w:hanging="360"/>
      </w:pPr>
      <w:rPr>
        <w:rFonts w:ascii="Times New Roman" w:eastAsiaTheme="minorHAnsi" w:hAnsi="Times New Roman" w:cs="Times New Roman"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6" w15:restartNumberingAfterBreak="0">
    <w:nsid w:val="0E923095"/>
    <w:multiLevelType w:val="hybridMultilevel"/>
    <w:tmpl w:val="DE60A1D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 w15:restartNumberingAfterBreak="0">
    <w:nsid w:val="0EA74D08"/>
    <w:multiLevelType w:val="hybridMultilevel"/>
    <w:tmpl w:val="2B6672AA"/>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8" w15:restartNumberingAfterBreak="0">
    <w:nsid w:val="15C42E50"/>
    <w:multiLevelType w:val="hybridMultilevel"/>
    <w:tmpl w:val="9A927EA4"/>
    <w:lvl w:ilvl="0" w:tplc="0F4AEA42">
      <w:start w:val="3"/>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5D543EB"/>
    <w:multiLevelType w:val="hybridMultilevel"/>
    <w:tmpl w:val="B3C4FC1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15:restartNumberingAfterBreak="0">
    <w:nsid w:val="162A0411"/>
    <w:multiLevelType w:val="hybridMultilevel"/>
    <w:tmpl w:val="A5D2EBE6"/>
    <w:lvl w:ilvl="0" w:tplc="7020D47C">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1D8237B4"/>
    <w:multiLevelType w:val="hybridMultilevel"/>
    <w:tmpl w:val="6F3E192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2" w15:restartNumberingAfterBreak="0">
    <w:nsid w:val="1E915FA0"/>
    <w:multiLevelType w:val="hybridMultilevel"/>
    <w:tmpl w:val="B29A604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3" w15:restartNumberingAfterBreak="0">
    <w:nsid w:val="20E81AD4"/>
    <w:multiLevelType w:val="hybridMultilevel"/>
    <w:tmpl w:val="F33CDEC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4" w15:restartNumberingAfterBreak="0">
    <w:nsid w:val="23B52046"/>
    <w:multiLevelType w:val="hybridMultilevel"/>
    <w:tmpl w:val="CEFAE73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15:restartNumberingAfterBreak="0">
    <w:nsid w:val="26781012"/>
    <w:multiLevelType w:val="hybridMultilevel"/>
    <w:tmpl w:val="63901312"/>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15:restartNumberingAfterBreak="0">
    <w:nsid w:val="2DFF3A5C"/>
    <w:multiLevelType w:val="hybridMultilevel"/>
    <w:tmpl w:val="D15EA2A8"/>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8336172A">
      <w:start w:val="1"/>
      <w:numFmt w:val="decimal"/>
      <w:lvlText w:val="%3."/>
      <w:lvlJc w:val="left"/>
      <w:pPr>
        <w:tabs>
          <w:tab w:val="num" w:pos="1070"/>
        </w:tabs>
        <w:ind w:left="1070" w:hanging="360"/>
      </w:pPr>
      <w:rPr>
        <w:b/>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17" w15:restartNumberingAfterBreak="0">
    <w:nsid w:val="340572D5"/>
    <w:multiLevelType w:val="hybridMultilevel"/>
    <w:tmpl w:val="5FA6ED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8" w15:restartNumberingAfterBreak="0">
    <w:nsid w:val="356472B5"/>
    <w:multiLevelType w:val="hybridMultilevel"/>
    <w:tmpl w:val="9BC21046"/>
    <w:lvl w:ilvl="0" w:tplc="040C000D">
      <w:start w:val="1"/>
      <w:numFmt w:val="bullet"/>
      <w:lvlText w:val=""/>
      <w:lvlJc w:val="left"/>
      <w:pPr>
        <w:ind w:left="2203" w:hanging="360"/>
      </w:pPr>
      <w:rPr>
        <w:rFonts w:ascii="Wingdings" w:hAnsi="Wingdings"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19" w15:restartNumberingAfterBreak="0">
    <w:nsid w:val="37910317"/>
    <w:multiLevelType w:val="hybridMultilevel"/>
    <w:tmpl w:val="7B10B448"/>
    <w:lvl w:ilvl="0" w:tplc="9CE200A8">
      <w:start w:val="5"/>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9616F28"/>
    <w:multiLevelType w:val="hybridMultilevel"/>
    <w:tmpl w:val="5E9E5A0C"/>
    <w:lvl w:ilvl="0" w:tplc="C5C2561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9E37CE5"/>
    <w:multiLevelType w:val="hybridMultilevel"/>
    <w:tmpl w:val="D4287B1C"/>
    <w:lvl w:ilvl="0" w:tplc="41408152">
      <w:start w:val="10"/>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D63525E"/>
    <w:multiLevelType w:val="hybridMultilevel"/>
    <w:tmpl w:val="41F6F01A"/>
    <w:lvl w:ilvl="0" w:tplc="4EBCF212">
      <w:numFmt w:val="bullet"/>
      <w:lvlText w:val="-"/>
      <w:lvlJc w:val="left"/>
      <w:pPr>
        <w:ind w:left="2628" w:hanging="360"/>
      </w:pPr>
      <w:rPr>
        <w:rFonts w:ascii="Times New Roman" w:eastAsiaTheme="minorHAnsi" w:hAnsi="Times New Roman" w:cs="Times New Roman" w:hint="default"/>
      </w:rPr>
    </w:lvl>
    <w:lvl w:ilvl="1" w:tplc="040C0003" w:tentative="1">
      <w:start w:val="1"/>
      <w:numFmt w:val="bullet"/>
      <w:lvlText w:val="o"/>
      <w:lvlJc w:val="left"/>
      <w:pPr>
        <w:ind w:left="3348" w:hanging="360"/>
      </w:pPr>
      <w:rPr>
        <w:rFonts w:ascii="Courier New" w:hAnsi="Courier New" w:cs="Courier New" w:hint="default"/>
      </w:rPr>
    </w:lvl>
    <w:lvl w:ilvl="2" w:tplc="040C0005" w:tentative="1">
      <w:start w:val="1"/>
      <w:numFmt w:val="bullet"/>
      <w:lvlText w:val=""/>
      <w:lvlJc w:val="left"/>
      <w:pPr>
        <w:ind w:left="4068" w:hanging="360"/>
      </w:pPr>
      <w:rPr>
        <w:rFonts w:ascii="Wingdings" w:hAnsi="Wingdings" w:hint="default"/>
      </w:rPr>
    </w:lvl>
    <w:lvl w:ilvl="3" w:tplc="040C0001" w:tentative="1">
      <w:start w:val="1"/>
      <w:numFmt w:val="bullet"/>
      <w:lvlText w:val=""/>
      <w:lvlJc w:val="left"/>
      <w:pPr>
        <w:ind w:left="4788" w:hanging="360"/>
      </w:pPr>
      <w:rPr>
        <w:rFonts w:ascii="Symbol" w:hAnsi="Symbol" w:hint="default"/>
      </w:rPr>
    </w:lvl>
    <w:lvl w:ilvl="4" w:tplc="040C0003" w:tentative="1">
      <w:start w:val="1"/>
      <w:numFmt w:val="bullet"/>
      <w:lvlText w:val="o"/>
      <w:lvlJc w:val="left"/>
      <w:pPr>
        <w:ind w:left="5508" w:hanging="360"/>
      </w:pPr>
      <w:rPr>
        <w:rFonts w:ascii="Courier New" w:hAnsi="Courier New" w:cs="Courier New" w:hint="default"/>
      </w:rPr>
    </w:lvl>
    <w:lvl w:ilvl="5" w:tplc="040C0005" w:tentative="1">
      <w:start w:val="1"/>
      <w:numFmt w:val="bullet"/>
      <w:lvlText w:val=""/>
      <w:lvlJc w:val="left"/>
      <w:pPr>
        <w:ind w:left="6228" w:hanging="360"/>
      </w:pPr>
      <w:rPr>
        <w:rFonts w:ascii="Wingdings" w:hAnsi="Wingdings" w:hint="default"/>
      </w:rPr>
    </w:lvl>
    <w:lvl w:ilvl="6" w:tplc="040C0001" w:tentative="1">
      <w:start w:val="1"/>
      <w:numFmt w:val="bullet"/>
      <w:lvlText w:val=""/>
      <w:lvlJc w:val="left"/>
      <w:pPr>
        <w:ind w:left="6948" w:hanging="360"/>
      </w:pPr>
      <w:rPr>
        <w:rFonts w:ascii="Symbol" w:hAnsi="Symbol" w:hint="default"/>
      </w:rPr>
    </w:lvl>
    <w:lvl w:ilvl="7" w:tplc="040C0003" w:tentative="1">
      <w:start w:val="1"/>
      <w:numFmt w:val="bullet"/>
      <w:lvlText w:val="o"/>
      <w:lvlJc w:val="left"/>
      <w:pPr>
        <w:ind w:left="7668" w:hanging="360"/>
      </w:pPr>
      <w:rPr>
        <w:rFonts w:ascii="Courier New" w:hAnsi="Courier New" w:cs="Courier New" w:hint="default"/>
      </w:rPr>
    </w:lvl>
    <w:lvl w:ilvl="8" w:tplc="040C0005" w:tentative="1">
      <w:start w:val="1"/>
      <w:numFmt w:val="bullet"/>
      <w:lvlText w:val=""/>
      <w:lvlJc w:val="left"/>
      <w:pPr>
        <w:ind w:left="8388" w:hanging="360"/>
      </w:pPr>
      <w:rPr>
        <w:rFonts w:ascii="Wingdings" w:hAnsi="Wingdings" w:hint="default"/>
      </w:rPr>
    </w:lvl>
  </w:abstractNum>
  <w:abstractNum w:abstractNumId="23" w15:restartNumberingAfterBreak="0">
    <w:nsid w:val="466B43E7"/>
    <w:multiLevelType w:val="hybridMultilevel"/>
    <w:tmpl w:val="EFF6335E"/>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4" w15:restartNumberingAfterBreak="0">
    <w:nsid w:val="4E5E30FB"/>
    <w:multiLevelType w:val="hybridMultilevel"/>
    <w:tmpl w:val="6D249C48"/>
    <w:lvl w:ilvl="0" w:tplc="4EBCF212">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5" w15:restartNumberingAfterBreak="0">
    <w:nsid w:val="511B4C10"/>
    <w:multiLevelType w:val="hybridMultilevel"/>
    <w:tmpl w:val="F9AA895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CE7AF4"/>
    <w:multiLevelType w:val="hybridMultilevel"/>
    <w:tmpl w:val="ED32558C"/>
    <w:lvl w:ilvl="0" w:tplc="3D82ED30">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8" w15:restartNumberingAfterBreak="0">
    <w:nsid w:val="6185775C"/>
    <w:multiLevelType w:val="hybridMultilevel"/>
    <w:tmpl w:val="E166B82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15:restartNumberingAfterBreak="0">
    <w:nsid w:val="62A10837"/>
    <w:multiLevelType w:val="hybridMultilevel"/>
    <w:tmpl w:val="FC06309A"/>
    <w:lvl w:ilvl="0" w:tplc="040C0003">
      <w:start w:val="1"/>
      <w:numFmt w:val="bullet"/>
      <w:lvlText w:val="o"/>
      <w:lvlJc w:val="left"/>
      <w:pPr>
        <w:ind w:left="1494" w:hanging="360"/>
      </w:pPr>
      <w:rPr>
        <w:rFonts w:ascii="Courier New" w:hAnsi="Courier New" w:cs="Courier New" w:hint="default"/>
      </w:rPr>
    </w:lvl>
    <w:lvl w:ilvl="1" w:tplc="040C0003">
      <w:start w:val="1"/>
      <w:numFmt w:val="bullet"/>
      <w:lvlText w:val="o"/>
      <w:lvlJc w:val="left"/>
      <w:pPr>
        <w:ind w:left="2214" w:hanging="360"/>
      </w:pPr>
      <w:rPr>
        <w:rFonts w:ascii="Courier New" w:hAnsi="Courier New" w:cs="Courier New" w:hint="default"/>
      </w:rPr>
    </w:lvl>
    <w:lvl w:ilvl="2" w:tplc="040C0005">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0" w15:restartNumberingAfterBreak="0">
    <w:nsid w:val="642E7E08"/>
    <w:multiLevelType w:val="hybridMultilevel"/>
    <w:tmpl w:val="13063258"/>
    <w:lvl w:ilvl="0" w:tplc="FD00A262">
      <w:start w:val="1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FD7626"/>
    <w:multiLevelType w:val="hybridMultilevel"/>
    <w:tmpl w:val="A9C6B3B6"/>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2" w15:restartNumberingAfterBreak="0">
    <w:nsid w:val="689C7C68"/>
    <w:multiLevelType w:val="hybridMultilevel"/>
    <w:tmpl w:val="C772FBC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3" w15:restartNumberingAfterBreak="0">
    <w:nsid w:val="6B0A2B2C"/>
    <w:multiLevelType w:val="hybridMultilevel"/>
    <w:tmpl w:val="AB6493D0"/>
    <w:lvl w:ilvl="0" w:tplc="4EBCF212">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34" w15:restartNumberingAfterBreak="0">
    <w:nsid w:val="6B4458A6"/>
    <w:multiLevelType w:val="hybridMultilevel"/>
    <w:tmpl w:val="DDAEE82C"/>
    <w:lvl w:ilvl="0" w:tplc="5CFE0EC2">
      <w:start w:val="1"/>
      <w:numFmt w:val="bullet"/>
      <w:lvlText w:val=""/>
      <w:lvlJc w:val="left"/>
      <w:pPr>
        <w:ind w:left="644" w:hanging="360"/>
      </w:pPr>
      <w:rPr>
        <w:rFonts w:ascii="Wingdings" w:hAnsi="Wingdings" w:hint="default"/>
        <w:color w:val="auto"/>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5" w15:restartNumberingAfterBreak="0">
    <w:nsid w:val="6C747B79"/>
    <w:multiLevelType w:val="hybridMultilevel"/>
    <w:tmpl w:val="6F8CC5E0"/>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6" w15:restartNumberingAfterBreak="0">
    <w:nsid w:val="703E5978"/>
    <w:multiLevelType w:val="hybridMultilevel"/>
    <w:tmpl w:val="9B8E202A"/>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7" w15:restartNumberingAfterBreak="0">
    <w:nsid w:val="70B94BD4"/>
    <w:multiLevelType w:val="hybridMultilevel"/>
    <w:tmpl w:val="88AA516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8" w15:restartNumberingAfterBreak="0">
    <w:nsid w:val="72A90C2F"/>
    <w:multiLevelType w:val="hybridMultilevel"/>
    <w:tmpl w:val="53E045E0"/>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9" w15:restartNumberingAfterBreak="0">
    <w:nsid w:val="751B58FC"/>
    <w:multiLevelType w:val="hybridMultilevel"/>
    <w:tmpl w:val="5B8C73B0"/>
    <w:lvl w:ilvl="0" w:tplc="040C0003">
      <w:start w:val="1"/>
      <w:numFmt w:val="bullet"/>
      <w:lvlText w:val="o"/>
      <w:lvlJc w:val="left"/>
      <w:pPr>
        <w:ind w:left="1353" w:hanging="360"/>
      </w:pPr>
      <w:rPr>
        <w:rFonts w:ascii="Courier New" w:hAnsi="Courier New" w:cs="Courier New" w:hint="default"/>
      </w:rPr>
    </w:lvl>
    <w:lvl w:ilvl="1" w:tplc="040C0003">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75F33FAA"/>
    <w:multiLevelType w:val="hybridMultilevel"/>
    <w:tmpl w:val="6884EAB0"/>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15:restartNumberingAfterBreak="0">
    <w:nsid w:val="764C1A93"/>
    <w:multiLevelType w:val="hybridMultilevel"/>
    <w:tmpl w:val="5FEA30DE"/>
    <w:lvl w:ilvl="0" w:tplc="040C0003">
      <w:start w:val="1"/>
      <w:numFmt w:val="bullet"/>
      <w:lvlText w:val="o"/>
      <w:lvlJc w:val="left"/>
      <w:pPr>
        <w:ind w:left="1353" w:hanging="360"/>
      </w:pPr>
      <w:rPr>
        <w:rFonts w:ascii="Courier New" w:hAnsi="Courier New" w:cs="Courier New" w:hint="default"/>
      </w:rPr>
    </w:lvl>
    <w:lvl w:ilvl="1" w:tplc="040C0001">
      <w:start w:val="1"/>
      <w:numFmt w:val="bullet"/>
      <w:lvlText w:val=""/>
      <w:lvlJc w:val="left"/>
      <w:pPr>
        <w:ind w:left="1069" w:hanging="360"/>
      </w:pPr>
      <w:rPr>
        <w:rFonts w:ascii="Symbol" w:hAnsi="Symbol"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79766BC6"/>
    <w:multiLevelType w:val="hybridMultilevel"/>
    <w:tmpl w:val="235855A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3" w15:restartNumberingAfterBreak="0">
    <w:nsid w:val="7AF433C1"/>
    <w:multiLevelType w:val="hybridMultilevel"/>
    <w:tmpl w:val="5C80153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num w:numId="1" w16cid:durableId="793911474">
    <w:abstractNumId w:val="1"/>
  </w:num>
  <w:num w:numId="2" w16cid:durableId="703099701">
    <w:abstractNumId w:val="41"/>
  </w:num>
  <w:num w:numId="3" w16cid:durableId="2029061293">
    <w:abstractNumId w:val="19"/>
  </w:num>
  <w:num w:numId="4" w16cid:durableId="208424736">
    <w:abstractNumId w:val="25"/>
  </w:num>
  <w:num w:numId="5" w16cid:durableId="1740250683">
    <w:abstractNumId w:val="37"/>
  </w:num>
  <w:num w:numId="6" w16cid:durableId="1591038769">
    <w:abstractNumId w:val="23"/>
  </w:num>
  <w:num w:numId="7" w16cid:durableId="1313293521">
    <w:abstractNumId w:val="6"/>
  </w:num>
  <w:num w:numId="8" w16cid:durableId="1865433789">
    <w:abstractNumId w:val="35"/>
  </w:num>
  <w:num w:numId="9" w16cid:durableId="853808046">
    <w:abstractNumId w:val="39"/>
  </w:num>
  <w:num w:numId="10" w16cid:durableId="1612666726">
    <w:abstractNumId w:val="40"/>
  </w:num>
  <w:num w:numId="11" w16cid:durableId="1117407561">
    <w:abstractNumId w:val="3"/>
  </w:num>
  <w:num w:numId="12" w16cid:durableId="1486311551">
    <w:abstractNumId w:val="13"/>
  </w:num>
  <w:num w:numId="13" w16cid:durableId="1120416840">
    <w:abstractNumId w:val="17"/>
  </w:num>
  <w:num w:numId="14" w16cid:durableId="1706178984">
    <w:abstractNumId w:val="31"/>
  </w:num>
  <w:num w:numId="15" w16cid:durableId="994144653">
    <w:abstractNumId w:val="29"/>
  </w:num>
  <w:num w:numId="16" w16cid:durableId="415440537">
    <w:abstractNumId w:val="33"/>
  </w:num>
  <w:num w:numId="17" w16cid:durableId="799616660">
    <w:abstractNumId w:val="14"/>
  </w:num>
  <w:num w:numId="18" w16cid:durableId="1955863184">
    <w:abstractNumId w:val="9"/>
  </w:num>
  <w:num w:numId="19" w16cid:durableId="922378679">
    <w:abstractNumId w:val="28"/>
  </w:num>
  <w:num w:numId="20" w16cid:durableId="1741825908">
    <w:abstractNumId w:val="36"/>
  </w:num>
  <w:num w:numId="21" w16cid:durableId="2139183515">
    <w:abstractNumId w:val="4"/>
  </w:num>
  <w:num w:numId="22" w16cid:durableId="202133954">
    <w:abstractNumId w:val="24"/>
  </w:num>
  <w:num w:numId="23" w16cid:durableId="1063484048">
    <w:abstractNumId w:val="18"/>
  </w:num>
  <w:num w:numId="24" w16cid:durableId="1409306646">
    <w:abstractNumId w:val="22"/>
  </w:num>
  <w:num w:numId="25" w16cid:durableId="2070954226">
    <w:abstractNumId w:val="7"/>
  </w:num>
  <w:num w:numId="26" w16cid:durableId="1710564677">
    <w:abstractNumId w:val="15"/>
  </w:num>
  <w:num w:numId="27" w16cid:durableId="1614093833">
    <w:abstractNumId w:val="43"/>
  </w:num>
  <w:num w:numId="28" w16cid:durableId="932709863">
    <w:abstractNumId w:val="5"/>
  </w:num>
  <w:num w:numId="29" w16cid:durableId="905149369">
    <w:abstractNumId w:val="12"/>
  </w:num>
  <w:num w:numId="30" w16cid:durableId="1648168745">
    <w:abstractNumId w:val="11"/>
  </w:num>
  <w:num w:numId="31" w16cid:durableId="1610971682">
    <w:abstractNumId w:val="10"/>
  </w:num>
  <w:num w:numId="32" w16cid:durableId="701243142">
    <w:abstractNumId w:val="26"/>
  </w:num>
  <w:num w:numId="33" w16cid:durableId="309985717">
    <w:abstractNumId w:val="34"/>
  </w:num>
  <w:num w:numId="34" w16cid:durableId="1407342141">
    <w:abstractNumId w:val="27"/>
  </w:num>
  <w:num w:numId="35" w16cid:durableId="1731616117">
    <w:abstractNumId w:val="20"/>
  </w:num>
  <w:num w:numId="36" w16cid:durableId="1997605192">
    <w:abstractNumId w:val="42"/>
  </w:num>
  <w:num w:numId="37" w16cid:durableId="780077344">
    <w:abstractNumId w:val="0"/>
  </w:num>
  <w:num w:numId="38" w16cid:durableId="1362247745">
    <w:abstractNumId w:val="38"/>
  </w:num>
  <w:num w:numId="39" w16cid:durableId="1624187479">
    <w:abstractNumId w:val="32"/>
  </w:num>
  <w:num w:numId="40" w16cid:durableId="936211373">
    <w:abstractNumId w:val="16"/>
  </w:num>
  <w:num w:numId="41" w16cid:durableId="417484729">
    <w:abstractNumId w:val="2"/>
  </w:num>
  <w:num w:numId="42" w16cid:durableId="2022538750">
    <w:abstractNumId w:val="8"/>
  </w:num>
  <w:num w:numId="43" w16cid:durableId="641664225">
    <w:abstractNumId w:val="21"/>
  </w:num>
  <w:num w:numId="44" w16cid:durableId="38745369">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F279D"/>
    <w:rsid w:val="000078D1"/>
    <w:rsid w:val="00011E38"/>
    <w:rsid w:val="0002389E"/>
    <w:rsid w:val="00027CBC"/>
    <w:rsid w:val="000360FE"/>
    <w:rsid w:val="00036880"/>
    <w:rsid w:val="000559EC"/>
    <w:rsid w:val="000621F5"/>
    <w:rsid w:val="00062557"/>
    <w:rsid w:val="000644C4"/>
    <w:rsid w:val="0007238B"/>
    <w:rsid w:val="000726D4"/>
    <w:rsid w:val="000830E3"/>
    <w:rsid w:val="000852DD"/>
    <w:rsid w:val="000A22E2"/>
    <w:rsid w:val="000A5BDC"/>
    <w:rsid w:val="000B08AA"/>
    <w:rsid w:val="000B5360"/>
    <w:rsid w:val="000D1D60"/>
    <w:rsid w:val="000D68A4"/>
    <w:rsid w:val="000D6A11"/>
    <w:rsid w:val="000E0760"/>
    <w:rsid w:val="000E097C"/>
    <w:rsid w:val="000F2DAB"/>
    <w:rsid w:val="00102107"/>
    <w:rsid w:val="00123F85"/>
    <w:rsid w:val="00130C71"/>
    <w:rsid w:val="001341C8"/>
    <w:rsid w:val="001342FE"/>
    <w:rsid w:val="0013603B"/>
    <w:rsid w:val="001463EE"/>
    <w:rsid w:val="00146A7F"/>
    <w:rsid w:val="0015100A"/>
    <w:rsid w:val="00156952"/>
    <w:rsid w:val="001650F6"/>
    <w:rsid w:val="0017073D"/>
    <w:rsid w:val="001760D0"/>
    <w:rsid w:val="00182B96"/>
    <w:rsid w:val="00191814"/>
    <w:rsid w:val="00195573"/>
    <w:rsid w:val="001A1D5B"/>
    <w:rsid w:val="001B06B7"/>
    <w:rsid w:val="001C4440"/>
    <w:rsid w:val="001C52DB"/>
    <w:rsid w:val="001C635D"/>
    <w:rsid w:val="001C7C57"/>
    <w:rsid w:val="001D2873"/>
    <w:rsid w:val="001D4779"/>
    <w:rsid w:val="001E38EB"/>
    <w:rsid w:val="001E7168"/>
    <w:rsid w:val="001F3E0C"/>
    <w:rsid w:val="001F40A8"/>
    <w:rsid w:val="001F647A"/>
    <w:rsid w:val="002268ED"/>
    <w:rsid w:val="00230031"/>
    <w:rsid w:val="00233BB8"/>
    <w:rsid w:val="00261092"/>
    <w:rsid w:val="0026279A"/>
    <w:rsid w:val="002724DB"/>
    <w:rsid w:val="00276DC5"/>
    <w:rsid w:val="00290188"/>
    <w:rsid w:val="00294713"/>
    <w:rsid w:val="00297049"/>
    <w:rsid w:val="002A4EC3"/>
    <w:rsid w:val="002C39ED"/>
    <w:rsid w:val="002C5789"/>
    <w:rsid w:val="002C7451"/>
    <w:rsid w:val="002D101A"/>
    <w:rsid w:val="002D7EEE"/>
    <w:rsid w:val="002F32E9"/>
    <w:rsid w:val="002F407E"/>
    <w:rsid w:val="0030099D"/>
    <w:rsid w:val="00305DC3"/>
    <w:rsid w:val="003158F3"/>
    <w:rsid w:val="00322441"/>
    <w:rsid w:val="00322F1B"/>
    <w:rsid w:val="00366CE4"/>
    <w:rsid w:val="00367B14"/>
    <w:rsid w:val="0038798C"/>
    <w:rsid w:val="00390F77"/>
    <w:rsid w:val="003B5B38"/>
    <w:rsid w:val="003C381C"/>
    <w:rsid w:val="003E7ACD"/>
    <w:rsid w:val="003F57E7"/>
    <w:rsid w:val="004014E1"/>
    <w:rsid w:val="00401EA4"/>
    <w:rsid w:val="00402A4C"/>
    <w:rsid w:val="00406625"/>
    <w:rsid w:val="00406630"/>
    <w:rsid w:val="00410996"/>
    <w:rsid w:val="00416184"/>
    <w:rsid w:val="004229C1"/>
    <w:rsid w:val="00430B53"/>
    <w:rsid w:val="004322C8"/>
    <w:rsid w:val="00442654"/>
    <w:rsid w:val="00446B3B"/>
    <w:rsid w:val="004519BF"/>
    <w:rsid w:val="00455BB2"/>
    <w:rsid w:val="004606ED"/>
    <w:rsid w:val="00466065"/>
    <w:rsid w:val="00483364"/>
    <w:rsid w:val="00486604"/>
    <w:rsid w:val="00492460"/>
    <w:rsid w:val="00492766"/>
    <w:rsid w:val="004950D3"/>
    <w:rsid w:val="004953A9"/>
    <w:rsid w:val="004A0805"/>
    <w:rsid w:val="004A256D"/>
    <w:rsid w:val="004A5861"/>
    <w:rsid w:val="004A7BB4"/>
    <w:rsid w:val="004B31A2"/>
    <w:rsid w:val="004D0174"/>
    <w:rsid w:val="004D042B"/>
    <w:rsid w:val="004D3161"/>
    <w:rsid w:val="004E50A8"/>
    <w:rsid w:val="004E5431"/>
    <w:rsid w:val="004E597B"/>
    <w:rsid w:val="004F2DF1"/>
    <w:rsid w:val="004F4C9C"/>
    <w:rsid w:val="004F50C3"/>
    <w:rsid w:val="00502559"/>
    <w:rsid w:val="00504150"/>
    <w:rsid w:val="00530311"/>
    <w:rsid w:val="00530CE4"/>
    <w:rsid w:val="005443C7"/>
    <w:rsid w:val="00556370"/>
    <w:rsid w:val="00560949"/>
    <w:rsid w:val="00561C5B"/>
    <w:rsid w:val="005777F3"/>
    <w:rsid w:val="00577EF9"/>
    <w:rsid w:val="0058086A"/>
    <w:rsid w:val="005873E5"/>
    <w:rsid w:val="005901EB"/>
    <w:rsid w:val="005A318A"/>
    <w:rsid w:val="005A45CC"/>
    <w:rsid w:val="005B0095"/>
    <w:rsid w:val="005B0294"/>
    <w:rsid w:val="005B30AE"/>
    <w:rsid w:val="005B4CAC"/>
    <w:rsid w:val="005B620D"/>
    <w:rsid w:val="005C174D"/>
    <w:rsid w:val="005C6D87"/>
    <w:rsid w:val="005D78AD"/>
    <w:rsid w:val="005E21F1"/>
    <w:rsid w:val="005E5E67"/>
    <w:rsid w:val="005F12FF"/>
    <w:rsid w:val="00601A2F"/>
    <w:rsid w:val="006051B0"/>
    <w:rsid w:val="0061698E"/>
    <w:rsid w:val="00621342"/>
    <w:rsid w:val="006320F7"/>
    <w:rsid w:val="00634AB5"/>
    <w:rsid w:val="0064092A"/>
    <w:rsid w:val="006457CA"/>
    <w:rsid w:val="0065784C"/>
    <w:rsid w:val="00681A11"/>
    <w:rsid w:val="00697977"/>
    <w:rsid w:val="006A1638"/>
    <w:rsid w:val="006A21F8"/>
    <w:rsid w:val="006A592F"/>
    <w:rsid w:val="006C0806"/>
    <w:rsid w:val="006C4162"/>
    <w:rsid w:val="006D4E02"/>
    <w:rsid w:val="006D7760"/>
    <w:rsid w:val="006F1136"/>
    <w:rsid w:val="00710C68"/>
    <w:rsid w:val="007274E2"/>
    <w:rsid w:val="00731369"/>
    <w:rsid w:val="00732065"/>
    <w:rsid w:val="00740F52"/>
    <w:rsid w:val="00745583"/>
    <w:rsid w:val="00745834"/>
    <w:rsid w:val="00753798"/>
    <w:rsid w:val="00771BA4"/>
    <w:rsid w:val="00773D6B"/>
    <w:rsid w:val="00776238"/>
    <w:rsid w:val="00783E1F"/>
    <w:rsid w:val="00787009"/>
    <w:rsid w:val="0079157E"/>
    <w:rsid w:val="00796EE9"/>
    <w:rsid w:val="007A2946"/>
    <w:rsid w:val="007B569C"/>
    <w:rsid w:val="007B79AF"/>
    <w:rsid w:val="007C2D35"/>
    <w:rsid w:val="007D4E13"/>
    <w:rsid w:val="007E0199"/>
    <w:rsid w:val="007E1973"/>
    <w:rsid w:val="007F1261"/>
    <w:rsid w:val="007F34F6"/>
    <w:rsid w:val="00806B22"/>
    <w:rsid w:val="008137C2"/>
    <w:rsid w:val="0081615D"/>
    <w:rsid w:val="00824F28"/>
    <w:rsid w:val="008436A8"/>
    <w:rsid w:val="008440D3"/>
    <w:rsid w:val="008555AC"/>
    <w:rsid w:val="008555DE"/>
    <w:rsid w:val="00857C9E"/>
    <w:rsid w:val="00860FF7"/>
    <w:rsid w:val="0086331A"/>
    <w:rsid w:val="00866C99"/>
    <w:rsid w:val="008747BD"/>
    <w:rsid w:val="008813DE"/>
    <w:rsid w:val="00882E3A"/>
    <w:rsid w:val="00891794"/>
    <w:rsid w:val="00892368"/>
    <w:rsid w:val="008937F1"/>
    <w:rsid w:val="00893C52"/>
    <w:rsid w:val="00896BAB"/>
    <w:rsid w:val="00897244"/>
    <w:rsid w:val="008B53EF"/>
    <w:rsid w:val="008C1301"/>
    <w:rsid w:val="008C26D1"/>
    <w:rsid w:val="008C49D7"/>
    <w:rsid w:val="008D5B16"/>
    <w:rsid w:val="008E027B"/>
    <w:rsid w:val="008F03BF"/>
    <w:rsid w:val="009031A5"/>
    <w:rsid w:val="00912EDE"/>
    <w:rsid w:val="00915C39"/>
    <w:rsid w:val="0092375B"/>
    <w:rsid w:val="00930EF9"/>
    <w:rsid w:val="00941F4C"/>
    <w:rsid w:val="00944C51"/>
    <w:rsid w:val="00956ECB"/>
    <w:rsid w:val="0097050F"/>
    <w:rsid w:val="009714D0"/>
    <w:rsid w:val="0097424D"/>
    <w:rsid w:val="00984015"/>
    <w:rsid w:val="00991260"/>
    <w:rsid w:val="009921A2"/>
    <w:rsid w:val="009B470D"/>
    <w:rsid w:val="009B4DAF"/>
    <w:rsid w:val="009B6A09"/>
    <w:rsid w:val="009D38E2"/>
    <w:rsid w:val="009E68C3"/>
    <w:rsid w:val="009E7846"/>
    <w:rsid w:val="009F00C7"/>
    <w:rsid w:val="009F1415"/>
    <w:rsid w:val="009F3B12"/>
    <w:rsid w:val="009F7FA0"/>
    <w:rsid w:val="00A00824"/>
    <w:rsid w:val="00A04072"/>
    <w:rsid w:val="00A10176"/>
    <w:rsid w:val="00A14CEB"/>
    <w:rsid w:val="00A24EF3"/>
    <w:rsid w:val="00A51147"/>
    <w:rsid w:val="00A56D53"/>
    <w:rsid w:val="00A57F7B"/>
    <w:rsid w:val="00A72250"/>
    <w:rsid w:val="00A736D9"/>
    <w:rsid w:val="00A90C56"/>
    <w:rsid w:val="00AA5A78"/>
    <w:rsid w:val="00AB26B5"/>
    <w:rsid w:val="00AB7E71"/>
    <w:rsid w:val="00AC30FB"/>
    <w:rsid w:val="00AD010F"/>
    <w:rsid w:val="00AD434B"/>
    <w:rsid w:val="00AF0DAC"/>
    <w:rsid w:val="00AF6835"/>
    <w:rsid w:val="00B05B49"/>
    <w:rsid w:val="00B06F34"/>
    <w:rsid w:val="00B136B2"/>
    <w:rsid w:val="00B279AC"/>
    <w:rsid w:val="00B34713"/>
    <w:rsid w:val="00B34978"/>
    <w:rsid w:val="00B3720E"/>
    <w:rsid w:val="00B40D7D"/>
    <w:rsid w:val="00B452D6"/>
    <w:rsid w:val="00B5052B"/>
    <w:rsid w:val="00B600A9"/>
    <w:rsid w:val="00B71A2E"/>
    <w:rsid w:val="00B758B7"/>
    <w:rsid w:val="00B76973"/>
    <w:rsid w:val="00BA26AD"/>
    <w:rsid w:val="00BA446E"/>
    <w:rsid w:val="00BB33B0"/>
    <w:rsid w:val="00BB65BC"/>
    <w:rsid w:val="00BC673B"/>
    <w:rsid w:val="00BF2769"/>
    <w:rsid w:val="00BF2874"/>
    <w:rsid w:val="00BF752B"/>
    <w:rsid w:val="00C05F67"/>
    <w:rsid w:val="00C14D6B"/>
    <w:rsid w:val="00C152BD"/>
    <w:rsid w:val="00C27D1B"/>
    <w:rsid w:val="00C30A2B"/>
    <w:rsid w:val="00C44A6A"/>
    <w:rsid w:val="00C5123A"/>
    <w:rsid w:val="00C555F6"/>
    <w:rsid w:val="00C55815"/>
    <w:rsid w:val="00C56034"/>
    <w:rsid w:val="00C57D58"/>
    <w:rsid w:val="00C61A65"/>
    <w:rsid w:val="00C70C81"/>
    <w:rsid w:val="00C71A49"/>
    <w:rsid w:val="00C76B13"/>
    <w:rsid w:val="00C87A4E"/>
    <w:rsid w:val="00C9269C"/>
    <w:rsid w:val="00CA759A"/>
    <w:rsid w:val="00CA7A3E"/>
    <w:rsid w:val="00CB3CF1"/>
    <w:rsid w:val="00CC3641"/>
    <w:rsid w:val="00CE1D41"/>
    <w:rsid w:val="00CF257B"/>
    <w:rsid w:val="00D249FB"/>
    <w:rsid w:val="00D311D6"/>
    <w:rsid w:val="00D31ACF"/>
    <w:rsid w:val="00D348FF"/>
    <w:rsid w:val="00D468A4"/>
    <w:rsid w:val="00D55144"/>
    <w:rsid w:val="00D60773"/>
    <w:rsid w:val="00D60CEF"/>
    <w:rsid w:val="00D734C1"/>
    <w:rsid w:val="00DB0862"/>
    <w:rsid w:val="00DB23EB"/>
    <w:rsid w:val="00DB37D8"/>
    <w:rsid w:val="00DB6669"/>
    <w:rsid w:val="00DC68DE"/>
    <w:rsid w:val="00DE4318"/>
    <w:rsid w:val="00E02C32"/>
    <w:rsid w:val="00E038B7"/>
    <w:rsid w:val="00E145C8"/>
    <w:rsid w:val="00E162C2"/>
    <w:rsid w:val="00E16E8E"/>
    <w:rsid w:val="00E17A03"/>
    <w:rsid w:val="00E23961"/>
    <w:rsid w:val="00E3495B"/>
    <w:rsid w:val="00E371A3"/>
    <w:rsid w:val="00E53558"/>
    <w:rsid w:val="00E630DE"/>
    <w:rsid w:val="00E707A7"/>
    <w:rsid w:val="00E869D4"/>
    <w:rsid w:val="00E911E3"/>
    <w:rsid w:val="00E94E3D"/>
    <w:rsid w:val="00EA06C6"/>
    <w:rsid w:val="00EA229F"/>
    <w:rsid w:val="00EA2856"/>
    <w:rsid w:val="00EB3465"/>
    <w:rsid w:val="00EC5985"/>
    <w:rsid w:val="00ED3B56"/>
    <w:rsid w:val="00EE550A"/>
    <w:rsid w:val="00EF175F"/>
    <w:rsid w:val="00EF279D"/>
    <w:rsid w:val="00F0502B"/>
    <w:rsid w:val="00F17E16"/>
    <w:rsid w:val="00F23F36"/>
    <w:rsid w:val="00F2515C"/>
    <w:rsid w:val="00F2768C"/>
    <w:rsid w:val="00F35A69"/>
    <w:rsid w:val="00F36AD4"/>
    <w:rsid w:val="00F370CB"/>
    <w:rsid w:val="00F41D04"/>
    <w:rsid w:val="00F529FE"/>
    <w:rsid w:val="00F5791D"/>
    <w:rsid w:val="00F6483C"/>
    <w:rsid w:val="00F745C0"/>
    <w:rsid w:val="00F80994"/>
    <w:rsid w:val="00F87FBF"/>
    <w:rsid w:val="00FA05C4"/>
    <w:rsid w:val="00FA5485"/>
    <w:rsid w:val="00FA6518"/>
    <w:rsid w:val="00FB313B"/>
    <w:rsid w:val="00FE1E97"/>
    <w:rsid w:val="00FE3827"/>
    <w:rsid w:val="00FE6481"/>
    <w:rsid w:val="00FE6E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4F66"/>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79D"/>
  </w:style>
  <w:style w:type="paragraph" w:styleId="Heading1">
    <w:name w:val="heading 1"/>
    <w:basedOn w:val="Normal"/>
    <w:next w:val="Normal"/>
    <w:link w:val="Heading1Char"/>
    <w:uiPriority w:val="9"/>
    <w:qFormat/>
    <w:rsid w:val="00EF27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279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463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9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279D"/>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EF27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279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F279D"/>
    <w:pPr>
      <w:ind w:left="720"/>
      <w:contextualSpacing/>
    </w:pPr>
  </w:style>
  <w:style w:type="paragraph" w:styleId="NormalWeb">
    <w:name w:val="Normal (Web)"/>
    <w:basedOn w:val="Normal"/>
    <w:uiPriority w:val="99"/>
    <w:semiHidden/>
    <w:unhideWhenUsed/>
    <w:rsid w:val="00C555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C555F6"/>
    <w:rPr>
      <w:color w:val="0000FF"/>
      <w:u w:val="single"/>
    </w:rPr>
  </w:style>
  <w:style w:type="character" w:customStyle="1" w:styleId="lang-la">
    <w:name w:val="lang-la"/>
    <w:basedOn w:val="DefaultParagraphFont"/>
    <w:rsid w:val="00C555F6"/>
  </w:style>
  <w:style w:type="character" w:customStyle="1" w:styleId="cite-bracket">
    <w:name w:val="cite-bracket"/>
    <w:basedOn w:val="DefaultParagraphFont"/>
    <w:rsid w:val="00F17E16"/>
  </w:style>
  <w:style w:type="character" w:customStyle="1" w:styleId="Heading3Char">
    <w:name w:val="Heading 3 Char"/>
    <w:basedOn w:val="DefaultParagraphFont"/>
    <w:link w:val="Heading3"/>
    <w:uiPriority w:val="9"/>
    <w:rsid w:val="001463E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E6481"/>
    <w:rPr>
      <w:b/>
      <w:bCs/>
    </w:rPr>
  </w:style>
  <w:style w:type="paragraph" w:customStyle="1" w:styleId="text-align-justify">
    <w:name w:val="text-align-justify"/>
    <w:basedOn w:val="Normal"/>
    <w:rsid w:val="0089236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Spacing">
    <w:name w:val="No Spacing"/>
    <w:uiPriority w:val="1"/>
    <w:qFormat/>
    <w:rsid w:val="00C87A4E"/>
    <w:pPr>
      <w:spacing w:after="0" w:line="240" w:lineRule="auto"/>
    </w:pPr>
  </w:style>
  <w:style w:type="paragraph" w:customStyle="1" w:styleId="EncadreROP">
    <w:name w:val="Encadre ROP"/>
    <w:basedOn w:val="Normal"/>
    <w:pPr>
      <w:keepNext/>
      <w:spacing w:before="120" w:after="60"/>
    </w:pPr>
    <w:rPr>
      <w:rFonts w:ascii="Arial" w:hAnsi="Arial"/>
      <w:b/>
      <w:color w:val="58483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3654">
      <w:bodyDiv w:val="1"/>
      <w:marLeft w:val="0"/>
      <w:marRight w:val="0"/>
      <w:marTop w:val="0"/>
      <w:marBottom w:val="0"/>
      <w:divBdr>
        <w:top w:val="none" w:sz="0" w:space="0" w:color="auto"/>
        <w:left w:val="none" w:sz="0" w:space="0" w:color="auto"/>
        <w:bottom w:val="none" w:sz="0" w:space="0" w:color="auto"/>
        <w:right w:val="none" w:sz="0" w:space="0" w:color="auto"/>
      </w:divBdr>
    </w:div>
    <w:div w:id="192040200">
      <w:bodyDiv w:val="1"/>
      <w:marLeft w:val="0"/>
      <w:marRight w:val="0"/>
      <w:marTop w:val="0"/>
      <w:marBottom w:val="0"/>
      <w:divBdr>
        <w:top w:val="none" w:sz="0" w:space="0" w:color="auto"/>
        <w:left w:val="none" w:sz="0" w:space="0" w:color="auto"/>
        <w:bottom w:val="none" w:sz="0" w:space="0" w:color="auto"/>
        <w:right w:val="none" w:sz="0" w:space="0" w:color="auto"/>
      </w:divBdr>
    </w:div>
    <w:div w:id="508250655">
      <w:bodyDiv w:val="1"/>
      <w:marLeft w:val="0"/>
      <w:marRight w:val="0"/>
      <w:marTop w:val="0"/>
      <w:marBottom w:val="0"/>
      <w:divBdr>
        <w:top w:val="none" w:sz="0" w:space="0" w:color="auto"/>
        <w:left w:val="none" w:sz="0" w:space="0" w:color="auto"/>
        <w:bottom w:val="none" w:sz="0" w:space="0" w:color="auto"/>
        <w:right w:val="none" w:sz="0" w:space="0" w:color="auto"/>
      </w:divBdr>
    </w:div>
    <w:div w:id="681277704">
      <w:bodyDiv w:val="1"/>
      <w:marLeft w:val="0"/>
      <w:marRight w:val="0"/>
      <w:marTop w:val="0"/>
      <w:marBottom w:val="0"/>
      <w:divBdr>
        <w:top w:val="none" w:sz="0" w:space="0" w:color="auto"/>
        <w:left w:val="none" w:sz="0" w:space="0" w:color="auto"/>
        <w:bottom w:val="none" w:sz="0" w:space="0" w:color="auto"/>
        <w:right w:val="none" w:sz="0" w:space="0" w:color="auto"/>
      </w:divBdr>
    </w:div>
    <w:div w:id="775826870">
      <w:bodyDiv w:val="1"/>
      <w:marLeft w:val="0"/>
      <w:marRight w:val="0"/>
      <w:marTop w:val="0"/>
      <w:marBottom w:val="0"/>
      <w:divBdr>
        <w:top w:val="none" w:sz="0" w:space="0" w:color="auto"/>
        <w:left w:val="none" w:sz="0" w:space="0" w:color="auto"/>
        <w:bottom w:val="none" w:sz="0" w:space="0" w:color="auto"/>
        <w:right w:val="none" w:sz="0" w:space="0" w:color="auto"/>
      </w:divBdr>
    </w:div>
    <w:div w:id="813567178">
      <w:bodyDiv w:val="1"/>
      <w:marLeft w:val="0"/>
      <w:marRight w:val="0"/>
      <w:marTop w:val="0"/>
      <w:marBottom w:val="0"/>
      <w:divBdr>
        <w:top w:val="none" w:sz="0" w:space="0" w:color="auto"/>
        <w:left w:val="none" w:sz="0" w:space="0" w:color="auto"/>
        <w:bottom w:val="none" w:sz="0" w:space="0" w:color="auto"/>
        <w:right w:val="none" w:sz="0" w:space="0" w:color="auto"/>
      </w:divBdr>
    </w:div>
    <w:div w:id="953708470">
      <w:bodyDiv w:val="1"/>
      <w:marLeft w:val="0"/>
      <w:marRight w:val="0"/>
      <w:marTop w:val="0"/>
      <w:marBottom w:val="0"/>
      <w:divBdr>
        <w:top w:val="none" w:sz="0" w:space="0" w:color="auto"/>
        <w:left w:val="none" w:sz="0" w:space="0" w:color="auto"/>
        <w:bottom w:val="none" w:sz="0" w:space="0" w:color="auto"/>
        <w:right w:val="none" w:sz="0" w:space="0" w:color="auto"/>
      </w:divBdr>
    </w:div>
    <w:div w:id="1011681579">
      <w:bodyDiv w:val="1"/>
      <w:marLeft w:val="0"/>
      <w:marRight w:val="0"/>
      <w:marTop w:val="0"/>
      <w:marBottom w:val="0"/>
      <w:divBdr>
        <w:top w:val="none" w:sz="0" w:space="0" w:color="auto"/>
        <w:left w:val="none" w:sz="0" w:space="0" w:color="auto"/>
        <w:bottom w:val="none" w:sz="0" w:space="0" w:color="auto"/>
        <w:right w:val="none" w:sz="0" w:space="0" w:color="auto"/>
      </w:divBdr>
    </w:div>
    <w:div w:id="1335911274">
      <w:bodyDiv w:val="1"/>
      <w:marLeft w:val="0"/>
      <w:marRight w:val="0"/>
      <w:marTop w:val="0"/>
      <w:marBottom w:val="0"/>
      <w:divBdr>
        <w:top w:val="none" w:sz="0" w:space="0" w:color="auto"/>
        <w:left w:val="none" w:sz="0" w:space="0" w:color="auto"/>
        <w:bottom w:val="none" w:sz="0" w:space="0" w:color="auto"/>
        <w:right w:val="none" w:sz="0" w:space="0" w:color="auto"/>
      </w:divBdr>
    </w:div>
    <w:div w:id="1611474581">
      <w:bodyDiv w:val="1"/>
      <w:marLeft w:val="0"/>
      <w:marRight w:val="0"/>
      <w:marTop w:val="0"/>
      <w:marBottom w:val="0"/>
      <w:divBdr>
        <w:top w:val="none" w:sz="0" w:space="0" w:color="auto"/>
        <w:left w:val="none" w:sz="0" w:space="0" w:color="auto"/>
        <w:bottom w:val="none" w:sz="0" w:space="0" w:color="auto"/>
        <w:right w:val="none" w:sz="0" w:space="0" w:color="auto"/>
      </w:divBdr>
    </w:div>
    <w:div w:id="1673799317">
      <w:bodyDiv w:val="1"/>
      <w:marLeft w:val="0"/>
      <w:marRight w:val="0"/>
      <w:marTop w:val="0"/>
      <w:marBottom w:val="0"/>
      <w:divBdr>
        <w:top w:val="none" w:sz="0" w:space="0" w:color="auto"/>
        <w:left w:val="none" w:sz="0" w:space="0" w:color="auto"/>
        <w:bottom w:val="none" w:sz="0" w:space="0" w:color="auto"/>
        <w:right w:val="none" w:sz="0" w:space="0" w:color="auto"/>
      </w:divBdr>
    </w:div>
    <w:div w:id="167641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4738</TotalTime>
  <Pages>11</Pages>
  <Words>3529</Words>
  <Characters>20118</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20 — Organes génitaux masculins</dc:title>
  <dc:subject>Réflexothérapie occipito-podale</dc:subject>
  <dc:creator/>
  <cp:keywords>ROP, organes génitaux masculins, prostate, testicules</cp:keywords>
  <dc:description/>
  <cp:lastModifiedBy>Nicolas Boitout</cp:lastModifiedBy>
  <cp:revision>110</cp:revision>
  <cp:lastPrinted>2026-02-05T16:56:00Z</cp:lastPrinted>
  <dcterms:created xsi:type="dcterms:W3CDTF">2025-07-02T15:17:00Z</dcterms:created>
  <dcterms:modified xsi:type="dcterms:W3CDTF">2026-08-14T05:24:00Z</dcterms:modified>
</cp:coreProperties>
</file>