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et la lecture des zones réflexes. Il vise à solliciter les capacités de régulation et d’adaptation du patient, sans se substituer au diagnostic médical ni à un traitement médical indiqué.</w:t>
      </w:r>
    </w:p>
    <w:tbl>
      <w:tblPr>
        <w:tblW w:type="auto" w:w="0"/>
        <w:jc w:val="center"/>
        <w:tblLayout w:type="autofit"/>
        <w:tblLook w:firstColumn="1" w:firstRow="1" w:lastColumn="0" w:lastRow="0" w:noHBand="0" w:noVBand="1" w:val="04A0"/>
      </w:tblPr>
      <w:tblGrid>
        <w:gridCol w:w="9915"/>
      </w:tblGrid>
      <w:t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spacing w:after="100"/>
            </w:pPr>
            <w:r>
              <w:rPr>
                <w:b/>
                <w:color w:val="2F3437"/>
                <w:sz w:val="23"/>
              </w:rPr>
              <w:t>Principes directeurs</w:t>
            </w:r>
          </w:p>
          <w:p>
            <w:pPr>
              <w:spacing w:after="60" w:line="259" w:lineRule="auto"/>
            </w:pPr>
            <w:r>
              <w:rPr>
                <w:b/>
              </w:rPr>
              <w:t xml:space="preserve">Solliciter plutôt que forcer. </w:t>
            </w:r>
            <w:r>
              <w:t>La pression est fine, précise et non douloureuse.</w:t>
            </w:r>
          </w:p>
          <w:p>
            <w:pPr>
              <w:spacing w:after="60" w:line="259" w:lineRule="auto"/>
            </w:pPr>
            <w:r>
              <w:rPr>
                <w:b/>
              </w:rPr>
              <w:t xml:space="preserve">Hiérarchiser plutôt qu’appliquer un protocole fixe. </w:t>
            </w:r>
            <w:r>
              <w:t>Les tests et la situation clinique déterminent les priorités.</w:t>
            </w:r>
          </w:p>
          <w:p>
            <w:pPr>
              <w:spacing w:after="60" w:line="259" w:lineRule="auto"/>
            </w:pPr>
            <w:r>
              <w:rPr>
                <w:b/>
              </w:rPr>
              <w:t xml:space="preserve">Observer plutôt que présumer. </w:t>
            </w:r>
            <w:r>
              <w:t>La réponse du patient est suivie dans les heures et les jours qui suivent la séance.</w:t>
            </w:r>
          </w:p>
          <w:p>
            <w:pPr>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keepLines/>
        <w:widowControl/>
      </w:pPr>
      <w:r>
        <w:t>1. Technique</w:t>
      </w:r>
    </w:p>
    <w:p>
      <w:pPr>
        <w:pStyle w:val="Heading2"/>
        <w:keepNext/>
        <w:keepLines/>
        <w:widowControl/>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pPr>
      <w:r>
        <w:t>1.2. Mécanoréception et information tactile</w:t>
      </w:r>
    </w:p>
    <w:p>
      <w:pPr>
        <w:pStyle w:val="BodyText"/>
        <w:spacing w:after="80"/>
        <w:ind w:left="0" w:firstLine="255"/>
        <w:widowControl/>
      </w:pPr>
      <w:r>
        <w:rPr>
          <w:i w:val="0"/>
        </w:rPr>
        <w:t>La stimulation cutanée sollicite notamment des mécanorécepteurs à bas seuil présents dans la peau glabre,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Pr>
          <w:i w:val="0"/>
        </w:rPr>
        <w:t>Lorsque la couche épidermo-dermique se déforme sous le doigt, ces récepteurs génèrent des influx afférents transmis par les voies de la sensibilité tactile fine. Dans le modèle de la ROP, cette information sensorielle est utilisée comme une sollicitation susceptible de moduler la perception, le tonus neuro-végétatif et la réponse du patient. La théorie du gate control peut contribuer à expliquer une partie de l’effet antalgique immédiat d’une stimulation tactile non douloureuse. (Cf. Réflexothérapie occipito-podale, Elsevier Masson, page à préciser.)</w:t>
      </w:r>
    </w:p>
    <w:tbl>
      <w:tblPr>
        <w:tblW w:type="auto" w:w="0"/>
        <w:jc w:val="center"/>
        <w:tblLayout w:type="autofit"/>
        <w:tblLook w:firstColumn="1" w:firstRow="1" w:lastColumn="0" w:lastRow="0" w:noHBand="0" w:noVBand="1" w:val="04A0"/>
      </w:tblPr>
      <w:tblGrid>
        <w:gridCol w:w="9915"/>
      </w:tblGrid>
      <w:t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spacing w:after="100"/>
            </w:pPr>
            <w:r>
              <w:rPr>
                <w:b/>
                <w:color w:val="2F3437"/>
                <w:sz w:val="23"/>
              </w:rPr>
              <w:t>Intérêt en ROP</w:t>
            </w:r>
          </w:p>
          <w:p>
            <w:pPr>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pPr>
      <w:r>
        <w:t>1.3. Les trois temps du massage</w:t>
      </w:r>
    </w:p>
    <w:p>
      <w:pPr>
        <w:pStyle w:val="BodyText"/>
        <w:spacing w:after="60"/>
        <w:ind w:left="369" w:hanging="312"/>
        <w:widowControl/>
      </w:pPr>
      <w:r>
        <w:rPr>
          <w:b/>
        </w:rPr>
        <w:t xml:space="preserve">1. </w:t>
      </w:r>
      <w:r>
        <w:rPr>
          <w:b/>
        </w:rPr>
        <w:t>Temps du diagnostic textural.</w:t>
      </w:r>
      <w:r>
        <w:t xml:space="preserve"> Recherche des zones réflexes caractérisées par une modification de la texture de la peau occipitale ou podale : rugosité, densification, perte de glissement ou sensation de « cristaux ». Ces éléments complètent l’anamnèse, l’examen clinique et les tests ; ils ne se substituent pas à eux.</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pPr>
      <w:r>
        <w:t>2. Modalités du traitement</w:t>
      </w:r>
    </w:p>
    <w:p>
      <w:pPr>
        <w:pStyle w:val="Heading2"/>
        <w:keepNext/>
        <w:keepLines/>
        <w:widowControl/>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pPr>
      <w:r>
        <w:t>2.2. Fréquence et cycle initial</w:t>
      </w:r>
    </w:p>
    <w:p>
      <w:pPr>
        <w:pStyle w:val="BodyText"/>
        <w:spacing w:after="80"/>
        <w:ind w:left="0" w:firstLine="255"/>
        <w:widowControl/>
      </w:pPr>
      <w:r>
        <w:rPr>
          <w:i w:val="0"/>
        </w:rPr>
        <w:t>La fréquence des séances ne repose pas sur un délai fixe. Elle est déterminée par l’évolution clinique observée après la première séance :</w:t>
      </w:r>
    </w:p>
    <w:p>
      <w:pPr>
        <w:pStyle w:val="ListBullet"/>
        <w:spacing w:after="50"/>
        <w:ind w:left="369" w:hanging="170"/>
        <w:widowControl/>
      </w:pPr>
      <w:r>
        <w:t>immédiatement après le traitement, une détente, un besoin de repos ou certaines réactions végétatives peuvent apparaître ;</w:t>
      </w:r>
    </w:p>
    <w:p>
      <w:pPr>
        <w:pStyle w:val="ListBullet"/>
        <w:spacing w:after="50"/>
        <w:ind w:left="369" w:hanging="170"/>
        <w:widowControl/>
      </w:pPr>
      <w:r>
        <w:t>dans les 24 à 48 heures, des réactions transitoires sont possibles ;</w:t>
      </w:r>
    </w:p>
    <w:p>
      <w:pPr>
        <w:pStyle w:val="ListBullet"/>
        <w:spacing w:after="50"/>
        <w:ind w:left="369" w:hanging="170"/>
        <w:widowControl/>
      </w:pPr>
      <w:r>
        <w:t>à J3-J4, l’évolution permet généralement de décider si l’amélioration est suffisante ou si une deuxième séance est indiquée.</w:t>
      </w:r>
    </w:p>
    <w:p>
      <w:pPr>
        <w:pStyle w:val="BodyText"/>
        <w:spacing w:after="80"/>
        <w:ind w:left="0" w:firstLine="255"/>
        <w:widowControl/>
      </w:pPr>
      <w:r>
        <w:rPr>
          <w:i w:val="0"/>
        </w:rPr>
        <w:t>Lorsque le symptôme principal a disparu ou nettement régressé et que le patient a retrouvé son fonctionnement habituel, aucune nouvelle séance n’est nécessaire à court terme. Lorsque la récupération reste incomplète, une deuxième séance peut être proposée à J3-J4. Une troisième séance peut être envisagée quelques jours plus tard si l’évolution le justifie.</w:t>
      </w:r>
    </w:p>
    <w:p>
      <w:pPr>
        <w:spacing w:before="100" w:after="60"/>
        <w:jc w:val="center"/>
        <w:widowControl/>
      </w:pPr>
      <w:r>
        <w:drawing>
          <wp:inline xmlns:a="http://schemas.openxmlformats.org/drawingml/2006/main" xmlns:pic="http://schemas.openxmlformats.org/drawingml/2006/picture">
            <wp:extent cx="6048000" cy="3403809"/>
            <wp:docPr id="1" name="Picture 1" title="Fenêtre d’adaptation après la séance" descr="Courbe clinique montrant une réaction transitoire, une récupération progressive sur 24 à 48 heures et une réévaluation à J3-J4 avec seconde séance si nécessaire."/>
            <wp:cNvGraphicFramePr>
              <a:graphicFrameLocks noChangeAspect="1"/>
            </wp:cNvGraphicFramePr>
            <a:graphic>
              <a:graphicData uri="http://schemas.openxmlformats.org/drawingml/2006/picture">
                <pic:pic>
                  <pic:nvPicPr>
                    <pic:cNvPr id="0" name="fenêtre_d_adaptation_après_la_séance.png"/>
                    <pic:cNvPicPr/>
                  </pic:nvPicPr>
                  <pic:blipFill>
                    <a:blip r:embed="rId11"/>
                    <a:stretch>
                      <a:fillRect/>
                    </a:stretch>
                  </pic:blipFill>
                  <pic:spPr>
                    <a:xfrm>
                      <a:off x="0" y="0"/>
                      <a:ext cx="6048000" cy="3403809"/>
                    </a:xfrm>
                    <a:prstGeom prst="rect"/>
                  </pic:spPr>
                </pic:pic>
              </a:graphicData>
            </a:graphic>
          </wp:inline>
        </w:drawing>
      </w:r>
    </w:p>
    <w:p>
      <w:pPr>
        <w:pStyle w:val="Caption"/>
        <w:jc w:val="center"/>
        <w:widowControl/>
      </w:pPr>
      <w:r>
        <w:rPr>
          <w:i/>
        </w:rPr>
        <w:t>Figure 2.1 — Fenêtre d’adaptation après la première séance. Cette courbe représente un modèle issu de l’expérience clinique ; elle doit être progressivement documentée par des mesures standardisées et ne constitue pas une mesure physiologique directe.</w:t>
      </w:r>
    </w:p>
    <w:tbl>
      <w:tblPr>
        <w:tblW w:type="auto" w:w="0"/>
        <w:jc w:val="center"/>
        <w:tblLayout w:type="autofit"/>
        <w:tblLook w:firstColumn="1" w:firstRow="1" w:lastColumn="0" w:lastRow="0" w:noHBand="0" w:noVBand="1" w:val="04A0"/>
      </w:tblPr>
      <w:tblGrid>
        <w:gridCol w:w="9915"/>
      </w:tblGrid>
      <w:t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spacing w:after="100"/>
            </w:pPr>
            <w:r>
              <w:rPr>
                <w:b/>
                <w:color w:val="2F3437"/>
                <w:sz w:val="23"/>
              </w:rPr>
              <w:t>Comment interpréter le terme « vitalité » ?</w:t>
            </w:r>
          </w:p>
          <w:p>
            <w:pPr>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le diagnostic fonctionnel, la hiérarchisation et l’indication de la ROP doivent être reconsidérés. Si nécessaire, le patient est orienté vers son médecin. Les affections chroniques peuvent nécessiter un suivi plus prolongé, dont le rythme reste individualisé.</w:t>
      </w:r>
    </w:p>
    <w:p>
      <w:pPr>
        <w:pStyle w:val="Heading1"/>
        <w:keepNext/>
        <w:keepLines/>
        <w:widowControl/>
      </w:pPr>
      <w:r>
        <w:t>3. Hiérarchisation du traitement</w:t>
      </w:r>
    </w:p>
    <w:p>
      <w:pPr>
        <w:pStyle w:val="BodyText"/>
        <w:spacing w:after="80"/>
        <w:ind w:left="0" w:firstLine="255"/>
        <w:widowControl/>
      </w:pPr>
      <w:r>
        <w:rPr>
          <w:i w:val="0"/>
        </w:rPr>
        <w:t>Il n’existe pas de protocole immuable. Une séquence identique appliquée à tous les patients serait contraire à l’approche globale de la ROP. Les tests, l’histoire clinique et la réponse observée déterminent la priorité. Les repères suivants structurent néanmoins le raisonnement :</w:t>
      </w:r>
    </w:p>
    <w:p>
      <w:pPr>
        <w:pStyle w:val="BodyText"/>
        <w:spacing w:after="60"/>
        <w:ind w:left="369" w:hanging="312"/>
        <w:widowControl/>
      </w:pPr>
      <w:r>
        <w:rPr>
          <w:b/>
        </w:rPr>
        <w:t xml:space="preserve">1. </w:t>
      </w:r>
      <w:r>
        <w:rPr>
          <w:b/>
        </w:rPr>
        <w:t>Suites de traumatisme, de chirurgie ou d’infection.</w:t>
      </w:r>
      <w:r>
        <w:t xml:space="preserve"> Lorsque les symptômes sont apparus après un événement clairement identifié, ils gardent un caractère prioritaire. L’anamnèse et l’examen clinique doivent vérifier la cohérence temporelle et fonctionnelle de cette relation.</w:t>
      </w:r>
    </w:p>
    <w:p>
      <w:pPr>
        <w:pStyle w:val="BodyText"/>
        <w:spacing w:after="60"/>
        <w:ind w:left="369" w:hanging="312"/>
        <w:widowControl/>
      </w:pPr>
      <w:r>
        <w:rPr>
          <w:b/>
        </w:rPr>
        <w:t xml:space="preserve">2. </w:t>
      </w:r>
      <w:r>
        <w:rPr>
          <w:b/>
        </w:rPr>
        <w:t>Anamnèse et tests d’écoute globale et locale.</w:t>
      </w:r>
      <w:r>
        <w:t xml:space="preserve"> En l’absence d’événement déclencheur évident, l’anamnèse, l’examen clinique et les tests orientent vers la fixation dominante et les adaptations susceptibles d’entretenir les symptômes.</w:t>
      </w:r>
    </w:p>
    <w:p>
      <w:pPr>
        <w:pStyle w:val="BodyText"/>
        <w:spacing w:after="60"/>
        <w:ind w:left="369" w:hanging="312"/>
        <w:widowControl/>
      </w:pPr>
      <w:r>
        <w:rPr>
          <w:b/>
        </w:rPr>
        <w:t xml:space="preserve">3. </w:t>
      </w:r>
      <w:r>
        <w:rPr>
          <w:b/>
        </w:rPr>
        <w:t>Dimension psycho-émotionnelle.</w:t>
      </w:r>
      <w:r>
        <w:t xml:space="preserve"> Certains événements physiques ou émotionnels peuvent influencer le vécu corporel, la perception douloureuse et l’état neuro-végétatif. Cette dimension est recherchée avec prudence, sans interprétation imposée au patient.</w:t>
      </w:r>
    </w:p>
    <w:p>
      <w:pPr>
        <w:pStyle w:val="BodyText"/>
        <w:spacing w:after="60"/>
        <w:ind w:left="369" w:hanging="312"/>
        <w:widowControl/>
      </w:pPr>
      <w:r>
        <w:rPr>
          <w:b/>
        </w:rPr>
        <w:t xml:space="preserve">4. </w:t>
      </w:r>
      <w:r>
        <w:rPr>
          <w:b/>
        </w:rPr>
        <w:t>Mécanisme de stress.</w:t>
      </w:r>
      <w:r>
        <w:t xml:space="preserve"> Toute fixation locale doit être replacée dans le contexte général du patient, de ses contraintes et de ses capacités d’adaptation. (Cf. Chapitre 5, Mécanisme de stress.)</w:t>
      </w:r>
    </w:p>
    <w:p>
      <w:pPr>
        <w:pStyle w:val="Heading1"/>
        <w:keepNext/>
        <w:keepLines/>
        <w:widowControl/>
      </w:pPr>
      <w:r>
        <w:t>4. Zones réflexes occipitales et podales</w:t>
      </w:r>
    </w:p>
    <w:p>
      <w:pPr>
        <w:pStyle w:val="Heading2"/>
        <w:keepNext/>
        <w:keepLines/>
        <w:widowControl/>
      </w:pPr>
      <w:r>
        <w:t>4.1. Zones réflexes occipitales</w:t>
      </w:r>
    </w:p>
    <w:p>
      <w:pPr>
        <w:pStyle w:val="BodyText"/>
        <w:spacing w:after="80"/>
        <w:ind w:left="0" w:firstLine="255"/>
        <w:widowControl/>
      </w:pPr>
      <w:r>
        <w:rPr>
          <w:i w:val="0"/>
        </w:rPr>
        <w:t>Les zones occipitales constituent un point d’entrée fréquent du traitement. Leur lecture et leur stimulation sont décrites dans les figures correspondantes. (Figure 3.6.)</w:t>
      </w:r>
    </w:p>
    <w:p>
      <w:pPr>
        <w:pStyle w:val="Heading2"/>
        <w:keepNext/>
        <w:keepLines/>
        <w:widowControl/>
      </w:pPr>
      <w:r>
        <w:t>4.2. Syndrome général d’adaptation</w:t>
      </w:r>
    </w:p>
    <w:p>
      <w:pPr>
        <w:pStyle w:val="BodyText"/>
        <w:spacing w:after="80"/>
        <w:ind w:left="0" w:firstLine="255"/>
        <w:widowControl/>
      </w:pPr>
      <w:r>
        <w:rPr>
          <w:i w:val="0"/>
        </w:rPr>
        <w:t>L’objectif est de soutenir la régulation neuro-végétative et l’adaptation générale avant de traiter le local. Selon les tests et la situation clinique, les zones suivantes peuvent être intégrées :</w:t>
      </w:r>
    </w:p>
    <w:p>
      <w:pPr>
        <w:pStyle w:val="ListBullet"/>
        <w:spacing w:after="50"/>
        <w:ind w:left="369" w:hanging="170"/>
        <w:widowControl/>
      </w:pPr>
      <w:r>
        <w:t>MRP : occiput-C1-C2, nerfs trijumeau V, vague X et hypoglosse XII, faux du cerveau et du cervelet, deuxième vertèbre sacrée S2, base et voûte crâniennes. (Figure 4.3.)</w:t>
      </w:r>
    </w:p>
    <w:p>
      <w:pPr>
        <w:pStyle w:val="ListBullet"/>
        <w:spacing w:after="50"/>
        <w:ind w:left="369" w:hanging="170"/>
        <w:widowControl/>
      </w:pPr>
      <w:r>
        <w:t>Circulation du liquide cérébro-spinal dans le modèle ROP : système veineux, foramen jugulaire, respiration profonde, compression du quatrième ventricule et synchronisation SSB-S2. (Figures 3.18 et 3.19 ; se reporter à Réflexothérapie occipito-podale et système neuro-méningé, Elsevier Masson, pages 96-97.)</w:t>
      </w:r>
    </w:p>
    <w:p>
      <w:pPr>
        <w:pStyle w:val="ListBullet"/>
        <w:spacing w:after="50"/>
        <w:ind w:left="369" w:hanging="170"/>
        <w:widowControl/>
      </w:pPr>
      <w:r>
        <w:t>Diencéphale, tronc cérébral et hypophyse. (Figures 3.7 et 3.8.)</w:t>
      </w:r>
    </w:p>
    <w:p>
      <w:pPr>
        <w:pStyle w:val="ListBullet"/>
        <w:spacing w:after="50"/>
        <w:ind w:left="369" w:hanging="170"/>
        <w:widowControl/>
      </w:pPr>
      <w:r>
        <w:t>Nerf vague, pour le territoire cervico-thoraco-abdominal : foramen magnum, foramen jugulaire, sinus carotidien et hiatus œsophagien. (Figures 4.11 et 4.17.)</w:t>
      </w:r>
    </w:p>
    <w:p>
      <w:pPr>
        <w:pStyle w:val="ListBullet"/>
        <w:spacing w:after="50"/>
        <w:ind w:left="369" w:hanging="170"/>
        <w:widowControl/>
      </w:pPr>
      <w:r>
        <w:t>Parasympathique pelvien, pour le territoire pelvien et la partie distale du côlon. (Figure 4.23.)</w:t>
      </w:r>
    </w:p>
    <w:p>
      <w:pPr>
        <w:pStyle w:val="ListBullet"/>
        <w:spacing w:after="50"/>
        <w:ind w:left="369" w:hanging="170"/>
        <w:widowControl/>
      </w:pPr>
      <w:r>
        <w:t>Colonne vertébrale, articulations costo-transversaires et chaîne ganglionnaire latéro-vertébrale thoracique. (Figures 4.23 et 4.32.)</w:t>
      </w:r>
    </w:p>
    <w:p>
      <w:pPr>
        <w:pStyle w:val="ListBullet"/>
        <w:spacing w:after="50"/>
        <w:ind w:left="369" w:hanging="170"/>
        <w:widowControl/>
      </w:pPr>
      <w:r>
        <w:t>Plexus prévertébraux. (Figures 4.17 et 4.22.)</w:t>
      </w:r>
    </w:p>
    <w:p>
      <w:pPr>
        <w:pStyle w:val="Heading2"/>
        <w:keepNext/>
        <w:keepLines/>
        <w:widowControl/>
      </w:pPr>
      <w:r>
        <w:t>4.3. Syndrome locorégional</w:t>
      </w:r>
    </w:p>
    <w:p>
      <w:pPr>
        <w:pStyle w:val="BodyText"/>
        <w:spacing w:after="80"/>
        <w:ind w:left="0" w:firstLine="255"/>
        <w:widowControl/>
      </w:pPr>
      <w:r>
        <w:rPr>
          <w:i w:val="0"/>
        </w:rPr>
        <w:t>L’objectif est de traiter les boucles mécaniques et neuro-végétatives en relation avec la région symptomatique :</w:t>
      </w:r>
    </w:p>
    <w:p>
      <w:pPr>
        <w:pStyle w:val="ListBullet"/>
        <w:spacing w:after="50"/>
        <w:ind w:left="369" w:hanging="170"/>
        <w:widowControl/>
      </w:pPr>
      <w:r>
        <w:t>plexus et nerfs du système nerveux somatique impliqués dans les relations viscéro-somatiques ;</w:t>
      </w:r>
    </w:p>
    <w:p>
      <w:pPr>
        <w:pStyle w:val="ListBullet"/>
        <w:spacing w:after="50"/>
        <w:ind w:left="369" w:hanging="170"/>
        <w:widowControl/>
      </w:pPr>
      <w:r>
        <w:t>viscère ou système viscéral concerné ;</w:t>
      </w:r>
    </w:p>
    <w:p>
      <w:pPr>
        <w:pStyle w:val="ListBullet"/>
        <w:spacing w:after="50"/>
        <w:ind w:left="369" w:hanging="170"/>
        <w:widowControl/>
      </w:pPr>
      <w:r>
        <w:t>cavité abdominale ou pelvienne selon le territoire ;</w:t>
      </w:r>
    </w:p>
    <w:p>
      <w:pPr>
        <w:pStyle w:val="ListBullet"/>
        <w:spacing w:after="50"/>
        <w:ind w:left="369" w:hanging="170"/>
        <w:widowControl/>
      </w:pPr>
      <w:r>
        <w:t>structures musculo-squelettiques et fasciales associées.</w:t>
      </w:r>
    </w:p>
    <w:p>
      <w:pPr>
        <w:pStyle w:val="Heading2"/>
        <w:keepNext/>
        <w:keepLines/>
        <w:widowControl/>
      </w:pPr>
      <w:r>
        <w:t>4.4. Système limbique</w:t>
      </w:r>
    </w:p>
    <w:p>
      <w:pPr>
        <w:pStyle w:val="BodyText"/>
        <w:spacing w:after="80"/>
        <w:ind w:left="0" w:firstLine="255"/>
        <w:widowControl/>
      </w:pPr>
      <w:r>
        <w:rPr>
          <w:i w:val="0"/>
        </w:rPr>
        <w:t>L’objectif est d’intégrer, lorsque cela est pertinent, la dimension stress, émotion et mémoire corporelle susceptible d’entretenir certaines réponses végétatives ou tissulaires :</w:t>
      </w:r>
    </w:p>
    <w:p>
      <w:pPr>
        <w:pStyle w:val="ListBullet"/>
        <w:spacing w:after="50"/>
        <w:ind w:left="369" w:hanging="170"/>
        <w:widowControl/>
      </w:pPr>
      <w:r>
        <w:t>amygdale, hippocampe et insula ;</w:t>
      </w:r>
    </w:p>
    <w:p>
      <w:pPr>
        <w:pStyle w:val="ListBullet"/>
        <w:spacing w:after="50"/>
        <w:ind w:left="369" w:hanging="170"/>
        <w:widowControl/>
      </w:pPr>
      <w:r>
        <w:t>balance cerveau limbique-viscère en dysfonction : écoute-induction, un pouce sur le viscère dominant et l’autre sur la zone réflexe du cerveau limbique. (Figure 1.12.)</w:t>
      </w:r>
    </w:p>
    <w:p>
      <w:pPr>
        <w:pStyle w:val="Heading1"/>
        <w:keepNext/>
        <w:keepLines/>
        <w:widowControl/>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une tension prédominante du ligament utéro-sacré gauche pourrait contribuer à la déviation fonctionnelle de l’utérus et à la fixation sacro-iliaque gauche ;</w:t>
      </w:r>
    </w:p>
    <w:p>
      <w:pPr>
        <w:pStyle w:val="ListBullet"/>
        <w:spacing w:after="50"/>
        <w:ind w:left="369" w:hanging="170"/>
        <w:widowControl/>
      </w:pPr>
      <w:r>
        <w:t>une modification du tonus du muscle piriforme gauche pourrait participer à l’irritation mécanique du trajet sciatique ;</w:t>
      </w:r>
    </w:p>
    <w:p>
      <w:pPr>
        <w:pStyle w:val="ListBullet"/>
        <w:spacing w:after="50"/>
        <w:ind w:left="369" w:hanging="170"/>
        <w:widowControl/>
      </w:pPr>
      <w:r>
        <w:t>les relations entre utérus, vessie, sacrum et plancher pelvien pourraient contribuer à l’incontinence urinaire d’effort et à la perte de souplesse du complexe sacro-coccygien ;</w:t>
      </w:r>
    </w:p>
    <w:p>
      <w:pPr>
        <w:pStyle w:val="ListBullet"/>
        <w:spacing w:after="50"/>
        <w:ind w:left="369" w:hanging="170"/>
        <w:widowControl/>
      </w:pPr>
      <w:r>
        <w:t>le cycle menstruel et la régulation neuro-végétative sont pris en compte dans l’évaluation du syndrome général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pPr>
      <w:r>
        <w:t>5.4. Traitement par la ROP</w:t>
      </w:r>
    </w:p>
    <w:p>
      <w:pPr>
        <w:pStyle w:val="BodyText"/>
        <w:spacing w:after="60"/>
        <w:ind w:left="369" w:hanging="312"/>
        <w:widowControl/>
      </w:pPr>
      <w:r>
        <w:rPr>
          <w:b/>
        </w:rPr>
        <w:t xml:space="preserve">1. </w:t>
      </w:r>
      <w:r>
        <w:t>Zones réflexes occipitales.</w:t>
      </w:r>
    </w:p>
    <w:p>
      <w:pPr>
        <w:pStyle w:val="BodyText"/>
        <w:spacing w:after="60"/>
        <w:ind w:left="369" w:hanging="312"/>
        <w:widowControl/>
      </w:pPr>
      <w:r>
        <w:rPr>
          <w:b/>
        </w:rPr>
        <w:t xml:space="preserve">2. </w:t>
      </w:r>
      <w:r>
        <w:t>Syndrome général d’adaptation : MRP, diencéphale, tronc cérébral, hypophyse, surrénales, colonne vertébrale, foie et rein gauche.</w:t>
      </w:r>
    </w:p>
    <w:p>
      <w:pPr>
        <w:pStyle w:val="BodyText"/>
        <w:spacing w:after="60"/>
        <w:ind w:left="369" w:hanging="312"/>
        <w:widowControl/>
      </w:pPr>
      <w:r>
        <w:rPr>
          <w:b/>
        </w:rPr>
        <w:t xml:space="preserve">3. </w:t>
      </w:r>
      <w:r>
        <w:t>Syndrome locorégional : région cervico-isthmique de l’utérus, muscle piriforme, ligaments sacro-tubéral et sacro-épineux, nerf pudendal, articulations sacro-coccygienne et sacro-iliaque, plexus sacré et trajet sciatique gauches.</w:t>
      </w:r>
    </w:p>
    <w:p>
      <w:pPr>
        <w:pStyle w:val="BodyText"/>
        <w:spacing w:after="60"/>
        <w:ind w:left="369" w:hanging="312"/>
        <w:widowControl/>
      </w:pPr>
      <w:r>
        <w:rPr>
          <w:b/>
        </w:rPr>
        <w:t xml:space="preserve">4. </w:t>
      </w:r>
      <w:r>
        <w:t>Système limbique : amygdale, hippocampe et insula.</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de détente et de bascule neuro-végétative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testée à l’étage métamérique associé au viscère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pPr>
      <w:r>
        <w:t>9. Réactions au traitement et réévaluation</w:t>
      </w:r>
    </w:p>
    <w:p>
      <w:pPr>
        <w:pStyle w:val="Heading2"/>
        <w:keepNext/>
        <w:keepLines/>
        <w:widowControl/>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pPr>
      <w:r>
        <w:t>9.3. Dans les jours suivants</w:t>
      </w:r>
    </w:p>
    <w:p>
      <w:pPr>
        <w:pStyle w:val="BodyText"/>
        <w:spacing w:after="80"/>
        <w:ind w:left="0" w:firstLine="255"/>
        <w:widowControl/>
      </w:pPr>
      <w:r>
        <w:rPr>
          <w:i w:val="0"/>
        </w:rPr>
        <w:t>La vitalité remonte progressivement vers le niveau physiologique habituel du patient. Cette évolution peut s’accompagner d’une diminution du symptôme principal, d’une amélioration du sommeil, du transit, de l’énergie ou des capacités fonctionnelles.</w:t>
      </w:r>
    </w:p>
    <w:p>
      <w:pPr>
        <w:pStyle w:val="Heading2"/>
        <w:keepNext/>
        <w:keepLines/>
        <w:widowControl/>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la rémission clinique est considérée comme acquise à ce stade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Dans ce chapitre, le terme « rémission » décrit l’évolution du motif fonctionnel suivi ; il ne signifie pas la guérison d’une éventuelle maladie organique sous-jacente.</w:t>
      </w:r>
    </w:p>
    <w:p>
      <w:pPr>
        <w:pStyle w:val="Heading2"/>
        <w:keepNext/>
        <w:keepLines/>
        <w:widowControl/>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spacing w:after="100"/>
            </w:pPr>
            <w:r>
              <w:rPr>
                <w:b/>
                <w:color w:val="2F3437"/>
                <w:sz w:val="23"/>
              </w:rPr>
              <w:t>Participez au retour d’expérience en ROP avec SuiviPatient</w:t>
            </w:r>
          </w:p>
          <w:p>
            <w:pPr>
              <w:spacing w:after="60" w:line="259" w:lineRule="auto"/>
            </w:pPr>
            <w:r>
              <w:t>La chronologie décrite dans ce chapitre repose sur l’expérience clinique des praticiens. Pour mieux l’objectiver, de courts questionnaires peuvent être proposés à intervalles réguliers après la séance, notamment à 24-48 heures puis à J3-J4, en comparaison avec l’état initial.</w:t>
            </w:r>
          </w:p>
          <w:p>
            <w:pPr>
              <w:spacing w:after="60" w:line="259" w:lineRule="auto"/>
            </w:pPr>
            <w:r>
              <w:t>Les questionnaires portent sur le symptôme principal, la douleur ou la gêne, la vitalité, le sommeil, les fonctions viscérales, les capacités fonctionnelles et les éventuelles réactions post-traitement.</w:t>
            </w:r>
          </w:p>
          <w:p>
            <w:pPr>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p>
            <w:pPr>
              <w:spacing w:after="60" w:line="259" w:lineRule="auto"/>
            </w:pPr>
            <w:r>
              <w:t>[Coordonnées ou QR code de contact à insérer]</w:t>
            </w:r>
          </w:p>
        </w:tc>
      </w:tr>
    </w:tbl>
    <w:p>
      <w:pPr>
        <w:spacing w:after="0"/>
        <w:widowControl/>
      </w:pPr>
    </w:p>
    <w:p>
      <w:pPr>
        <w:pStyle w:val="Heading1"/>
        <w:keepNext/>
        <w:keepLines/>
        <w:widowControl/>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spacing w:after="100"/>
            </w:pPr>
            <w:r>
              <w:rPr>
                <w:b/>
                <w:color w:val="2F3437"/>
                <w:sz w:val="23"/>
              </w:rPr>
              <w:t>Synthèse pratique</w:t>
            </w:r>
          </w:p>
          <w:p>
            <w:pPr>
              <w:spacing w:after="60" w:line="259" w:lineRule="auto"/>
            </w:pPr>
            <w:r>
              <w:rPr>
                <w:b/>
              </w:rPr>
              <w:t xml:space="preserve">Avant la séance : </w:t>
            </w:r>
            <w:r>
              <w:t>définir le symptôme principal et recueillir un niveau initial simple.</w:t>
            </w:r>
          </w:p>
          <w:p>
            <w:pPr>
              <w:spacing w:after="60" w:line="259" w:lineRule="auto"/>
            </w:pPr>
            <w:r>
              <w:rPr>
                <w:b/>
              </w:rPr>
              <w:t xml:space="preserve">Immédiatement après : </w:t>
            </w:r>
            <w:r>
              <w:t>observer la détente et les éventuelles réactions végétatives.</w:t>
            </w:r>
          </w:p>
          <w:p>
            <w:pPr>
              <w:spacing w:after="60" w:line="259" w:lineRule="auto"/>
            </w:pPr>
            <w:r>
              <w:rPr>
                <w:b/>
              </w:rPr>
              <w:t xml:space="preserve">À 24-48 heures : </w:t>
            </w:r>
            <w:r>
              <w:t>documenter les réactions transitoires et le début de récupération.</w:t>
            </w:r>
          </w:p>
          <w:p>
            <w:pPr>
              <w:spacing w:after="60" w:line="259" w:lineRule="auto"/>
            </w:pPr>
            <w:r>
              <w:rPr>
                <w:b/>
              </w:rPr>
              <w:t xml:space="preserve">À J3-J4 : </w:t>
            </w:r>
            <w:r>
              <w:t>confirmer la rémission ou proposer une deuxième séance si l’amélioration reste incomplète.</w:t>
            </w:r>
          </w:p>
          <w:p>
            <w:pPr>
              <w:spacing w:after="60" w:line="259" w:lineRule="auto"/>
            </w:pPr>
            <w:r>
              <w:rPr>
                <w:b/>
              </w:rPr>
              <w:t xml:space="preserve">Après trois séances sans amélioration : </w:t>
            </w:r>
            <w:r>
              <w:t>reconsidérer le diagnostic fonctionnel, la hiérarchisation et l’orientation médicale.</w:t>
            </w:r>
          </w:p>
        </w:tc>
      </w:tr>
    </w:tbl>
    <w:p>
      <w:pPr>
        <w:spacing w:after="0"/>
        <w:widowControl/>
      </w:pPr>
    </w:p>
    <w:p>
      <w:pPr>
        <w:spacing w:before="200" w:after="0"/>
        <w:jc w:val="center"/>
        <w:widowControl/>
      </w:pPr>
      <w:r>
        <w:rPr>
          <w:rFonts w:ascii="Aptos Display" w:hAnsi="Aptos Display"/>
          <w:b/>
          <w:color w:val="3E6F70"/>
          <w:sz w:val="23"/>
        </w:rPr>
        <w:t>La réponse du patient guide le rythme du traitement : observer, mesurer, réévaluer.</w:t>
      </w:r>
    </w:p>
    <w:sectPr w:rsidR="00FC693F" w:rsidRPr="0006063C" w:rsidSect="00034616">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Version révisée du chapitre intégrant la fenêtre d’adaptation, le suivi à J3-J4 et SuiviPatient.</dc:subject>
  <dc:creator>Guy Boitout</dc:creator>
  <cp:keywords>ROP, réflexothérapie occipito-podale, suivi patient, réactions post-traitement</cp:keywords>
  <dc:description>generated by python-docx</dc:description>
  <cp:lastModifiedBy/>
  <cp:revision>1</cp:revision>
  <dcterms:created xsi:type="dcterms:W3CDTF">2013-12-23T23:15:00Z</dcterms:created>
  <dcterms:modified xsi:type="dcterms:W3CDTF">2013-12-23T23:15:00Z</dcterms:modified>
  <cp:category/>
</cp:coreProperties>
</file>