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Chapter 0 — Introduction</w:t>
      </w:r>
    </w:p>
    <w:p>
      <w:pPr>
        <w:pStyle w:val="ChapterSubtitle"/>
      </w:pPr>
      <w:r>
        <w:t>The guiding framework of this volume</w:t>
      </w:r>
    </w:p>
    <w:p>
      <w:pPr>
        <w:jc w:val="both"/>
      </w:pPr>
      <w:r>
        <w:rPr>
          <w:i w:val="0"/>
        </w:rPr>
        <w:t>This third volume of Occipito-Podal Reflexotherapy (ROP) builds on the previous two. After examining the musculoskeletal system, followed by the neuro-meningeal system, we now turn to the abdominopelvic viscera, the autonomic nervous system, and the mechanisms of adaptation to stress.</w:t>
      </w:r>
    </w:p>
    <w:p>
      <w:pPr>
        <w:jc w:val="both"/>
      </w:pPr>
      <w:r>
        <w:rPr>
          <w:i w:val="0"/>
        </w:rPr>
        <w:t>The primary objective is clinical: to understand what we palpate, why a given zone is selected, how to prioritise a session, and how to assess what changes in the patient. The book therefore combines anatomy and physiology with practical maps, palpation landmarks, and numerous clinical cases.</w:t>
      </w:r>
    </w:p>
    <w:p>
      <w:pPr>
        <w:jc w:val="both"/>
      </w:pPr>
      <w:r>
        <w:rPr>
          <w:i w:val="0"/>
        </w:rPr>
        <w:t>We also aim to give visceral ROP more explicit scientific foundations. The aim is not to present all the mechanisms proposed by the method as established, but to distinguish what belongs to established anatomy, experimental neurophysiology, clinical hypothesis, and observation.</w:t>
      </w:r>
    </w:p>
    <w:p>
      <w:pPr>
        <w:jc w:val="both"/>
      </w:pPr>
      <w:r>
        <w:rPr>
          <w:i w:val="0"/>
        </w:rPr>
        <w:t>This introduction sets out the key reference points. Each of the themes introduced here is developed in the corresponding chapters: the clinical sequence in Chapter 2, the neuroanatomical foundations in Part II, and stress and regulation in Part III.</w:t>
      </w:r>
    </w:p>
    <w:p>
      <w:pPr>
        <w:pStyle w:val="Heading1"/>
      </w:pPr>
      <w:r>
        <w:t>1. What this book aims to provide</w:t>
      </w:r>
    </w:p>
    <w:p>
      <w:pPr>
        <w:jc w:val="both"/>
      </w:pPr>
      <w:r>
        <w:rPr>
          <w:i w:val="0"/>
        </w:rPr>
        <w:t>This volume is not designed as a simple atlas of organs. It proposes a clinical reasoning framework applicable to real patients, taking into account their symptoms, history, medical background, locoregional constraints, autonomic state, and emotional context.</w:t>
      </w:r>
    </w:p>
    <w:p>
      <w:pPr>
        <w:pStyle w:val="ListBullet"/>
        <w:ind w:left="312" w:hanging="142"/>
      </w:pPr>
      <w:r>
        <w:t>A simple four-level clinical sequence to organise and prioritise the session.</w:t>
      </w:r>
    </w:p>
    <w:p>
      <w:pPr>
        <w:pStyle w:val="ListBullet"/>
        <w:ind w:left="312" w:hanging="142"/>
      </w:pPr>
      <w:r>
        <w:t>Clinical foot and occipital maps that can be used in practice, with reproducible anatomical landmarks.</w:t>
      </w:r>
    </w:p>
    <w:p>
      <w:pPr>
        <w:pStyle w:val="ListBullet"/>
        <w:ind w:left="312" w:hanging="142"/>
      </w:pPr>
      <w:r>
        <w:t>An accessible understanding of viscerosomatic, somatovisceral, and viscero-emotional relationships.</w:t>
      </w:r>
    </w:p>
    <w:p>
      <w:pPr>
        <w:pStyle w:val="ListBullet"/>
        <w:ind w:left="312" w:hanging="142"/>
      </w:pPr>
      <w:r>
        <w:t>A method of palpation and reassessment: what to examine, which zone to address, how to adapt the manual technique, and when to stop.</w:t>
      </w:r>
    </w:p>
    <w:p>
      <w:pPr>
        <w:pStyle w:val="ListBullet"/>
        <w:ind w:left="312" w:hanging="142"/>
      </w:pPr>
      <w:r>
        <w:t>Numerous clinical cases showing how this framework translates into day-to-day practice.</w:t>
      </w:r>
    </w:p>
    <w:p>
      <w:pPr>
        <w:pStyle w:val="ListBullet"/>
        <w:ind w:left="312" w:hanging="142"/>
      </w:pPr>
      <w:r>
        <w:t>A scientific framework for distinguishing what is established, plausible, hypothetical, or simply observed in practice.</w:t>
      </w:r>
    </w:p>
    <w:p>
      <w:pPr>
        <w:jc w:val="both"/>
      </w:pPr>
      <w:r>
        <w:rPr>
          <w:i w:val="0"/>
        </w:rPr>
        <w:t>The aim remains simple: to make the method easier to understand, easier to teach, and more useful to as many people as possible, while maintaining a commitment to caution and reassessment.</w:t>
      </w:r>
    </w:p>
    <w:p>
      <w:pPr>
        <w:pStyle w:val="Heading1"/>
      </w:pPr>
      <w:r>
        <w:t>2. The ROP clinical sequence: four complementary levels</w:t>
      </w:r>
    </w:p>
    <w:p>
      <w:pPr>
        <w:jc w:val="both"/>
      </w:pPr>
      <w:r>
        <w:rPr>
          <w:i w:val="0"/>
        </w:rPr>
        <w:t>ROP organises clinical reasoning into four levels. They do not represent four strictly separate anatomical compartments, nor do they constitute four mandatory steps. They serve to identify where attention should be directed and to establish priorities.</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475999"/>
            <w:shd w:fill="B1842C"/>
            <w:tcMar>
              <w:top w:w="80" w:type="dxa"/>
              <w:start w:w="90" w:type="dxa"/>
              <w:bottom w:w="80" w:type="dxa"/>
              <w:end w:w="90" w:type="dxa"/>
            </w:tcMar>
            <w:vAlign w:val="center"/>
          </w:tcPr>
          <w:p>
            <w:pPr>
              <w:jc w:val="left"/>
            </w:pPr>
            <w:r>
              <w:rPr>
                <w:rFonts w:ascii="Aptos" w:hAnsi="Aptos"/>
                <w:b/>
                <w:color w:val="FFFFFF"/>
                <w:sz w:val="18"/>
              </w:rPr>
              <w:t>Level</w:t>
            </w:r>
          </w:p>
        </w:tc>
        <w:tc>
          <w:tcPr>
            <w:tcW w:type="dxa" w:w="1944000"/>
            <w:shd w:fill="B1842C"/>
            <w:tcMar>
              <w:top w:w="80" w:type="dxa"/>
              <w:start w:w="90" w:type="dxa"/>
              <w:bottom w:w="80" w:type="dxa"/>
              <w:end w:w="90" w:type="dxa"/>
            </w:tcMar>
            <w:vAlign w:val="center"/>
          </w:tcPr>
          <w:p>
            <w:pPr>
              <w:jc w:val="left"/>
            </w:pPr>
            <w:r>
              <w:rPr>
                <w:rFonts w:ascii="Aptos" w:hAnsi="Aptos"/>
                <w:b/>
                <w:color w:val="FFFFFF"/>
                <w:sz w:val="18"/>
              </w:rPr>
              <w:t>What it covers</w:t>
            </w:r>
          </w:p>
        </w:tc>
        <w:tc>
          <w:tcPr>
            <w:tcW w:type="dxa" w:w="2592000"/>
            <w:shd w:fill="B1842C"/>
            <w:tcMar>
              <w:top w:w="80" w:type="dxa"/>
              <w:start w:w="90" w:type="dxa"/>
              <w:bottom w:w="80" w:type="dxa"/>
              <w:end w:w="90" w:type="dxa"/>
            </w:tcMar>
            <w:vAlign w:val="center"/>
          </w:tcPr>
          <w:p>
            <w:pPr>
              <w:jc w:val="left"/>
            </w:pPr>
            <w:r>
              <w:rPr>
                <w:rFonts w:ascii="Aptos" w:hAnsi="Aptos"/>
                <w:b/>
                <w:color w:val="FFFFFF"/>
                <w:sz w:val="18"/>
              </w:rPr>
              <w:t>Main landmarks</w:t>
            </w:r>
          </w:p>
        </w:tc>
      </w:tr>
      <w:tr>
        <w:trPr>
          <w:cantSplit/>
        </w:trPr>
        <w:tc>
          <w:tcPr>
            <w:tcW w:type="dxa" w:w="1475999"/>
            <w:tcMar>
              <w:top w:w="80" w:type="dxa"/>
              <w:start w:w="90" w:type="dxa"/>
              <w:bottom w:w="80" w:type="dxa"/>
              <w:end w:w="90" w:type="dxa"/>
            </w:tcMar>
            <w:vAlign w:val="top"/>
          </w:tcPr>
          <w:p>
            <w:pPr>
              <w:spacing w:after="0" w:line="240" w:lineRule="auto"/>
              <w:jc w:val="left"/>
            </w:pPr>
            <w:r>
              <w:rPr>
                <w:rFonts w:ascii="Aptos" w:hAnsi="Aptos"/>
                <w:b/>
                <w:color w:val="23313A"/>
                <w:sz w:val="17"/>
              </w:rPr>
              <w:t>1 — Regulation of higher centres</w:t>
            </w:r>
          </w:p>
        </w:tc>
        <w:tc>
          <w:tcPr>
            <w:tcW w:type="dxa" w:w="1944000"/>
            <w:tcMar>
              <w:top w:w="80" w:type="dxa"/>
              <w:start w:w="90" w:type="dxa"/>
              <w:bottom w:w="80" w:type="dxa"/>
              <w:end w:w="90" w:type="dxa"/>
            </w:tcMar>
            <w:vAlign w:val="top"/>
          </w:tcPr>
          <w:p>
            <w:pPr>
              <w:spacing w:after="0" w:line="240" w:lineRule="auto"/>
              <w:jc w:val="left"/>
            </w:pPr>
            <w:r>
              <w:rPr>
                <w:rFonts w:ascii="Aptos" w:hAnsi="Aptos"/>
                <w:color w:val="23313A"/>
                <w:sz w:val="17"/>
              </w:rPr>
              <w:t>Major integration centres and the neuro-meningeal environment. A frequent entry point when the clinical picture is diffuse or the patient is highly reactive.</w:t>
            </w:r>
          </w:p>
        </w:tc>
        <w:tc>
          <w:tcPr>
            <w:tcW w:type="dxa" w:w="2592000"/>
            <w:tcMar>
              <w:top w:w="80" w:type="dxa"/>
              <w:start w:w="90" w:type="dxa"/>
              <w:bottom w:w="80" w:type="dxa"/>
              <w:end w:w="90" w:type="dxa"/>
            </w:tcMar>
            <w:vAlign w:val="top"/>
          </w:tcPr>
          <w:p>
            <w:pPr>
              <w:spacing w:after="0" w:line="240" w:lineRule="auto"/>
              <w:jc w:val="left"/>
            </w:pPr>
            <w:r>
              <w:rPr>
                <w:rFonts w:ascii="Aptos" w:hAnsi="Aptos"/>
                <w:color w:val="23313A"/>
                <w:sz w:val="17"/>
              </w:rPr>
              <w:t>Occipital reflex zones; craniospinal neuro-meningeal environment and cerebrospinal fluid (CSF) circulation; craniosacral axis; brainstem; diencephalon and hypothalamus; hypothalamic-pituitary axis.</w:t>
            </w:r>
          </w:p>
        </w:tc>
      </w:tr>
      <w:tr>
        <w:trPr>
          <w:cantSplit/>
        </w:trPr>
        <w:tc>
          <w:tcPr>
            <w:tcW w:type="dxa" w:w="1475999"/>
            <w:tcMar>
              <w:top w:w="80" w:type="dxa"/>
              <w:start w:w="90" w:type="dxa"/>
              <w:bottom w:w="80" w:type="dxa"/>
              <w:end w:w="90" w:type="dxa"/>
            </w:tcMar>
            <w:vAlign w:val="top"/>
            <w:shd w:fill="F6F3EC"/>
          </w:tcPr>
          <w:p>
            <w:pPr>
              <w:spacing w:after="0" w:line="240" w:lineRule="auto"/>
              <w:jc w:val="left"/>
            </w:pPr>
            <w:r>
              <w:rPr>
                <w:rFonts w:ascii="Aptos" w:hAnsi="Aptos"/>
                <w:b/>
                <w:color w:val="23313A"/>
                <w:sz w:val="17"/>
              </w:rPr>
              <w:t>2 — Autonomic regulation and adaptation</w:t>
            </w:r>
          </w:p>
        </w:tc>
        <w:tc>
          <w:tcPr>
            <w:tcW w:type="dxa" w:w="1944000"/>
            <w:tcMar>
              <w:top w:w="80" w:type="dxa"/>
              <w:start w:w="90" w:type="dxa"/>
              <w:bottom w:w="80" w:type="dxa"/>
              <w:end w:w="90" w:type="dxa"/>
            </w:tcMar>
            <w:vAlign w:val="top"/>
            <w:shd w:fill="F6F3EC"/>
          </w:tcPr>
          <w:p>
            <w:pPr>
              <w:spacing w:after="0" w:line="240" w:lineRule="auto"/>
              <w:jc w:val="left"/>
            </w:pPr>
            <w:r>
              <w:rPr>
                <w:rFonts w:ascii="Aptos" w:hAnsi="Aptos"/>
                <w:color w:val="23313A"/>
                <w:sz w:val="17"/>
              </w:rPr>
              <w:t>Autonomic pathways and systems involved in adaptation. The aim is autonomic flexibility, not an ideal sympathetic or parasympathetic state.</w:t>
            </w:r>
          </w:p>
        </w:tc>
        <w:tc>
          <w:tcPr>
            <w:tcW w:type="dxa" w:w="2592000"/>
            <w:tcMar>
              <w:top w:w="80" w:type="dxa"/>
              <w:start w:w="90" w:type="dxa"/>
              <w:bottom w:w="80" w:type="dxa"/>
              <w:end w:w="90" w:type="dxa"/>
            </w:tcMar>
            <w:vAlign w:val="top"/>
            <w:shd w:fill="F6F3EC"/>
          </w:tcPr>
          <w:p>
            <w:pPr>
              <w:spacing w:after="0" w:line="240" w:lineRule="auto"/>
              <w:jc w:val="left"/>
            </w:pPr>
            <w:r>
              <w:rPr>
                <w:rFonts w:ascii="Aptos" w:hAnsi="Aptos"/>
                <w:color w:val="23313A"/>
                <w:sz w:val="17"/>
              </w:rPr>
              <w:t>Vagus nerve and parasympathetic pathways; sacral parasympathetic pathways; sympathetic chains and splanchnic nerves; prevertebral and previsceral plexuses; adrenal glands; diaphragm.</w:t>
            </w:r>
          </w:p>
        </w:tc>
      </w:tr>
      <w:tr>
        <w:trPr>
          <w:cantSplit/>
        </w:trPr>
        <w:tc>
          <w:tcPr>
            <w:tcW w:type="dxa" w:w="1475999"/>
            <w:tcMar>
              <w:top w:w="80" w:type="dxa"/>
              <w:start w:w="90" w:type="dxa"/>
              <w:bottom w:w="80" w:type="dxa"/>
              <w:end w:w="90" w:type="dxa"/>
            </w:tcMar>
            <w:vAlign w:val="top"/>
          </w:tcPr>
          <w:p>
            <w:pPr>
              <w:spacing w:after="0" w:line="240" w:lineRule="auto"/>
              <w:jc w:val="left"/>
            </w:pPr>
            <w:r>
              <w:rPr>
                <w:rFonts w:ascii="Aptos" w:hAnsi="Aptos"/>
                <w:b/>
                <w:color w:val="23313A"/>
                <w:sz w:val="17"/>
              </w:rPr>
              <w:t>3 — Locoregional regulation and visceral target</w:t>
            </w:r>
          </w:p>
        </w:tc>
        <w:tc>
          <w:tcPr>
            <w:tcW w:type="dxa" w:w="1944000"/>
            <w:tcMar>
              <w:top w:w="80" w:type="dxa"/>
              <w:start w:w="90" w:type="dxa"/>
              <w:bottom w:w="80" w:type="dxa"/>
              <w:end w:w="90" w:type="dxa"/>
            </w:tcMar>
            <w:vAlign w:val="top"/>
          </w:tcPr>
          <w:p>
            <w:pPr>
              <w:spacing w:after="0" w:line="240" w:lineRule="auto"/>
              <w:jc w:val="left"/>
            </w:pPr>
            <w:r>
              <w:rPr>
                <w:rFonts w:ascii="Aptos" w:hAnsi="Aptos"/>
                <w:color w:val="23313A"/>
                <w:sz w:val="17"/>
              </w:rPr>
              <w:t>The anatomical and functional environment of the target, followed by the visceral or functional target itself.</w:t>
            </w:r>
          </w:p>
        </w:tc>
        <w:tc>
          <w:tcPr>
            <w:tcW w:type="dxa" w:w="2592000"/>
            <w:tcMar>
              <w:top w:w="80" w:type="dxa"/>
              <w:start w:w="90" w:type="dxa"/>
              <w:bottom w:w="80" w:type="dxa"/>
              <w:end w:w="90" w:type="dxa"/>
            </w:tcMar>
            <w:vAlign w:val="top"/>
          </w:tcPr>
          <w:p>
            <w:pPr>
              <w:spacing w:after="0" w:line="240" w:lineRule="auto"/>
              <w:jc w:val="left"/>
            </w:pPr>
            <w:r>
              <w:rPr>
                <w:rFonts w:ascii="Aptos" w:hAnsi="Aptos"/>
                <w:color w:val="23313A"/>
                <w:sz w:val="17"/>
              </w:rPr>
              <w:t>Abdominal or pelvic cavity; peritoneum and serosal interfaces; mesenteries and their roots; fasciae and visceral ligaments; intervisceral relationships; hiatuses and regional passages; the organ-specific reflex zone and its sub-territories.</w:t>
            </w:r>
          </w:p>
        </w:tc>
      </w:tr>
      <w:tr>
        <w:trPr>
          <w:cantSplit/>
        </w:trPr>
        <w:tc>
          <w:tcPr>
            <w:tcW w:type="dxa" w:w="1475999"/>
            <w:tcMar>
              <w:top w:w="80" w:type="dxa"/>
              <w:start w:w="90" w:type="dxa"/>
              <w:bottom w:w="80" w:type="dxa"/>
              <w:end w:w="90" w:type="dxa"/>
            </w:tcMar>
            <w:vAlign w:val="top"/>
            <w:shd w:fill="F6F3EC"/>
          </w:tcPr>
          <w:p>
            <w:pPr>
              <w:spacing w:after="0" w:line="240" w:lineRule="auto"/>
              <w:jc w:val="left"/>
            </w:pPr>
            <w:r>
              <w:rPr>
                <w:rFonts w:ascii="Aptos" w:hAnsi="Aptos"/>
                <w:b/>
                <w:color w:val="23313A"/>
                <w:sz w:val="17"/>
              </w:rPr>
              <w:t>4 — Viscerosomatic and viscero-emotional integration</w:t>
            </w:r>
          </w:p>
        </w:tc>
        <w:tc>
          <w:tcPr>
            <w:tcW w:type="dxa" w:w="1944000"/>
            <w:tcMar>
              <w:top w:w="80" w:type="dxa"/>
              <w:start w:w="90" w:type="dxa"/>
              <w:bottom w:w="80" w:type="dxa"/>
              <w:end w:w="90" w:type="dxa"/>
            </w:tcMar>
            <w:vAlign w:val="top"/>
            <w:shd w:fill="F6F3EC"/>
          </w:tcPr>
          <w:p>
            <w:pPr>
              <w:spacing w:after="0" w:line="240" w:lineRule="auto"/>
              <w:jc w:val="left"/>
            </w:pPr>
            <w:r>
              <w:rPr>
                <w:rFonts w:ascii="Aptos" w:hAnsi="Aptos"/>
                <w:color w:val="23313A"/>
                <w:sz w:val="17"/>
              </w:rPr>
              <w:t>Connecting the target with its somatic manifestations and emotional context.</w:t>
            </w:r>
          </w:p>
        </w:tc>
        <w:tc>
          <w:tcPr>
            <w:tcW w:type="dxa" w:w="2592000"/>
            <w:tcMar>
              <w:top w:w="80" w:type="dxa"/>
              <w:start w:w="90" w:type="dxa"/>
              <w:bottom w:w="80" w:type="dxa"/>
              <w:end w:w="90" w:type="dxa"/>
            </w:tcMar>
            <w:vAlign w:val="top"/>
            <w:shd w:fill="F6F3EC"/>
          </w:tcPr>
          <w:p>
            <w:pPr>
              <w:spacing w:after="0" w:line="240" w:lineRule="auto"/>
              <w:jc w:val="left"/>
            </w:pPr>
            <w:r>
              <w:rPr>
                <w:rFonts w:ascii="Aptos" w:hAnsi="Aptos"/>
                <w:color w:val="23313A"/>
                <w:sz w:val="17"/>
              </w:rPr>
              <w:t>Viscerosomatic relationships: segmental levels, somatic nerves, and convergences; associated muscles, joints, and pain territories; interoception and emotional context; limbic and corticolimbic networks.</w:t>
            </w:r>
          </w:p>
        </w:tc>
      </w:tr>
    </w:tbl>
    <w:p>
      <w:pPr>
        <w:spacing w:before="120"/>
        <w:jc w:val="both"/>
      </w:pPr>
      <w:r>
        <w:rPr>
          <w:i w:val="0"/>
        </w:rPr>
        <w:t>Four points accompany this table and apply throughout the book.</w:t>
      </w:r>
    </w:p>
    <w:p>
      <w:pPr>
        <w:jc w:val="both"/>
      </w:pPr>
      <w:r>
        <w:rPr>
          <w:i w:val="0"/>
        </w:rPr>
        <w:t>The zones proposed at Level 1 are clinical landmarks. They should not be understood as a direct anatomical projection of a cerebral structure onto the foot or occiput.</w:t>
      </w:r>
    </w:p>
    <w:p>
      <w:pPr>
        <w:jc w:val="both"/>
      </w:pPr>
      <w:r>
        <w:rPr>
          <w:i w:val="0"/>
        </w:rPr>
        <w:t>Anatomically, the diaphragm is not part of the autonomic nervous system. It is included at Level 2 because of its functional role in respiration, tone, and the assessment of the patient’s overall state.</w:t>
      </w:r>
    </w:p>
    <w:p>
      <w:pPr>
        <w:jc w:val="both"/>
      </w:pPr>
      <w:r>
        <w:rPr>
          <w:i w:val="0"/>
        </w:rPr>
        <w:t>The visceral or functional target belongs to Level 3, together with the regional environment that conditions it. Level 4 does not repeat the work on the organ: it relates the target to its somatic manifestations and emotional context. This distribution is used throughout the visceral chapters in this volume.</w:t>
      </w:r>
    </w:p>
    <w:p>
      <w:pPr>
        <w:jc w:val="both"/>
      </w:pPr>
      <w:r>
        <w:rPr>
          <w:i w:val="0"/>
        </w:rPr>
        <w:t>At Level 4, it is preferable to refer to limbic and corticolimbic networks rather than to a single, closed “limbic system”. Limbic Brain-Organ Balance belongs to the clinical vocabulary of ROP when this terminology is used; it does not describe a direct anatomical connection and assumes neither a fixed correspondence between an emotion and an organ nor a psychological cause of the symptom.</w:t>
      </w:r>
    </w:p>
    <w:p>
      <w:pPr>
        <w:jc w:val="both"/>
      </w:pPr>
      <w:r>
        <w:rPr>
          <w:i w:val="0"/>
        </w:rPr>
        <w:t>Chapter 2 develops this sequence, its practical application, and its variations according to the clinical situation.</w:t>
      </w:r>
    </w:p>
    <w:p>
      <w:pPr>
        <w:pStyle w:val="Heading1"/>
      </w:pPr>
      <w:r>
        <w:t>3. A clinical progression, not a rigid protocol</w:t>
      </w:r>
    </w:p>
    <w:p>
      <w:pPr>
        <w:jc w:val="both"/>
      </w:pPr>
      <w:r>
        <w:rPr>
          <w:i w:val="0"/>
        </w:rPr>
        <w:t>The four-level sequence is a prioritisation framework. It helps the practitioner avoid reducing the session to a search for an organ or a reflex point.</w:t>
      </w:r>
    </w:p>
    <w:p>
      <w:pPr>
        <w:jc w:val="both"/>
      </w:pPr>
      <w:r>
        <w:rPr>
          <w:i w:val="0"/>
        </w:rPr>
        <w:t>When faced with a functional visceral disorder, the assessment generally begins by exploring factors that may relate to Levels 1 and/or 2. At Level 3, the practitioner then addresses the locoregional environment followed by the visceral or functional target itself, before integrating its somatic manifestations and emotional context at Level 4. The actual order is nevertheless adapted to the history, the main symptom, medical, traumatic or surgical background, test findings, tolerance to touch, and the observed response. When the visceral target is clearly identified, Level 3 may be addressed directly or early, with the regional environment treated only if it appears to contribute to the clinical picture. Conversely, Level 4 may take a central place when somatic manifestations or the emotional context dominate the presentation.</w:t>
      </w:r>
    </w:p>
    <w:p>
      <w:pPr>
        <w:jc w:val="both"/>
      </w:pPr>
      <w:r>
        <w:rPr>
          <w:i w:val="0"/>
        </w:rPr>
        <w:t>This prioritisation is a clinical framework, not an imposed causal model. It does not replace medical diagnosis and cannot be used to exclude organic disease.</w:t>
      </w:r>
    </w:p>
    <w:p>
      <w:pPr>
        <w:jc w:val="both"/>
      </w:pPr>
      <w:r>
        <w:rPr>
          <w:i w:val="0"/>
        </w:rPr>
        <w:t>Practical principle: assess, prioritise, adapt, treat, then reassess. The levels are intended to organise reasoning; they must never become an automatic sequence.</w:t>
      </w:r>
    </w:p>
    <w:p>
      <w:pPr>
        <w:pStyle w:val="Heading1"/>
      </w:pPr>
      <w:r>
        <w:t>4. Stress and adaptation: a cross-cutting dynamic</w:t>
      </w:r>
    </w:p>
    <w:p>
      <w:pPr>
        <w:jc w:val="both"/>
      </w:pPr>
      <w:r>
        <w:rPr>
          <w:i w:val="0"/>
        </w:rPr>
        <w:t>Stress and polyvagal theory do not constitute a fifth level. They describe the dynamic that links the four levels over time.</w:t>
      </w:r>
    </w:p>
    <w:p>
      <w:pPr>
        <w:jc w:val="both"/>
      </w:pPr>
      <w:r>
        <w:rPr>
          <w:i w:val="0"/>
        </w:rPr>
        <w:t>Stress mobilises the central nervous system, the autonomic nervous system, hormonal systems, muscles, respiration, and viscera. This mobilisation is useful when it is proportionate, time-limited, and followed by recovery.</w:t>
      </w:r>
    </w:p>
    <w:p>
      <w:pPr>
        <w:jc w:val="both"/>
      </w:pPr>
      <w:r>
        <w:rPr>
          <w:i w:val="0"/>
        </w:rPr>
        <w:t>It becomes potentially problematic when it:</w:t>
      </w:r>
    </w:p>
    <w:p>
      <w:pPr>
        <w:pStyle w:val="ListBullet"/>
        <w:ind w:left="312" w:hanging="142"/>
      </w:pPr>
      <w:r>
        <w:t>persists or recurs without sufficient recovery;</w:t>
      </w:r>
    </w:p>
    <w:p>
      <w:pPr>
        <w:pStyle w:val="ListBullet"/>
        <w:ind w:left="312" w:hanging="142"/>
      </w:pPr>
      <w:r>
        <w:t>remains disproportionate to the stressor;</w:t>
      </w:r>
    </w:p>
    <w:p>
      <w:pPr>
        <w:pStyle w:val="ListBullet"/>
        <w:ind w:left="312" w:hanging="142"/>
      </w:pPr>
      <w:r>
        <w:t>does not resolve once the situation has changed;</w:t>
      </w:r>
    </w:p>
    <w:p>
      <w:pPr>
        <w:pStyle w:val="ListBullet"/>
        <w:ind w:left="312" w:hanging="142"/>
      </w:pPr>
      <w:r>
        <w:t>progressively reduces the patient’s adaptive capacity.</w:t>
      </w:r>
    </w:p>
    <w:p>
      <w:pPr>
        <w:jc w:val="both"/>
      </w:pPr>
      <w:r>
        <w:rPr>
          <w:i w:val="0"/>
        </w:rPr>
        <w:t>The chapters devoted to stress and polyvagal theory therefore provide a cross-cutting perspective on mobilisation, protection, adaptation, and recovery.</w:t>
      </w:r>
    </w:p>
    <w:p>
      <w:pPr>
        <w:jc w:val="both"/>
      </w:pPr>
      <w:r>
        <w:rPr>
          <w:i w:val="0"/>
        </w:rPr>
        <w:t>For consistency with the standard of evidence set out below, the status of this framework should be made explicit. Polyvagal theory offers a useful clinical vocabulary for describing states of mobilisation and recovery, and it has the merit of placing autonomic regulation at the centre of clinical support. Several of its anatomical and phylogenetic hypotheses, however, have been subject to substantial criticism in the neurophysiological literature. We therefore use it as a descriptive framework rather than as a demonstrated mechanism, distinguishing established vagal organisation from interpretation.</w:t>
      </w:r>
    </w:p>
    <w:p>
      <w:pPr>
        <w:pStyle w:val="Heading1"/>
      </w:pPr>
      <w:r>
        <w:t>5. ROP cartography: a clinical tool, not an anatomical miniature</w:t>
      </w:r>
    </w:p>
    <w:p>
      <w:pPr>
        <w:jc w:val="both"/>
      </w:pPr>
      <w:r>
        <w:rPr>
          <w:i w:val="0"/>
        </w:rPr>
        <w:t>ROP uses a three-dimensional cartography of the body within the foot, historically conceived as a body in the fetal position. This representation is a localisation tool specific to the method. It does not mean that an organ is physically projected onto a point on the foot.</w:t>
      </w:r>
    </w:p>
    <w:p>
      <w:pPr>
        <w:jc w:val="both"/>
      </w:pPr>
      <w:r>
        <w:rPr>
          <w:i w:val="0"/>
        </w:rPr>
        <w:t>This distinction is essential for reading the rest of the book. The clinical maps are retained because they structure practice. Whenever possible, however, they are considered alongside actual innervation, spinal levels, and known neural networks.</w:t>
      </w:r>
    </w:p>
    <w:p>
      <w:pPr>
        <w:jc w:val="both"/>
      </w:pPr>
      <w:r>
        <w:rPr>
          <w:i w:val="0"/>
        </w:rPr>
        <w:t>The foot is not an anatomical miniature of the body. It can, however, be regarded as a rich sensory interface.</w:t>
      </w:r>
    </w:p>
    <w:p>
      <w:pPr>
        <w:pStyle w:val="Heading1"/>
      </w:pPr>
      <w:r>
        <w:t>6. Neuroanatomical foundations, in brief</w:t>
      </w:r>
    </w:p>
    <w:p>
      <w:pPr>
        <w:jc w:val="both"/>
      </w:pPr>
      <w:r>
        <w:rPr>
          <w:i w:val="0"/>
        </w:rPr>
        <w:t>Manual pressure deforms the skin and underlying tissues, activates mechanoreceptors, and generates afferent activity that reaches the peripheral nerves, the spinal cord, and then higher centres [2,3]. The direction, duration, contact area, and depth of the technique may alter the sensory populations recruited.</w:t>
      </w:r>
    </w:p>
    <w:p>
      <w:pPr>
        <w:jc w:val="both"/>
      </w:pPr>
      <w:r>
        <w:rPr>
          <w:i w:val="0"/>
        </w:rPr>
        <w:t>Four major somatic gateways can be distinguished at the foot: the plantar gateway, whose branches primarily join the tibial nerve; the lateral, sural gateway; the dorsal, fibular gateway; and the medial, saphenous gateway [1]. They are not equivalent in either their peripheral innervation or their roots. Even within the tibial territory, the plantar and calcaneal branches are not interchangeable.</w:t>
      </w:r>
    </w:p>
    <w:p>
      <w:pPr>
        <w:jc w:val="both"/>
      </w:pPr>
      <w:r>
        <w:rPr>
          <w:i w:val="0"/>
        </w:rPr>
        <w:t>A common source of confusion should be ruled out from the outset: dermatomal maps place the foot mainly in L4, L5, and S1 [4]. A dermatome describes the dominant root origin of a cutaneous territory, whereas a mixed peripheral nerve contains axons from several roots. A plantar zone is therefore never an “S2 dermatome”.</w:t>
      </w:r>
    </w:p>
    <w:p>
      <w:pPr>
        <w:jc w:val="both"/>
      </w:pPr>
      <w:r>
        <w:rPr>
          <w:i w:val="0"/>
        </w:rPr>
        <w:t>Once within the nervous system, somatic information may encounter visceral circuits at several levels: segmental overlap, convergence between spinal interneurons, intersegmental connections, and supraspinal integration. In this book, we use the term “neuroanatomical bridge” to describe these possible convergences. This is not a direct point-to-organ cable, but a possible route into a network.</w:t>
      </w:r>
    </w:p>
    <w:p>
      <w:pPr>
        <w:jc w:val="both"/>
      </w:pPr>
      <w:r>
        <w:rPr>
          <w:i w:val="0"/>
        </w:rPr>
        <w:t>Several gateways may therefore produce an effect without being equivalent. Anatomical overlap mainly strengthens the plausibility of regional targeting; its absence does not exclude more general modulation.</w:t>
      </w:r>
    </w:p>
    <w:p>
      <w:pPr>
        <w:jc w:val="both"/>
      </w:pPr>
      <w:r>
        <w:rPr>
          <w:i w:val="0"/>
        </w:rPr>
        <w:t>Because the method is occipito-podal, its cephalic component also deserves mention. It has an experimental point of support: in animals, stimulation of the hindlimb can modify a cranial parasympathetic output despite the absence of any segmental overlap, without demonstrating any precise topographic correspondence [18].</w:t>
      </w:r>
    </w:p>
    <w:p>
      <w:pPr>
        <w:pStyle w:val="Heading1"/>
      </w:pPr>
      <w:r>
        <w:t>7. The pelvis: a particularly informative region</w:t>
      </w:r>
    </w:p>
    <w:p>
      <w:pPr>
        <w:jc w:val="both"/>
      </w:pPr>
      <w:r>
        <w:rPr>
          <w:i w:val="0"/>
        </w:rPr>
        <w:t>The lesser pelvis provides the clearest example for understanding this logic. The plausibility of pelvic ROP rests on three independent arguments rather than on a single one.</w:t>
      </w:r>
    </w:p>
    <w:p>
      <w:pPr>
        <w:jc w:val="both"/>
      </w:pPr>
      <w:r>
        <w:rPr>
          <w:i w:val="0"/>
        </w:rPr>
        <w:t>Segmental proximity. The tibial nerve is multiradicular, classically L4-S3, although the consistency of the S3 contribution varies across anatomical sources [1]. Many pelvic circuits are organised around S2-S4 [13]; the possible overlap therefore concerns mainly S2 and S3. This does not mean that a plantar input selects an organ, but that it can reach lumbosacral networks that also process perineal and visceral information.</w:t>
      </w:r>
    </w:p>
    <w:p>
      <w:pPr>
        <w:jc w:val="both"/>
      </w:pPr>
      <w:r>
        <w:rPr>
          <w:i w:val="0"/>
        </w:rPr>
        <w:t>Density of evidence. The bladder is currently the best-documented model: randomised trials controlled against a sham procedure support the efficacy of percutaneous tibial nerve stimulation in overactive bladder [5], while mechanistic studies show the involvement of sacral interneuronal circuits and supraspinal relays [6,7]. The distal colon and rectum are a logical extension of this model, because pelvic networks function in an integrated manner rather than as a juxtaposition of organs [14,15].</w:t>
      </w:r>
    </w:p>
    <w:p>
      <w:pPr>
        <w:jc w:val="both"/>
      </w:pPr>
      <w:r>
        <w:rPr>
          <w:i w:val="0"/>
        </w:rPr>
        <w:t>Independence from anatomical coincidence. This is the strongest argument. The saphenous nerve, whose territory is predominantly lumbar, has no S2-S4 overlap; under a strictly segmental model, it should have provided the ideal negative control. Yet its stimulation inhibits bladder function in animals [8], through a pathway that appears to be supraspinal [9], and a first clinical feasibility study reports a high proportion of responders [10]. The conclusion is clear: segmental proximity is not a necessary condition. It strengthens the plausibility of regional targeting, but access to pelvic networks from the lower limb does not depend on the constant presence of a particular root.</w:t>
      </w:r>
    </w:p>
    <w:p>
      <w:pPr>
        <w:jc w:val="both"/>
      </w:pPr>
      <w:r>
        <w:rPr>
          <w:i w:val="0"/>
        </w:rPr>
        <w:t>A model that retains its plausibility when its most frequently cited argument is removed is a more robust model, not a more fragile one. In ROP clinical experience, the pelvic region is also among the territories in which the observed responses are most noteworthy. This observation is not proof of specific efficacy; it provides a particularly useful setting in which to compare the method’s cartography with known mechanisms.</w:t>
      </w:r>
    </w:p>
    <w:p>
      <w:pPr>
        <w:pStyle w:val="Heading1"/>
      </w:pPr>
      <w:r>
        <w:t>8. Beyond the pelvis: distant modulation and manual technique</w:t>
      </w:r>
    </w:p>
    <w:p>
      <w:pPr>
        <w:jc w:val="both"/>
      </w:pPr>
      <w:r>
        <w:rPr>
          <w:i w:val="0"/>
        </w:rPr>
        <w:t>The absence of segmental proximity does not preclude all modulation. A somatic input may reach the brainstem and cortical networks and then, through descending commands, alter the excitability of spinal and autonomic circuits. The literature on somato-autonomic reflexes documents this principle extensively [16].</w:t>
      </w:r>
    </w:p>
    <w:p>
      <w:pPr>
        <w:jc w:val="both"/>
      </w:pPr>
      <w:r>
        <w:rPr>
          <w:i w:val="0"/>
        </w:rPr>
        <w:t>Two limitations accompany this reasoning: the more a hypothesis depends on general supraspinal relays, the less it supports a claim of regional specificity; and, in such cases, the effect still needs to be documented organ by organ.</w:t>
      </w:r>
    </w:p>
    <w:p>
      <w:pPr>
        <w:jc w:val="both"/>
      </w:pPr>
      <w:r>
        <w:rPr>
          <w:i w:val="0"/>
        </w:rPr>
        <w:t>One objection specific to ROP remains, and we take it seriously: evidence from electrical neuromodulation does not demonstrate the effect of manual pressure. This distinction will be reiterated throughout the book.</w:t>
      </w:r>
    </w:p>
    <w:p>
      <w:pPr>
        <w:jc w:val="both"/>
      </w:pPr>
      <w:r>
        <w:rPr>
          <w:i w:val="0"/>
        </w:rPr>
        <w:t>This does not mean that the manual technique lacks an experimental basis. Gentle mechanical cutaneous stimulation, applied notably to the hindlimb, modifies bladder function through an identified mechanism [12]. A randomised controlled trial conducted in a hospital setting also evaluated manual plantar reflexology after oncological rectal surgery: among 108 patients analysed, the incidence of postoperative ileus was reduced, as were the times to resumption of feeding and bowel transit [11]. The study was single-centre, included no sham session in the control group, and used a protocol derived from conventional plantar reflexology rather than ROP.</w:t>
      </w:r>
    </w:p>
    <w:p>
      <w:pPr>
        <w:jc w:val="both"/>
      </w:pPr>
      <w:r>
        <w:rPr>
          <w:i w:val="0"/>
        </w:rPr>
        <w:t>None of these studies is ROP. All are the right type of experiment, and that is what makes a research programme practicable.</w:t>
      </w:r>
    </w:p>
    <w:p>
      <w:pPr>
        <w:pStyle w:val="BibliographyHeading"/>
      </w:pPr>
      <w:r>
        <w:t>For further reading on the mechanisms discussed in Sections 6 to 8</w:t>
      </w:r>
    </w:p>
    <w:p>
      <w:pPr>
        <w:jc w:val="both"/>
      </w:pPr>
      <w:r>
        <w:rPr>
          <w:i w:val="0"/>
        </w:rPr>
        <w:t>Readers who want the detailed sources, a comparison of the four somatic gateways, the complete saphenous nerve evidence file, and the full bibliography will find them on the dedicated page of the method’s website:</w:t>
      </w:r>
    </w:p>
    <w:p>
      <w:pPr>
        <w:jc w:val="left"/>
      </w:pPr>
      <w:r>
        <w:rPr>
          <w:b/>
          <w:color w:val="B1842C"/>
        </w:rPr>
        <w:t>www.guy-boitout.com/fondements-neuro-anatomiques</w:t>
      </w:r>
    </w:p>
    <w:p>
      <w:pPr>
        <w:jc w:val="both"/>
      </w:pPr>
      <w:r>
        <w:rPr>
          <w:i w:val="0"/>
        </w:rPr>
        <w:t>This page is updated as new publications appear and serves as a living companion to this chapter.</w:t>
      </w:r>
    </w:p>
    <w:p>
      <w:pPr>
        <w:pStyle w:val="Heading1"/>
      </w:pPr>
      <w:r>
        <w:t>9. How to read this book</w:t>
      </w:r>
    </w:p>
    <w:p>
      <w:pPr>
        <w:jc w:val="both"/>
      </w:pPr>
      <w:r>
        <w:rPr>
          <w:i w:val="0"/>
        </w:rPr>
        <w:t>Each part of the book addresses a clinical question. The maps and clinical cases are intended to be read together with the anatomical chapters, not in isolation.</w:t>
      </w:r>
    </w:p>
    <w:p>
      <w:pPr>
        <w:pStyle w:val="ListBullet"/>
        <w:ind w:left="312" w:hanging="142"/>
      </w:pPr>
      <w:r>
        <w:t>Part I — Introduction: general principles, treatment, history-taking, testing, prioritisation, safety, and reassessment.</w:t>
      </w:r>
    </w:p>
    <w:p>
      <w:pPr>
        <w:pStyle w:val="ListBullet"/>
        <w:ind w:left="312" w:hanging="142"/>
      </w:pPr>
      <w:r>
        <w:t>Part II — Nervous systems: central nervous system, autonomic nervous system, and the neuroanatomical foundations of somatic gateways.</w:t>
      </w:r>
    </w:p>
    <w:p>
      <w:pPr>
        <w:pStyle w:val="ListBullet"/>
        <w:ind w:left="312" w:hanging="142"/>
      </w:pPr>
      <w:r>
        <w:t>Part III — Stress and regulation: cross-cutting mechanisms of mobilisation, adaptation, and recovery.</w:t>
      </w:r>
    </w:p>
    <w:p>
      <w:pPr>
        <w:pStyle w:val="ListBullet"/>
        <w:ind w:left="312" w:hanging="142"/>
      </w:pPr>
      <w:r>
        <w:t>Part IV — Abdominal viscera: abdominal cavity, diaphragm, peritoneum, mesenteries, and digestive organs.</w:t>
      </w:r>
    </w:p>
    <w:p>
      <w:pPr>
        <w:pStyle w:val="ListBullet"/>
        <w:ind w:left="312" w:hanging="142"/>
      </w:pPr>
      <w:r>
        <w:t>Part V — Urogenital and pelvic: pelvic cavity, kidneys, bladder, genital organs, and erectile system.</w:t>
      </w:r>
    </w:p>
    <w:p>
      <w:pPr>
        <w:jc w:val="both"/>
      </w:pPr>
      <w:r>
        <w:rPr>
          <w:i w:val="0"/>
        </w:rPr>
        <w:t>The clinical cases show how the same symptom may lead to different choices depending on the patient’s history, the tests, the levels prioritised, and the response to the session. They provide an essential link between the maps in the book and the realities of clinical practice.</w:t>
      </w:r>
    </w:p>
    <w:p>
      <w:pPr>
        <w:pStyle w:val="Heading1"/>
      </w:pPr>
      <w:r>
        <w:t>10. Why the viscera are essential</w:t>
      </w:r>
    </w:p>
    <w:p>
      <w:pPr>
        <w:jc w:val="both"/>
      </w:pPr>
      <w:r>
        <w:rPr>
          <w:i w:val="0"/>
        </w:rPr>
        <w:t>The visceral system manages a large part of the body’s essential logistics: nutrition, digestion, absorption, elimination, fluid and mineral balance, endocrine functions, reproduction, and maintenance of internal homeostasis.</w:t>
      </w:r>
    </w:p>
    <w:p>
      <w:pPr>
        <w:jc w:val="both"/>
      </w:pPr>
      <w:r>
        <w:rPr>
          <w:i w:val="0"/>
        </w:rPr>
        <w:t>Visceral and somatic information may converge within shared networks. This organisation contributes to certain patterns of referred pain, changes in muscle tone, and interactions between visceral and somatic functions [14,15,17].</w:t>
      </w:r>
    </w:p>
    <w:p>
      <w:pPr>
        <w:jc w:val="both"/>
      </w:pPr>
      <w:r>
        <w:rPr>
          <w:i w:val="0"/>
        </w:rPr>
        <w:t>The reverse is also possible: certain somatic inputs can modify autonomic or visceral circuits. These relationships should never be turned into automatic causal relationships.</w:t>
      </w:r>
    </w:p>
    <w:p>
      <w:pPr>
        <w:jc w:val="both"/>
      </w:pPr>
      <w:r>
        <w:rPr>
          <w:i w:val="0"/>
        </w:rPr>
        <w:t>ROP is used in the field of functional disorders and supportive care. It does not replace medical diagnosis or the treatments required in the presence of organic disease.</w:t>
      </w:r>
    </w:p>
    <w:p>
      <w:pPr>
        <w:pStyle w:val="Heading1"/>
      </w:pPr>
      <w:r>
        <w:t>11. Our approach: scientific rigour and clinical pragmatism</w:t>
      </w:r>
    </w:p>
    <w:p>
      <w:pPr>
        <w:jc w:val="both"/>
      </w:pPr>
      <w:r>
        <w:rPr>
          <w:i w:val="0"/>
        </w:rPr>
        <w:t>As with any manual approach, some clinical observations may precede a complete understanding of their mechanisms. This situation imposes two requirements: not to turn an observation into a certainty, and not to dismiss what deserves further study.</w:t>
      </w:r>
    </w:p>
    <w:p>
      <w:pPr>
        <w:jc w:val="both"/>
      </w:pPr>
      <w:r>
        <w:rPr>
          <w:i w:val="0"/>
        </w:rPr>
        <w:t>We distinguish four levels of evidence:</w:t>
      </w:r>
    </w:p>
    <w:p>
      <w:pPr>
        <w:spacing w:after="50"/>
        <w:ind w:left="340" w:hanging="255"/>
      </w:pPr>
      <w:r>
        <w:rPr>
          <w:b/>
        </w:rPr>
        <w:t xml:space="preserve">1. </w:t>
      </w:r>
      <w:r>
        <w:t>Established anatomy and physiology: nerves, roots, afferents, plexuses, autonomic pathways, and spinal and supraspinal circuits.</w:t>
      </w:r>
    </w:p>
    <w:p>
      <w:pPr>
        <w:spacing w:after="50"/>
        <w:ind w:left="340" w:hanging="255"/>
      </w:pPr>
      <w:r>
        <w:rPr>
          <w:b/>
        </w:rPr>
        <w:t xml:space="preserve">2. </w:t>
      </w:r>
      <w:r>
        <w:t>Experimental and clinical neurophysiology: data on tibial and saphenous neuromodulation, spinal convergence, mechanical cutaneous stimulation, and brain responses to different forms of somatic stimulation.</w:t>
      </w:r>
    </w:p>
    <w:p>
      <w:pPr>
        <w:spacing w:after="50"/>
        <w:ind w:left="340" w:hanging="255"/>
      </w:pPr>
      <w:r>
        <w:rPr>
          <w:b/>
        </w:rPr>
        <w:t xml:space="preserve">3. </w:t>
      </w:r>
      <w:r>
        <w:t>ROP neuroanatomical hypothesis: the proposal that a given zone or branch may provide a more relevant gateway than another for a particular function.</w:t>
      </w:r>
    </w:p>
    <w:p>
      <w:pPr>
        <w:spacing w:after="50"/>
        <w:ind w:left="340" w:hanging="255"/>
      </w:pPr>
      <w:r>
        <w:rPr>
          <w:b/>
        </w:rPr>
        <w:t xml:space="preserve">4. </w:t>
      </w:r>
      <w:r>
        <w:t>ROP clinical observation: clinical maps, palpatory responses, immediate or delayed responses, and documented clinical cases.</w:t>
      </w:r>
    </w:p>
    <w:p>
      <w:pPr>
        <w:jc w:val="both"/>
      </w:pPr>
      <w:r>
        <w:rPr>
          <w:i w:val="0"/>
        </w:rPr>
        <w:t>Evidence from electrical neuromodulation does not automatically demonstrate the effect of manual pressure. A clinical response, on its own, does not demonstrate the mechanism that produced it. Each level of evidence can, however, help formulate a more precise question.</w:t>
      </w:r>
    </w:p>
    <w:p>
      <w:pPr>
        <w:jc w:val="both"/>
      </w:pPr>
      <w:r>
        <w:rPr>
          <w:i w:val="0"/>
        </w:rPr>
        <w:t>This scale measures the strength of a claim; it says nothing about its anatomical scope. For this reason, the chapters in Part II distinguish segmental proximity, gateway specificity, and level of evidence, which are three independent parameters. One consequence is worth stating now: when several gateways produce a comparable effect, this does not weaken the method. For a manual approach, it means that regional access can tolerate some imprecision in the technique — at the cost, which we accept, of abandoning any claim to an exclusive point-to-organ correspondence.</w:t>
      </w:r>
    </w:p>
    <w:p>
      <w:pPr>
        <w:pStyle w:val="Heading2"/>
      </w:pPr>
      <w:r>
        <w:t>11.1. From clinical map to structured observation</w:t>
      </w:r>
    </w:p>
    <w:p>
      <w:pPr>
        <w:jc w:val="both"/>
      </w:pPr>
      <w:r>
        <w:rPr>
          <w:i w:val="0"/>
        </w:rPr>
        <w:t>The SuiviPatient application, made available free of charge to certified ROP practitioners, follows this logic. It makes it possible to document the main reason for consultation, the history, the zones worked on, the protocol followed, the reactions observed, and changes in symptoms or functional capacity.</w:t>
      </w:r>
    </w:p>
    <w:p>
      <w:pPr>
        <w:jc w:val="both"/>
      </w:pPr>
      <w:r>
        <w:rPr>
          <w:i w:val="0"/>
        </w:rPr>
        <w:t>The aim is not to turn every session into an experiment, but to make observations more comparable, to better identify useful protocols and the method’s limitations, and to define the questions that warrant more formal study.</w:t>
      </w:r>
    </w:p>
    <w:p>
      <w:pPr>
        <w:jc w:val="both"/>
      </w:pPr>
      <w:r>
        <w:rPr>
          <w:i w:val="0"/>
        </w:rPr>
        <w:t>One variable deserves to be documented more carefully than it usually is: the mechanical characteristics of the technique — contact area, direction, depth, applied pressure, duration, and frequency of repetition. The literature on mechanical stimulation now provides useful orders of magnitude; it is becoming both possible and desirable to treat pressure as a measured quantity rather than a merely described one.</w:t>
      </w:r>
    </w:p>
    <w:p>
      <w:pPr>
        <w:pStyle w:val="Heading1"/>
      </w:pPr>
      <w:r>
        <w:t>12. Two fundamental anatomical landmarks</w:t>
      </w:r>
    </w:p>
    <w:p>
      <w:pPr>
        <w:pStyle w:val="Heading2"/>
      </w:pPr>
      <w:r>
        <w:t>12.1. The diaphragm</w:t>
      </w:r>
    </w:p>
    <w:p>
      <w:pPr>
        <w:jc w:val="both"/>
      </w:pPr>
      <w:r>
        <w:rPr>
          <w:i w:val="0"/>
        </w:rPr>
        <w:t>The two diaphragmatic domes are not at the same height. The right dome is generally higher than the left, particularly because of the presence of the liver. This asymmetry must be respected in the cartography and in clinical examination.</w:t>
      </w:r>
    </w:p>
    <w:p>
      <w:pPr>
        <w:pStyle w:val="Heading2"/>
      </w:pPr>
      <w:r>
        <w:t>12.2. The peritoneum</w:t>
      </w:r>
    </w:p>
    <w:p>
      <w:pPr>
        <w:jc w:val="both"/>
      </w:pPr>
      <w:r>
        <w:rPr>
          <w:i w:val="0"/>
        </w:rPr>
        <w:t>The peritoneum forms a major interface between the viscera and the body walls. Through its folds, mesenteries, ligaments, and anatomical relationships, it contributes to organ suspension, gliding planes, vascular and neural relationships, and the organisation of the abdominal and pelvic spaces.</w:t>
      </w:r>
    </w:p>
    <w:p>
      <w:pPr>
        <w:pStyle w:val="Heading1"/>
      </w:pPr>
      <w:r>
        <w:t>13. Terminology</w:t>
      </w:r>
    </w:p>
    <w:p>
      <w:pPr>
        <w:jc w:val="both"/>
      </w:pPr>
      <w:r>
        <w:rPr>
          <w:i w:val="0"/>
        </w:rPr>
        <w:t>For clarity and anatomical consistency, we will use the following terms:</w:t>
      </w:r>
    </w:p>
    <w:p>
      <w:pPr>
        <w:pStyle w:val="ListBullet"/>
        <w:ind w:left="312" w:hanging="142"/>
      </w:pPr>
      <w:r>
        <w:t>dorsally, rather than “posteriorly”, when body orientation makes this appropriate;</w:t>
      </w:r>
    </w:p>
    <w:p>
      <w:pPr>
        <w:pStyle w:val="ListBullet"/>
        <w:ind w:left="312" w:hanging="142"/>
      </w:pPr>
      <w:r>
        <w:t>ventrally, rather than “anteriorly”;</w:t>
      </w:r>
    </w:p>
    <w:p>
      <w:pPr>
        <w:pStyle w:val="ListBullet"/>
        <w:ind w:left="312" w:hanging="142"/>
      </w:pPr>
      <w:r>
        <w:t>laterally, rather than “externally”;</w:t>
      </w:r>
    </w:p>
    <w:p>
      <w:pPr>
        <w:pStyle w:val="ListBullet"/>
        <w:ind w:left="312" w:hanging="142"/>
      </w:pPr>
      <w:r>
        <w:t>medially, rather than “internally”;</w:t>
      </w:r>
    </w:p>
    <w:p>
      <w:pPr>
        <w:pStyle w:val="ListBullet"/>
        <w:ind w:left="312" w:hanging="142"/>
      </w:pPr>
      <w:r>
        <w:t>cephalad, rather than “upwards”;</w:t>
      </w:r>
    </w:p>
    <w:p>
      <w:pPr>
        <w:pStyle w:val="ListBullet"/>
        <w:ind w:left="312" w:hanging="142"/>
      </w:pPr>
      <w:r>
        <w:t>caudally, rather than “downwards”;</w:t>
      </w:r>
    </w:p>
    <w:p>
      <w:pPr>
        <w:pStyle w:val="ListBullet"/>
        <w:ind w:left="312" w:hanging="142"/>
      </w:pPr>
      <w:r>
        <w:t>frontally, to describe an orientation in the frontal plane;</w:t>
      </w:r>
    </w:p>
    <w:p>
      <w:pPr>
        <w:pStyle w:val="ListBullet"/>
        <w:ind w:left="312" w:hanging="142"/>
      </w:pPr>
      <w:r>
        <w:t>sagittally, to describe an orientation in the sagittal plane.</w:t>
      </w:r>
    </w:p>
    <w:p>
      <w:pPr>
        <w:jc w:val="both"/>
      </w:pPr>
      <w:r>
        <w:rPr>
          <w:i w:val="0"/>
        </w:rPr>
        <w:t>We also prefer the expressions “generate a somatic input”, “recruit a network”, “modulate the excitability of a circuit”, or “influence a function”, rather than “reach” or “act on”, which incorrectly suggest direct continuity between a point on the foot and an organ.</w:t>
      </w:r>
    </w:p>
    <w:p>
      <w:pPr>
        <w:pStyle w:val="Heading1"/>
      </w:pPr>
      <w:r>
        <w:t>14. Standard chapter structure</w:t>
      </w:r>
    </w:p>
    <w:p>
      <w:pPr>
        <w:pStyle w:val="Heading2"/>
      </w:pPr>
      <w:r>
        <w:t>14.1. Overview</w:t>
      </w:r>
    </w:p>
    <w:p>
      <w:pPr>
        <w:jc w:val="both"/>
      </w:pPr>
      <w:r>
        <w:rPr>
          <w:i w:val="0"/>
        </w:rPr>
        <w:t>Places the organ within the book’s overall reasoning framework and specifies its clinical relevance.</w:t>
      </w:r>
    </w:p>
    <w:p>
      <w:pPr>
        <w:pStyle w:val="Heading2"/>
      </w:pPr>
      <w:r>
        <w:t>14.2. Location</w:t>
      </w:r>
    </w:p>
    <w:p>
      <w:pPr>
        <w:jc w:val="both"/>
      </w:pPr>
      <w:r>
        <w:rPr>
          <w:i w:val="0"/>
        </w:rPr>
        <w:t>Locates the organ within the relevant cavity and defines its principal landmarks.</w:t>
      </w:r>
    </w:p>
    <w:p>
      <w:pPr>
        <w:pStyle w:val="Heading2"/>
      </w:pPr>
      <w:r>
        <w:t>14.3. Anatomy</w:t>
      </w:r>
    </w:p>
    <w:p>
      <w:pPr>
        <w:jc w:val="both"/>
      </w:pPr>
      <w:r>
        <w:rPr>
          <w:i w:val="0"/>
        </w:rPr>
        <w:t>Describes its shape, constituent parts, and essential characteristics.</w:t>
      </w:r>
    </w:p>
    <w:p>
      <w:pPr>
        <w:pStyle w:val="Heading2"/>
      </w:pPr>
      <w:r>
        <w:t>14.4. Anatomical relationships</w:t>
      </w:r>
    </w:p>
    <w:p>
      <w:pPr>
        <w:jc w:val="both"/>
      </w:pPr>
      <w:r>
        <w:rPr>
          <w:i w:val="0"/>
        </w:rPr>
        <w:t>Presents its relationships with neighbouring organs, body walls, fasciae, muscles, ligaments, and neurovascular structures.</w:t>
      </w:r>
    </w:p>
    <w:p>
      <w:pPr>
        <w:pStyle w:val="Heading2"/>
      </w:pPr>
      <w:r>
        <w:t>14.5. Vascular supply</w:t>
      </w:r>
    </w:p>
    <w:p>
      <w:pPr>
        <w:jc w:val="both"/>
      </w:pPr>
      <w:r>
        <w:rPr>
          <w:i w:val="0"/>
        </w:rPr>
        <w:t>Describes the main arterial, venous, and, where relevant, lymphatic pathways.</w:t>
      </w:r>
    </w:p>
    <w:p>
      <w:pPr>
        <w:pStyle w:val="Heading2"/>
      </w:pPr>
      <w:r>
        <w:t>14.6. Innervation</w:t>
      </w:r>
    </w:p>
    <w:p>
      <w:pPr>
        <w:jc w:val="both"/>
      </w:pPr>
      <w:r>
        <w:rPr>
          <w:i w:val="0"/>
        </w:rPr>
        <w:t>Presents sympathetic and parasympathetic pathways, plexuses, visceral afferents, and the associated spinal levels.</w:t>
      </w:r>
    </w:p>
    <w:p>
      <w:pPr>
        <w:pStyle w:val="Heading2"/>
      </w:pPr>
      <w:r>
        <w:t>14.7. Physiology</w:t>
      </w:r>
    </w:p>
    <w:p>
      <w:pPr>
        <w:jc w:val="both"/>
      </w:pPr>
      <w:r>
        <w:rPr>
          <w:i w:val="0"/>
        </w:rPr>
        <w:t>Reviews the organ’s main functions and their regulation.</w:t>
      </w:r>
    </w:p>
    <w:p>
      <w:pPr>
        <w:pStyle w:val="Heading2"/>
      </w:pPr>
      <w:r>
        <w:t>14.8. Common pathologies</w:t>
      </w:r>
    </w:p>
    <w:p>
      <w:pPr>
        <w:jc w:val="both"/>
      </w:pPr>
      <w:r>
        <w:rPr>
          <w:i w:val="0"/>
        </w:rPr>
        <w:t>Provides reference points for understanding, exclusion of relevant pathology, and appropriate caution. ROP does not replace medical diagnosis.</w:t>
      </w:r>
    </w:p>
    <w:p>
      <w:pPr>
        <w:pStyle w:val="Heading2"/>
      </w:pPr>
      <w:r>
        <w:t>14.9. Foot reflex zones</w:t>
      </w:r>
    </w:p>
    <w:p>
      <w:pPr>
        <w:jc w:val="both"/>
      </w:pPr>
      <w:r>
        <w:rPr>
          <w:i w:val="0"/>
        </w:rPr>
        <w:t>Describes the clinical ROP cartography, organises it according to the four levels of the protocol — with the organ-specific reflex zone belonging to Level 3 — and, where possible, considers it alongside candidate nerves, branches, roots, and neuroanatomical bridges.</w:t>
      </w:r>
    </w:p>
    <w:p>
      <w:pPr>
        <w:pStyle w:val="Heading2"/>
      </w:pPr>
      <w:r>
        <w:t>14.10. Viscerosomatic relationships</w:t>
      </w:r>
    </w:p>
    <w:p>
      <w:pPr>
        <w:jc w:val="both"/>
      </w:pPr>
      <w:r>
        <w:rPr>
          <w:i w:val="0"/>
        </w:rPr>
        <w:t>Describes possible convergences and projections between the organ, spinal levels, somatic nerves, muscles, joints, and associated pain territories. These data contribute in particular to Level 4 viscerosomatic integration.</w:t>
      </w:r>
    </w:p>
    <w:p>
      <w:pPr>
        <w:pStyle w:val="Heading2"/>
      </w:pPr>
      <w:r>
        <w:t>14.11. Viscero-emotional relationships</w:t>
      </w:r>
    </w:p>
    <w:p>
      <w:pPr>
        <w:jc w:val="both"/>
      </w:pPr>
      <w:r>
        <w:rPr>
          <w:i w:val="0"/>
        </w:rPr>
        <w:t>Offers a cautious interpretation of relationships between emotional states, bodily perception, autonomic regulation, and symptoms. These data contribute in particular to Level 4 viscero-emotional integration, without imposing an interpretation on the patient.</w:t>
      </w:r>
    </w:p>
    <w:p>
      <w:pPr>
        <w:pStyle w:val="Heading2"/>
      </w:pPr>
      <w:r>
        <w:t>14.12. Clinical cases</w:t>
      </w:r>
    </w:p>
    <w:p>
      <w:pPr>
        <w:jc w:val="both"/>
      </w:pPr>
      <w:r>
        <w:rPr>
          <w:i w:val="0"/>
        </w:rPr>
        <w:t>Shows how anatomy, cartography, history-taking, tests, and response to treatment are integrated in real patients.</w:t>
      </w:r>
    </w:p>
    <w:p>
      <w:pPr>
        <w:pStyle w:val="Heading2"/>
      </w:pPr>
      <w:r>
        <w:t>14.13. Advice</w:t>
      </w:r>
    </w:p>
    <w:p>
      <w:pPr>
        <w:jc w:val="both"/>
      </w:pPr>
      <w:r>
        <w:rPr>
          <w:i w:val="0"/>
        </w:rPr>
        <w:t>Complements the session with simple, appropriate measures: relative rest, hydration, appropriate physical activity, diet, sleep, symptom monitoring, and medical consultation when necessary.</w:t>
      </w:r>
    </w:p>
    <w:p>
      <w:pPr>
        <w:pStyle w:val="Heading1"/>
      </w:pPr>
      <w:r>
        <w:t>15. Key points</w:t>
      </w:r>
    </w:p>
    <w:p>
      <w:pPr>
        <w:jc w:val="both"/>
      </w:pPr>
      <w:r>
        <w:rPr>
          <w:i w:val="0"/>
        </w:rPr>
        <w:t>This third volume does more than present new visceral cartographies. It proposes a simple way to organise practice and then to consider it in light of anatomy and neurophysiology.</w:t>
      </w:r>
    </w:p>
    <w:p>
      <w:pPr>
        <w:jc w:val="both"/>
      </w:pPr>
      <w:r>
        <w:rPr>
          <w:i w:val="0"/>
        </w:rPr>
        <w:t>The clinical sequence comprises four complementary levels: regulation of higher centres; autonomic regulation and adaptation; locoregional regulation and visceral target; viscerosomatic and viscero-emotional integration. This progression is not necessarily sequential, and Chapter 2 explains how it is used.</w:t>
      </w:r>
    </w:p>
    <w:p>
      <w:pPr>
        <w:jc w:val="both"/>
      </w:pPr>
      <w:r>
        <w:rPr>
          <w:i w:val="0"/>
        </w:rPr>
        <w:t>ROP cartography remains a clinical tool, not a direct anatomical projection of the body onto the foot.</w:t>
      </w:r>
    </w:p>
    <w:p>
      <w:pPr>
        <w:jc w:val="both"/>
      </w:pPr>
      <w:r>
        <w:rPr>
          <w:i w:val="0"/>
        </w:rPr>
        <w:t>The neuroanatomical foundations are based on sensory gateways and on possible peripheral, spinal, and supraspinal convergences. Segmental overlap strengthens the plausibility of regional targeting; its absence does not exclude it.</w:t>
      </w:r>
    </w:p>
    <w:p>
      <w:pPr>
        <w:jc w:val="both"/>
      </w:pPr>
      <w:r>
        <w:rPr>
          <w:i w:val="0"/>
        </w:rPr>
        <w:t>The pelvis currently provides the most informative territory for comparing neuroanatomical proximity, clinical observations, and research. Its plausibility rests on three independent supports: S2-S3 segmental proximity, the density of the experimental and clinical evidence base, and the fact that access to pelvic networks does not depend on this segmental coincidence.</w:t>
      </w:r>
    </w:p>
    <w:p>
      <w:pPr>
        <w:jc w:val="both"/>
      </w:pPr>
      <w:r>
        <w:rPr>
          <w:i w:val="0"/>
        </w:rPr>
        <w:t>The manual technique has its own experimental foundation, still limited but real. None of the available studies is ROP; all are the right type of experiment.</w:t>
      </w:r>
    </w:p>
    <w:p>
      <w:pPr>
        <w:jc w:val="both"/>
      </w:pPr>
      <w:r>
        <w:rPr>
          <w:i w:val="0"/>
        </w:rPr>
        <w:t>The ultimate focus remains the patient: to understand more in order to choose more appropriately, treat with caution, observe what changes, and make the method accessible to those who may benefit from it.</w:t>
      </w:r>
    </w:p>
    <w:p>
      <w:pPr>
        <w:pStyle w:val="Heading1"/>
      </w:pPr>
      <w:r>
        <w:t>Bibliography for Chapter 0</w:t>
      </w:r>
    </w:p>
    <w:p>
      <w:pPr>
        <w:jc w:val="both"/>
      </w:pPr>
      <w:r>
        <w:rPr>
          <w:i w:val="0"/>
        </w:rPr>
        <w:t>This bibliography is deliberately restricted to the sources cited in this chapter. The complete bibliography on the neuroanatomical foundations — anatomy of the four gateways, tibial and saphenous neuromodulation, mechanical stimulation, supraspinal control, pelvic networks, and the cephalic component — is kept up to date at www.guy-boitout.com/fondements-neuro-anatomiques.</w:t>
      </w:r>
    </w:p>
    <w:p>
      <w:pPr>
        <w:pStyle w:val="BibliographyHeading"/>
      </w:pPr>
      <w:r>
        <w:t>Anatomy of the foot and cutaneous afferents</w:t>
      </w:r>
    </w:p>
    <w:p>
      <w:pPr>
        <w:pStyle w:val="Reference"/>
      </w:pPr>
      <w:r>
        <w:t>1. Standring S, ed. Gray’s Anatomy: The Anatomical Basis of Clinical Practice. 42nd ed. Elsevier; 2020.</w:t>
      </w:r>
    </w:p>
    <w:p>
      <w:pPr>
        <w:pStyle w:val="Reference"/>
      </w:pPr>
      <w:r>
        <w:t>2. Kennedy PM, Inglis JT. Distribution and behaviour of glabrous cutaneous receptors in the human foot sole. J Physiol. 2002;538(Pt 3):995–1002. doi:10.1113/jphysiol.2001.013087.</w:t>
      </w:r>
    </w:p>
    <w:p>
      <w:pPr>
        <w:pStyle w:val="Reference"/>
      </w:pPr>
      <w:r>
        <w:t>3. Strzalkowski NDJ, Peters RM, Inglis JT, Bent LR. Cutaneous afferent innervation of the human foot sole: what can we learn from single-unit recordings? J Neurophysiol. 2018;120(3):1233–1246. doi:10.1152/jn.00848.2017.</w:t>
      </w:r>
    </w:p>
    <w:p>
      <w:pPr>
        <w:pStyle w:val="Reference"/>
      </w:pPr>
      <w:r>
        <w:t>4. de Souza Faleiros AT, de Lima Resende LA, Zanini MA, de Lima Castro HA, Colichio Gabarra R. L4-L5-S1 human dermatomes. Arq Neuropsiquiatr. 2009;67(2A):265–267. doi:10.1590/S0004-282X2009000200017.</w:t>
      </w:r>
    </w:p>
    <w:p>
      <w:pPr>
        <w:pStyle w:val="BibliographyHeading"/>
      </w:pPr>
      <w:r>
        <w:t>Tibial and saphenous neuromodulation</w:t>
      </w:r>
    </w:p>
    <w:p>
      <w:pPr>
        <w:pStyle w:val="Reference"/>
      </w:pPr>
      <w:r>
        <w:t>5. Peters KM, Carrico DJ, Perez-Marrero RA, et al. Randomized trial of percutaneous tibial nerve stimulation versus sham efficacy in the treatment of overactive bladder syndrome: results from the SUmiT trial. J Urol. 2010;183(4):1438–1443. doi:10.1016/j.juro.2009.12.036.</w:t>
      </w:r>
    </w:p>
    <w:p>
      <w:pPr>
        <w:pStyle w:val="Reference"/>
      </w:pPr>
      <w:r>
        <w:t>6. Yecies T, Li S, Zhang Y, et al. Spinal interneuronal mechanisms underlying pudendal and tibial neuromodulation of bladder function in cats. Exp Neurol. 2018;308:100–110. doi:10.1016/j.expneurol.2018.06.015.</w:t>
      </w:r>
    </w:p>
    <w:p>
      <w:pPr>
        <w:pStyle w:val="Reference"/>
      </w:pPr>
      <w:r>
        <w:t>7. Li X, Li X, Liao L. Mechanism of action of tibial nerve stimulation in the treatment of lower urinary tract dysfunction. Neuromodulation. 2024;27(2):256–266. doi:10.1016/j.neurom.2023.03.017.</w:t>
      </w:r>
    </w:p>
    <w:p>
      <w:pPr>
        <w:pStyle w:val="Reference"/>
      </w:pPr>
      <w:r>
        <w:t>8. Moazzam Z, Yoo PB. Frequency-dependent inhibition of bladder function by saphenous nerve stimulation in anesthetized rats. Neurourol Urodyn. 2018;37(2):592–599. doi:10.1002/nau.23323.</w:t>
      </w:r>
    </w:p>
    <w:p>
      <w:pPr>
        <w:pStyle w:val="Reference"/>
      </w:pPr>
      <w:r>
        <w:t>9. Franz KS, Yoo PB. Transecting the hypogastric nerve to uncover the bladder-inhibitory pathways involved with saphenous nerve stimulation in anesthetized rats. Auton Neurosci. 2020;226:102672. doi:10.1016/j.autneu.2020.102672.</w:t>
      </w:r>
    </w:p>
    <w:p>
      <w:pPr>
        <w:pStyle w:val="Reference"/>
      </w:pPr>
      <w:r>
        <w:t>10. MacDiarmid SA, John MS, Yoo PB. A pilot feasibility study of treating overactive bladder patients with percutaneous saphenous nerve stimulation. Neurourol Urodyn. 2018;37(5):1815–1820. doi:10.1002/nau.23531.</w:t>
      </w:r>
    </w:p>
    <w:p>
      <w:pPr>
        <w:pStyle w:val="BibliographyHeading"/>
      </w:pPr>
      <w:r>
        <w:t>Manual pressure and mechanical cutaneous stimulation</w:t>
      </w:r>
    </w:p>
    <w:p>
      <w:pPr>
        <w:pStyle w:val="Reference"/>
      </w:pPr>
      <w:r>
        <w:t>11. Carrazé A. Impact de la réflexologie plantaire sur l’incidence de l’iléus post-opératoire après chirurgie oncologique du rectum : essai contrôlé, randomisé. Thèse de médecine, Université de Bordeaux; 2023. dumas-04227201.</w:t>
      </w:r>
    </w:p>
    <w:p>
      <w:pPr>
        <w:pStyle w:val="Reference"/>
      </w:pPr>
      <w:r>
        <w:t>12. Hotta H, Watanabe N. Gentle mechanical skin stimulation inhibits micturition contractions via the spinal opioidergic system. PLoS ONE. 2015;10(8):e0135185. doi:10.1371/journal.pone.0135185.</w:t>
      </w:r>
    </w:p>
    <w:p>
      <w:pPr>
        <w:pStyle w:val="BibliographyHeading"/>
      </w:pPr>
      <w:r>
        <w:t>Pelvic functions and integrated networks</w:t>
      </w:r>
    </w:p>
    <w:p>
      <w:pPr>
        <w:pStyle w:val="Reference"/>
      </w:pPr>
      <w:r>
        <w:t>13. Fowler CJ, Griffiths D, de Groat WC. The neural control of micturition. Nat Rev Neurosci. 2008;9(6):453–466. doi:10.1038/nrn2401.</w:t>
      </w:r>
    </w:p>
    <w:p>
      <w:pPr>
        <w:pStyle w:val="Reference"/>
      </w:pPr>
      <w:r>
        <w:t>14. Brierley SM, Hibberd TJ, Spencer NJ. Spinal afferent innervation of the colon and rectum. Front Cell Neurosci. 2018;12:467. doi:10.3389/fncel.2018.00467.</w:t>
      </w:r>
    </w:p>
    <w:p>
      <w:pPr>
        <w:pStyle w:val="Reference"/>
      </w:pPr>
      <w:r>
        <w:t>15. Malykhina AP. Neural mechanisms of pelvic organ cross-sensitization. Neuroscience. 2007;149(3):660–672. doi:10.1016/j.neuroscience.2007.07.053.</w:t>
      </w:r>
    </w:p>
    <w:p>
      <w:pPr>
        <w:pStyle w:val="BibliographyHeading"/>
      </w:pPr>
      <w:r>
        <w:t>Somato-autonomic reflexes and the cephalic component</w:t>
      </w:r>
    </w:p>
    <w:p>
      <w:pPr>
        <w:pStyle w:val="Reference"/>
      </w:pPr>
      <w:r>
        <w:t>16. Sato A, Sato Y, Schmidt RF. The impact of somatosensory input on autonomic functions. Rev Physiol Biochem Pharmacol. 1997;130:1–328. doi:10.1007/BFb0046598.</w:t>
      </w:r>
    </w:p>
    <w:p>
      <w:pPr>
        <w:pStyle w:val="Reference"/>
      </w:pPr>
      <w:r>
        <w:t>17. Jänig W. Neurobiology of visceral afferent neurons. Biol Psychol. 1996;42(1–2):29–51. doi:10.1016/0301-0511(95)05145-7.</w:t>
      </w:r>
    </w:p>
    <w:p>
      <w:pPr>
        <w:pStyle w:val="Reference"/>
      </w:pPr>
      <w:r>
        <w:t>18. Ohsawa H, Yamaguchi S, Ishimaru H, Shimura M, Sato Y. Neural mechanism of pupillary dilation elicited by electro-acupuncture stimulation in anesthetized rats. J Auton Nerv Syst. 1997;64(2–3):101–106. doi:10.1016/S0165-1838(97)00023-4.</w:t>
      </w:r>
    </w:p>
    <w:sectPr w:rsidR="00266F21" w:rsidSect="00034616">
      <w:headerReference w:type="default" r:id="rId13"/>
      <w:footerReference w:type="default" r:id="rId14"/>
      <w:pgSz w:w="11906" w:h="16838"/>
      <w:pgMar w:top="1020" w:right="1077" w:bottom="1020" w:left="107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0BDA3" w14:textId="77777777" w:rsidR="00E47BB8" w:rsidRDefault="00E47BB8">
      <w:pPr>
        <w:spacing w:after="0" w:line="240" w:lineRule="auto"/>
      </w:pPr>
      <w:r>
        <w:separator/>
      </w:r>
    </w:p>
  </w:endnote>
  <w:endnote w:type="continuationSeparator" w:id="0">
    <w:p w14:paraId="57CCAACB" w14:textId="77777777" w:rsidR="00E47BB8" w:rsidRDefault="00E47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895F8" w14:textId="77777777" w:rsidR="00266F21" w:rsidRDefault="00000000">
    <w:pPr>
      <w:pStyle w:val="Footer"/>
      <w:jc w:val="center"/>
    </w:pPr>
    <w:r>
      <w:rPr>
        <w:rFonts w:ascii="Aptos" w:hAnsi="Aptos"/>
        <w:color w:val="6A7277"/>
        <w:sz w:val="16"/>
      </w:rPr>
      <w:t>Chapter 0 — Introduction | Occipito-Podal Reflexotherapy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A111D" w14:textId="77777777" w:rsidR="00E47BB8" w:rsidRDefault="00E47BB8">
      <w:pPr>
        <w:spacing w:after="0" w:line="240" w:lineRule="auto"/>
      </w:pPr>
      <w:r>
        <w:separator/>
      </w:r>
    </w:p>
  </w:footnote>
  <w:footnote w:type="continuationSeparator" w:id="0">
    <w:p w14:paraId="3FA2F17C" w14:textId="77777777" w:rsidR="00E47BB8" w:rsidRDefault="00E47B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04B" w14:textId="77777777" w:rsidR="00600BC7" w:rsidRDefault="00600B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6266349">
    <w:abstractNumId w:val="8"/>
  </w:num>
  <w:num w:numId="2" w16cid:durableId="1005324538">
    <w:abstractNumId w:val="6"/>
  </w:num>
  <w:num w:numId="3" w16cid:durableId="170294449">
    <w:abstractNumId w:val="5"/>
  </w:num>
  <w:num w:numId="4" w16cid:durableId="864488663">
    <w:abstractNumId w:val="4"/>
  </w:num>
  <w:num w:numId="5" w16cid:durableId="1418597594">
    <w:abstractNumId w:val="7"/>
  </w:num>
  <w:num w:numId="6" w16cid:durableId="406803744">
    <w:abstractNumId w:val="3"/>
  </w:num>
  <w:num w:numId="7" w16cid:durableId="1362167474">
    <w:abstractNumId w:val="2"/>
  </w:num>
  <w:num w:numId="8" w16cid:durableId="1080295788">
    <w:abstractNumId w:val="1"/>
  </w:num>
  <w:num w:numId="9" w16cid:durableId="1003439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BCE"/>
    <w:rsid w:val="00096473"/>
    <w:rsid w:val="0015074B"/>
    <w:rsid w:val="001F40A8"/>
    <w:rsid w:val="00266F21"/>
    <w:rsid w:val="0029639D"/>
    <w:rsid w:val="00326F90"/>
    <w:rsid w:val="00364683"/>
    <w:rsid w:val="005219F4"/>
    <w:rsid w:val="00523825"/>
    <w:rsid w:val="00600BC7"/>
    <w:rsid w:val="00680E32"/>
    <w:rsid w:val="006C695B"/>
    <w:rsid w:val="00757D1A"/>
    <w:rsid w:val="00844318"/>
    <w:rsid w:val="008E21AA"/>
    <w:rsid w:val="009251F8"/>
    <w:rsid w:val="0095553C"/>
    <w:rsid w:val="00AA1D8D"/>
    <w:rsid w:val="00B47730"/>
    <w:rsid w:val="00C42E25"/>
    <w:rsid w:val="00C74875"/>
    <w:rsid w:val="00C800D0"/>
    <w:rsid w:val="00CB0664"/>
    <w:rsid w:val="00E47BB8"/>
    <w:rsid w:val="00F16501"/>
    <w:rsid w:val="00F278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117612"/>
  <w14:defaultImageDpi w14:val="300"/>
  <w15:docId w15:val="{8F7EA389-6160-44E2-BF29-59DB118F2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spacing w:after="100" w:line="259" w:lineRule="auto"/>
      <w:jc w:val="both"/>
    </w:pPr>
    <w:rPr>
      <w:rFonts w:ascii="Aptos" w:hAnsi="Aptos"/>
      <w:color w:val="23313A"/>
      <w:sz w:val="21"/>
    </w:rPr>
  </w:style>
  <w:style w:type="paragraph" w:styleId="Heading1">
    <w:name w:val="heading 1"/>
    <w:basedOn w:val="Normal"/>
    <w:next w:val="Normal"/>
    <w:link w:val="Heading1Char"/>
    <w:uiPriority w:val="9"/>
    <w:qFormat/>
    <w:rsid w:val="00FC693F"/>
    <w:pPr>
      <w:keepNext/>
      <w:keepLines/>
      <w:widowControl/>
      <w:spacing w:before="260" w:after="80"/>
      <w:outlineLvl w:val="0"/>
    </w:pPr>
    <w:rPr>
      <w:rFonts w:asciiTheme="majorHAnsi" w:eastAsiaTheme="majorEastAsia" w:hAnsiTheme="majorHAnsi" w:cstheme="majorBidi" w:ascii="Aptos Display" w:hAnsi="Aptos Display"/>
      <w:b/>
      <w:bCs/>
      <w:color w:val="B1842C"/>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B1842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D5A6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23313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50" w:line="252" w:lineRule="auto"/>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Subtitle">
    <w:name w:val="Chapter Subtitle"/>
    <w:pPr>
      <w:keepNext/>
      <w:spacing w:after="160"/>
    </w:pPr>
    <w:rPr>
      <w:rFonts w:ascii="Aptos" w:hAnsi="Aptos"/>
      <w:b/>
      <w:color w:val="4C565C"/>
      <w:sz w:val="23"/>
    </w:rPr>
  </w:style>
  <w:style w:type="paragraph" w:customStyle="1" w:styleId="BibliographyHeading">
    <w:name w:val="Bibliography Heading"/>
    <w:pPr>
      <w:keepNext/>
      <w:spacing w:before="140" w:after="40"/>
    </w:pPr>
    <w:rPr>
      <w:rFonts w:ascii="Aptos" w:hAnsi="Aptos"/>
      <w:b/>
      <w:color w:val="4C565C"/>
      <w:sz w:val="21"/>
    </w:rPr>
  </w:style>
  <w:style w:type="paragraph" w:customStyle="1" w:styleId="Reference">
    <w:name w:val="Reference"/>
    <w:pPr>
      <w:widowControl/>
      <w:spacing w:after="50" w:line="247" w:lineRule="auto"/>
      <w:ind w:left="312" w:hanging="312"/>
    </w:pPr>
    <w:rPr>
      <w:rFonts w:ascii="Aptos" w:hAnsi="Aptos"/>
      <w:color w:val="23313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12</Pages>
  <Words>3840</Words>
  <Characters>21894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0 — Introduction | Occipito-Podal Reflexotherapy</dc:title>
  <dc:subject>English publication-ready version aligned with the current French master</dc:subject>
  <dc:creator>ROP Institute</dc:creator>
  <cp:keywords>ROP, Occipito-Podal Reflexotherapy, Chapter 0, Introduction</cp:keywords>
  <dc:description>generated by python-docx</dc:description>
  <cp:lastModifiedBy>Nicolas Boitout</cp:lastModifiedBy>
  <cp:revision>9</cp:revision>
  <dcterms:created xsi:type="dcterms:W3CDTF">2013-12-23T23:15:00Z</dcterms:created>
  <dcterms:modified xsi:type="dcterms:W3CDTF">2026-08-14T13:42:00Z</dcterms:modified>
  <cp:category/>
</cp:coreProperties>
</file>