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eastAsia="Aptos"/>
        </w:rPr>
        <w:t>Introduzione</w:t>
      </w:r>
    </w:p>
    <w:p>
      <w:r>
        <w:rPr>
          <w:rFonts w:ascii="Aptos" w:hAnsi="Aptos" w:eastAsia="Aptos"/>
        </w:rPr>
        <w:t>Questo terzo volume sulla Réflexothérapie Occipito-Podale (ROP) rappresenta la naturale prosecuzione dei due volumi precedenti. Dopo il sistema osteomuscoloarticolare nel Volume 1 e il sistema neuromeningeo nel Volume 2, affrontiamo ora l’ambito dei visceri addominopelvici, del sistema nervoso autonomo e dei meccanismi dello stress.</w:t>
      </w:r>
    </w:p>
    <w:p>
      <w:r>
        <w:rPr>
          <w:rFonts w:ascii="Aptos" w:hAnsi="Aptos" w:eastAsia="Aptos"/>
        </w:rPr>
        <w:t>L’obiettivo rimane lo stesso: proporre una cartografia coerente, allineata con l’anatomia e la fisiologia, concepita in modo tridimensionale, con il corpo rappresentato come un lattante in posizione fetale nel piede e articolata con le zone riflesse occipitali. Insieme, le zone riflesse occipitali e plantari costituiscono le zone riflesse ROP.</w:t>
      </w:r>
    </w:p>
    <w:p>
      <w:pPr>
        <w:pStyle w:val="Heading2"/>
      </w:pPr>
      <w:r>
        <w:rPr>
          <w:rFonts w:ascii="Aptos" w:hAnsi="Aptos" w:eastAsia="Aptos"/>
        </w:rPr>
        <w:t>In sintesi: cosa offre questo libro</w:t>
      </w:r>
    </w:p>
    <w:p>
      <w:pPr>
        <w:pStyle w:val="ListBullet"/>
        <w:spacing w:after="80"/>
        <w:ind w:left="360" w:hanging="360"/>
      </w:pPr>
      <w:r>
        <w:rPr>
          <w:rFonts w:ascii="Aptos" w:hAnsi="Aptos" w:eastAsia="Aptos"/>
        </w:rPr>
        <w:t>Una chiara interpretazione delle relazioni viscerosomatiche: come una disfunzione viscerale possa influire sull’apparato locomotore e come i disturbi locomotori possano, a loro volta, influenzare la funzione viscerale.</w:t>
      </w:r>
    </w:p>
    <w:p>
      <w:pPr>
        <w:pStyle w:val="ListBullet"/>
        <w:spacing w:after="80"/>
        <w:ind w:left="360" w:hanging="360"/>
      </w:pPr>
      <w:r>
        <w:rPr>
          <w:rFonts w:ascii="Aptos" w:hAnsi="Aptos" w:eastAsia="Aptos"/>
        </w:rPr>
        <w:t>Punti di repere clinici e una logica palpatoria per localizzare le zone riflesse ROP sulla pianta dei piedi, nonostante la limitata disponibilità di punti di repere ossei sulla superficie plantare.</w:t>
      </w:r>
    </w:p>
    <w:p>
      <w:pPr>
        <w:pStyle w:val="ListBullet"/>
        <w:spacing w:after="80"/>
        <w:ind w:left="360" w:hanging="360"/>
      </w:pPr>
      <w:r>
        <w:rPr>
          <w:rFonts w:ascii="Aptos" w:hAnsi="Aptos" w:eastAsia="Aptos"/>
        </w:rPr>
        <w:t>Cartografie adattate in funzione di punti di repere anatomici fondamentali, incluso il diaframma, e interpretate in relazione all’anamnesi del paziente, nonché ai referti medici e chirurgici.</w:t>
      </w:r>
    </w:p>
    <w:p>
      <w:pPr>
        <w:pStyle w:val="ListBullet"/>
        <w:spacing w:after="80"/>
        <w:ind w:left="360" w:hanging="360"/>
      </w:pPr>
      <w:r>
        <w:rPr>
          <w:rFonts w:ascii="Aptos" w:hAnsi="Aptos" w:eastAsia="Aptos"/>
        </w:rPr>
        <w:t>Un approccio globale concepito per interrompere i circuiti riflessi patologici — neurologici, viscerali, somatici ed emotivi —, stimolare le capacità intrinseche di regolazione dell’organismo e sostenere la vitalità.</w:t>
      </w:r>
    </w:p>
    <w:p>
      <w:pPr>
        <w:pStyle w:val="Heading2"/>
      </w:pPr>
      <w:r>
        <w:rPr>
          <w:rFonts w:ascii="Aptos" w:hAnsi="Aptos" w:eastAsia="Aptos"/>
        </w:rPr>
        <w:t>Perché il sistema viscerale è essenziale</w:t>
      </w:r>
    </w:p>
    <w:p>
      <w:r>
        <w:rPr>
          <w:rFonts w:ascii="Aptos" w:hAnsi="Aptos" w:eastAsia="Aptos"/>
        </w:rPr>
        <w:t>Il sistema viscerale è responsabile delle funzioni logistiche fondamentali dell’organismo: nutrizione, eliminazione e omeostasi interna. In questo contesto, numerose sindromi dolorose muscoloscheletriche possono insorgere come conseguenza di una disfunzione viscerale — e viceversa. Trattare un sistema ignorando l’altro conduce spesso a risultati incompleti.</w:t>
      </w:r>
    </w:p>
    <w:p>
      <w:pPr>
        <w:pStyle w:val="Heading2"/>
      </w:pPr>
      <w:r>
        <w:rPr>
          <w:rFonts w:ascii="Aptos" w:hAnsi="Aptos" w:eastAsia="Aptos"/>
        </w:rPr>
        <w:t>La nostra posizione: rigore anatomico e pragmatismo clinico</w:t>
      </w:r>
    </w:p>
    <w:p>
      <w:r>
        <w:rPr>
          <w:rFonts w:ascii="Aptos" w:hAnsi="Aptos" w:eastAsia="Aptos"/>
        </w:rPr>
        <w:t>Come in qualsiasi approccio terapeutico manuale, talvolta osserviamo risultati che non possono essere pienamente oggettivati. L’osservazione clinica non possiede il rigore metodologico di un protocollo di laboratorio, ma conserva il proprio valore quando viene condotta in modo sistematico. Per questo motivo, il presente libro privilegia:</w:t>
      </w:r>
    </w:p>
    <w:p>
      <w:pPr>
        <w:pStyle w:val="ListNumber"/>
        <w:spacing w:after="80"/>
      </w:pPr>
      <w:r>
        <w:rPr>
          <w:rFonts w:ascii="Aptos" w:hAnsi="Aptos" w:eastAsia="Aptos"/>
        </w:rPr>
        <w:t>la coerenza anatomica;</w:t>
      </w:r>
    </w:p>
    <w:p>
      <w:pPr>
        <w:pStyle w:val="ListNumber"/>
        <w:spacing w:after="80"/>
      </w:pPr>
      <w:r>
        <w:rPr>
          <w:rFonts w:ascii="Aptos" w:hAnsi="Aptos" w:eastAsia="Aptos"/>
        </w:rPr>
        <w:t>la riproducibilità dei punti di repere;</w:t>
      </w:r>
    </w:p>
    <w:p>
      <w:pPr>
        <w:pStyle w:val="ListNumber"/>
        <w:spacing w:after="80"/>
      </w:pPr>
      <w:r>
        <w:rPr>
          <w:rFonts w:ascii="Aptos" w:hAnsi="Aptos" w:eastAsia="Aptos"/>
        </w:rPr>
        <w:t>la correlazione con la realtà clinica, includendo anamnesi del paziente, reperti di imaging e osservazioni chirurgiche.</w:t>
      </w:r>
    </w:p>
    <w:p>
      <w:r>
        <w:rPr>
          <w:rFonts w:ascii="Aptos" w:hAnsi="Aptos" w:eastAsia="Aptos"/>
        </w:rPr>
        <w:t>Due aspetti meritano particolare attenzione:</w:t>
      </w:r>
    </w:p>
    <w:p>
      <w:pPr>
        <w:spacing w:after="80"/>
        <w:ind w:left="461" w:hanging="461"/>
      </w:pPr>
      <w:r>
        <w:rPr>
          <w:rFonts w:ascii="Aptos" w:hAnsi="Aptos" w:eastAsia="Aptos"/>
        </w:rPr>
        <w:t>1.</w:t>
        <w:tab/>
        <w:t>Il diaframma: le due cupole diaframmatiche non si trovano alla stessa altezza. Ignorare questa asimmetria rende imprecisa qualsiasi cartografia, sia per il diaframma stesso sia per i visceri a esso collegati.</w:t>
      </w:r>
    </w:p>
    <w:p>
      <w:pPr>
        <w:spacing w:after="80"/>
        <w:ind w:left="461" w:hanging="461"/>
      </w:pPr>
      <w:r>
        <w:rPr>
          <w:rFonts w:ascii="Aptos" w:hAnsi="Aptos" w:eastAsia="Aptos"/>
        </w:rPr>
        <w:t>2.</w:t>
        <w:tab/>
        <w:t>Il peritoneo: costituisce un’interfaccia fondamentale tra i visceri e le pareti corporee, dotata di un significativo potenziale riflessogeno, capace di trasmettere tensioni e disfunzioni in entrambe le direzioni.</w:t>
      </w:r>
    </w:p>
    <w:p>
      <w:pPr>
        <w:pStyle w:val="Heading2"/>
      </w:pPr>
      <w:r>
        <w:rPr>
          <w:rFonts w:ascii="Aptos" w:hAnsi="Aptos" w:eastAsia="Aptos"/>
        </w:rPr>
        <w:t>Terminologia</w:t>
      </w:r>
    </w:p>
    <w:p>
      <w:r>
        <w:rPr>
          <w:rFonts w:ascii="Aptos" w:hAnsi="Aptos" w:eastAsia="Aptos"/>
        </w:rPr>
        <w:t>Per ragioni di chiarezza, utilizzeremo la seguente terminologia:</w:t>
      </w:r>
    </w:p>
    <w:p>
      <w:pPr>
        <w:pStyle w:val="ListBullet"/>
        <w:spacing w:after="80"/>
        <w:ind w:left="360" w:hanging="360"/>
      </w:pPr>
      <w:r>
        <w:rPr>
          <w:rFonts w:ascii="Aptos" w:hAnsi="Aptos" w:eastAsia="Aptos"/>
        </w:rPr>
        <w:t>dorsale, anziché “posteriore”;</w:t>
      </w:r>
    </w:p>
    <w:p>
      <w:pPr>
        <w:pStyle w:val="ListBullet"/>
        <w:spacing w:after="80"/>
        <w:ind w:left="360" w:hanging="360"/>
      </w:pPr>
      <w:r>
        <w:rPr>
          <w:rFonts w:ascii="Aptos" w:hAnsi="Aptos" w:eastAsia="Aptos"/>
        </w:rPr>
        <w:t>ventrale, anziché “anteriore”;</w:t>
      </w:r>
    </w:p>
    <w:p>
      <w:pPr>
        <w:pStyle w:val="ListBullet"/>
        <w:spacing w:after="80"/>
        <w:ind w:left="360" w:hanging="360"/>
      </w:pPr>
      <w:r>
        <w:rPr>
          <w:rFonts w:ascii="Aptos" w:hAnsi="Aptos" w:eastAsia="Aptos"/>
        </w:rPr>
        <w:t>laterale, anziché “esterno”;</w:t>
      </w:r>
    </w:p>
    <w:p>
      <w:pPr>
        <w:pStyle w:val="ListBullet"/>
        <w:spacing w:after="80"/>
        <w:ind w:left="360" w:hanging="360"/>
      </w:pPr>
      <w:r>
        <w:rPr>
          <w:rFonts w:ascii="Aptos" w:hAnsi="Aptos" w:eastAsia="Aptos"/>
        </w:rPr>
        <w:t>mediale, anziché “interno”;</w:t>
      </w:r>
    </w:p>
    <w:p>
      <w:pPr>
        <w:pStyle w:val="ListBullet"/>
        <w:spacing w:after="80"/>
        <w:ind w:left="360" w:hanging="360"/>
      </w:pPr>
      <w:r>
        <w:rPr>
          <w:rFonts w:ascii="Aptos" w:hAnsi="Aptos" w:eastAsia="Aptos"/>
        </w:rPr>
        <w:t>craniale, anziché “verso l’alto”;</w:t>
      </w:r>
    </w:p>
    <w:p>
      <w:pPr>
        <w:pStyle w:val="ListBullet"/>
        <w:spacing w:after="80"/>
        <w:ind w:left="360" w:hanging="360"/>
      </w:pPr>
      <w:r>
        <w:rPr>
          <w:rFonts w:ascii="Aptos" w:hAnsi="Aptos" w:eastAsia="Aptos"/>
        </w:rPr>
        <w:t>caudale, anziché “verso il basso”;</w:t>
      </w:r>
    </w:p>
    <w:p>
      <w:pPr>
        <w:pStyle w:val="ListBullet"/>
        <w:spacing w:after="80"/>
        <w:ind w:left="360" w:hanging="360"/>
      </w:pPr>
      <w:r>
        <w:rPr>
          <w:rFonts w:ascii="Aptos" w:hAnsi="Aptos" w:eastAsia="Aptos"/>
        </w:rPr>
        <w:t>frontale, anziché “trasversale”;</w:t>
      </w:r>
    </w:p>
    <w:p>
      <w:pPr>
        <w:pStyle w:val="ListBullet"/>
        <w:spacing w:after="80"/>
        <w:ind w:left="360" w:hanging="360"/>
      </w:pPr>
      <w:r>
        <w:rPr>
          <w:rFonts w:ascii="Aptos" w:hAnsi="Aptos" w:eastAsia="Aptos"/>
        </w:rPr>
        <w:t>sagittale, anziché “anteroposteriore”.</w:t>
      </w:r>
    </w:p>
    <w:p>
      <w:pPr>
        <w:pStyle w:val="Heading2"/>
      </w:pPr>
      <w:r>
        <w:rPr>
          <w:rFonts w:ascii="Aptos" w:hAnsi="Aptos" w:eastAsia="Aptos"/>
        </w:rPr>
        <w:t>Struttura standard dei capitoli</w:t>
      </w:r>
    </w:p>
    <w:p>
      <w:r>
        <w:rPr>
          <w:rFonts w:ascii="Aptos" w:hAnsi="Aptos" w:eastAsia="Aptos"/>
        </w:rPr>
        <w:t>Ogni capitolo dedicato a un viscere segue una struttura comune:</w:t>
      </w:r>
    </w:p>
    <w:p>
      <w:pPr>
        <w:pStyle w:val="ListBullet"/>
        <w:spacing w:after="80"/>
        <w:ind w:left="360" w:hanging="360"/>
      </w:pPr>
      <w:r>
        <w:rPr>
          <w:rFonts w:ascii="Aptos" w:hAnsi="Aptos" w:eastAsia="Aptos"/>
        </w:rPr>
        <w:t>Presentazione.</w:t>
      </w:r>
    </w:p>
    <w:p>
      <w:pPr>
        <w:pStyle w:val="ListBullet"/>
        <w:spacing w:after="80"/>
        <w:ind w:left="360" w:hanging="360"/>
      </w:pPr>
      <w:r>
        <w:rPr>
          <w:rFonts w:ascii="Aptos" w:hAnsi="Aptos" w:eastAsia="Aptos"/>
        </w:rPr>
        <w:t>Localizzazione.</w:t>
      </w:r>
    </w:p>
    <w:p>
      <w:pPr>
        <w:pStyle w:val="ListBullet"/>
        <w:spacing w:after="80"/>
        <w:ind w:left="360" w:hanging="360"/>
      </w:pPr>
      <w:r>
        <w:rPr>
          <w:rFonts w:ascii="Aptos" w:hAnsi="Aptos" w:eastAsia="Aptos"/>
        </w:rPr>
        <w:t>Anatomia.</w:t>
      </w:r>
    </w:p>
    <w:p>
      <w:pPr>
        <w:pStyle w:val="ListBullet"/>
        <w:spacing w:after="80"/>
        <w:ind w:left="360" w:hanging="360"/>
      </w:pPr>
      <w:r>
        <w:rPr>
          <w:rFonts w:ascii="Aptos" w:hAnsi="Aptos" w:eastAsia="Aptos"/>
        </w:rPr>
        <w:t>Rapporti anatomici.</w:t>
      </w:r>
    </w:p>
    <w:p>
      <w:pPr>
        <w:pStyle w:val="ListBullet"/>
        <w:spacing w:after="80"/>
        <w:ind w:left="360" w:hanging="360"/>
      </w:pPr>
      <w:r>
        <w:rPr>
          <w:rFonts w:ascii="Aptos" w:hAnsi="Aptos" w:eastAsia="Aptos"/>
        </w:rPr>
        <w:t>Vascolarizzazione.</w:t>
      </w:r>
    </w:p>
    <w:p>
      <w:pPr>
        <w:pStyle w:val="ListBullet"/>
        <w:spacing w:after="80"/>
        <w:ind w:left="360" w:hanging="360"/>
      </w:pPr>
      <w:r>
        <w:rPr>
          <w:rFonts w:ascii="Aptos" w:hAnsi="Aptos" w:eastAsia="Aptos"/>
        </w:rPr>
        <w:t>Innervazione.</w:t>
      </w:r>
    </w:p>
    <w:p>
      <w:pPr>
        <w:pStyle w:val="ListBullet"/>
        <w:spacing w:after="80"/>
        <w:ind w:left="360" w:hanging="360"/>
      </w:pPr>
      <w:r>
        <w:rPr>
          <w:rFonts w:ascii="Aptos" w:hAnsi="Aptos" w:eastAsia="Aptos"/>
        </w:rPr>
        <w:t>Fisiologia.</w:t>
      </w:r>
    </w:p>
    <w:p>
      <w:pPr>
        <w:pStyle w:val="ListBullet"/>
        <w:spacing w:after="80"/>
        <w:ind w:left="360" w:hanging="360"/>
      </w:pPr>
      <w:r>
        <w:rPr>
          <w:rFonts w:ascii="Aptos" w:hAnsi="Aptos" w:eastAsia="Aptos"/>
        </w:rPr>
        <w:t>Patologie frequenti — diagnosi differenziale e di esclusione; indicazioni nei disturbi funzionali.</w:t>
      </w:r>
    </w:p>
    <w:p>
      <w:pPr>
        <w:pStyle w:val="ListBullet"/>
        <w:spacing w:after="80"/>
        <w:ind w:left="360" w:hanging="360"/>
      </w:pPr>
      <w:r>
        <w:rPr>
          <w:rFonts w:ascii="Aptos" w:hAnsi="Aptos" w:eastAsia="Aptos"/>
        </w:rPr>
        <w:t>Zone riflesse ROP — cartografia plantare (sindrome generale; sindrome locoregionale).</w:t>
      </w:r>
    </w:p>
    <w:p>
      <w:pPr>
        <w:pStyle w:val="ListBullet"/>
        <w:spacing w:after="80"/>
        <w:ind w:left="360" w:hanging="360"/>
      </w:pPr>
      <w:r>
        <w:rPr>
          <w:rFonts w:ascii="Aptos" w:hAnsi="Aptos" w:eastAsia="Aptos"/>
        </w:rPr>
        <w:t>Relazioni viscerosomatiche.</w:t>
      </w:r>
    </w:p>
    <w:p>
      <w:pPr>
        <w:pStyle w:val="ListBullet"/>
        <w:spacing w:after="80"/>
        <w:ind w:left="360" w:hanging="360"/>
      </w:pPr>
      <w:r>
        <w:rPr>
          <w:rFonts w:ascii="Aptos" w:hAnsi="Aptos" w:eastAsia="Aptos"/>
        </w:rPr>
        <w:t>Relazioni visceroemozionali.</w:t>
      </w:r>
    </w:p>
    <w:p>
      <w:pPr>
        <w:pStyle w:val="ListBullet"/>
        <w:spacing w:after="80"/>
        <w:ind w:left="360" w:hanging="360"/>
      </w:pPr>
      <w:r>
        <w:rPr>
          <w:rFonts w:ascii="Aptos" w:hAnsi="Aptos" w:eastAsia="Aptos"/>
        </w:rPr>
        <w:t>Raccomandazioni.</w:t>
      </w:r>
    </w:p>
    <w:sectPr w:rsidR="00FC693F" w:rsidRPr="0006063C" w:rsidSect="00034616">
      <w:headerReference w:type="default" r:id="rId9"/>
      <w:footerReference w:type="default" r:id="rId10"/>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sz w:val="16"/>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eastAsia="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Introduzione - Traduzione italiana ROP rivista</dc:title>
  <dc:subject>Revisione fluency 9/9.5</dc:subject>
  <dc:creator/>
  <cp:keywords/>
  <dc:description/>
  <cp:lastModifiedBy/>
  <cp:revision>1</cp:revision>
  <dcterms:created xsi:type="dcterms:W3CDTF">2013-12-23T23:15:00Z</dcterms:created>
  <dcterms:modified xsi:type="dcterms:W3CDTF">2013-12-23T23:15:00Z</dcterms:modified>
  <cp:category/>
</cp:coreProperties>
</file>