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1F943" w14:textId="77777777" w:rsidR="00F52D08" w:rsidRDefault="00F52D08">
      <w:pPr>
        <w:pStyle w:val="Title"/>
        <w:jc w:val="center"/>
      </w:pPr>
    </w:p>
    <w:p w14:paraId="445467CA" w14:textId="77777777" w:rsidR="00F52D08" w:rsidRDefault="00000000">
      <w:pPr>
        <w:pStyle w:val="Title"/>
        <w:jc w:val="center"/>
      </w:pPr>
      <w:r>
        <w:rPr>
          <w:rFonts w:ascii="Times New Roman" w:hAnsi="Times New Roman"/>
          <w:sz w:val="44"/>
          <w:lang w:val="en-US" w:eastAsia="en-US"/>
        </w:rPr>
        <w:t>Chapter 17 — Pelvic Cavity</w:t>
      </w:r>
    </w:p>
    <w:p w14:paraId="751E9229" w14:textId="77777777" w:rsidR="00F52D08" w:rsidRDefault="00000000">
      <w:pPr>
        <w:pStyle w:val="Heading1"/>
      </w:pPr>
      <w:r>
        <w:rPr>
          <w:rFonts w:ascii="Times New Roman" w:hAnsi="Times New Roman"/>
          <w:sz w:val="32"/>
          <w:lang w:val="en-US" w:eastAsia="en-US"/>
        </w:rPr>
        <w:t>1. Overview</w:t>
      </w:r>
    </w:p>
    <w:p w14:paraId="30DA30AC" w14:textId="77777777" w:rsidR="00F52D08" w:rsidRDefault="00000000">
      <w:pPr>
        <w:jc w:val="both"/>
        <w:rPr>
          <w:rFonts w:ascii="Times New Roman" w:hAnsi="Times New Roman" w:cs="Times New Roman"/>
          <w:sz w:val="24"/>
          <w:szCs w:val="24"/>
        </w:rPr>
      </w:pPr>
      <w:r>
        <w:rPr>
          <w:rFonts w:ascii="Times New Roman" w:hAnsi="Times New Roman" w:cs="Times New Roman"/>
          <w:sz w:val="22"/>
          <w:szCs w:val="24"/>
          <w:lang w:val="en-US" w:eastAsia="en-US"/>
        </w:rPr>
        <w:t>In addition to the rectum, the pelvic cavity contains the genital and urinary systems. Although these are separate medical specialties, they are closely linked functionally. For example, malposition of the uterus may affect the bladder.</w:t>
      </w:r>
    </w:p>
    <w:p w14:paraId="3D8A010A" w14:textId="77777777" w:rsidR="00F52D08" w:rsidRDefault="00000000">
      <w:pPr>
        <w:pStyle w:val="Heading1"/>
      </w:pPr>
      <w:r>
        <w:rPr>
          <w:rFonts w:ascii="Times New Roman" w:hAnsi="Times New Roman"/>
          <w:sz w:val="32"/>
          <w:lang w:val="en-US" w:eastAsia="en-US"/>
        </w:rPr>
        <w:t>2. Location</w:t>
      </w:r>
    </w:p>
    <w:p w14:paraId="7256AC34" w14:textId="77777777" w:rsidR="00F52D08" w:rsidRDefault="00000000">
      <w:pPr>
        <w:jc w:val="both"/>
        <w:rPr>
          <w:rFonts w:ascii="Times New Roman" w:hAnsi="Times New Roman" w:cs="Times New Roman"/>
          <w:sz w:val="24"/>
          <w:szCs w:val="24"/>
        </w:rPr>
      </w:pPr>
      <w:r>
        <w:rPr>
          <w:rFonts w:ascii="Times New Roman" w:hAnsi="Times New Roman" w:cs="Times New Roman"/>
          <w:sz w:val="22"/>
          <w:szCs w:val="24"/>
          <w:lang w:val="en-US" w:eastAsia="en-US"/>
        </w:rPr>
        <w:t>The pelvic cavity is the part of the pelvis bounded by:</w:t>
      </w:r>
    </w:p>
    <w:p w14:paraId="0219435A" w14:textId="4BB1423B"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cs="Times New Roman"/>
          <w:b/>
          <w:sz w:val="22"/>
          <w:szCs w:val="24"/>
          <w:lang w:val="en-US" w:eastAsia="en-US"/>
        </w:rPr>
        <w:t>Superior boundary: the superior pelvic aperture (pelvic inlet);</w:t>
      </w:r>
      <w:r>
        <w:rPr>
          <w:rFonts w:ascii="Times New Roman" w:hAnsi="Times New Roman" w:cs="Times New Roman"/>
          <w:sz w:val="22"/>
          <w:szCs w:val="24"/>
          <w:lang w:val="en-US" w:eastAsia="en-US"/>
        </w:rPr>
      </w:r>
    </w:p>
    <w:p w14:paraId="1E397BEF" w14:textId="00C64263"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cs="Times New Roman"/>
          <w:b/>
          <w:sz w:val="22"/>
          <w:szCs w:val="24"/>
          <w:lang w:val="en-US" w:eastAsia="en-US"/>
        </w:rPr>
        <w:t>Inferior boundary: the inferior pelvic aperture (pelvic outlet), which is closed by the perineum.</w:t>
      </w:r>
      <w:r>
        <w:rPr>
          <w:rFonts w:ascii="Times New Roman" w:hAnsi="Times New Roman" w:cs="Times New Roman"/>
          <w:sz w:val="22"/>
          <w:szCs w:val="24"/>
          <w:lang w:val="en-US" w:eastAsia="en-US"/>
        </w:rPr>
      </w:r>
      <w:r w:rsidR="00841B79">
        <w:rPr>
          <w:rFonts w:ascii="Times New Roman" w:hAnsi="Times New Roman" w:cs="Times New Roman"/>
          <w:sz w:val="22"/>
          <w:szCs w:val="24"/>
          <w:lang w:val="en-US" w:eastAsia="en-US"/>
        </w:rPr>
      </w:r>
      <w:r>
        <w:rPr>
          <w:rFonts w:ascii="Times New Roman" w:hAnsi="Times New Roman" w:cs="Times New Roman"/>
          <w:sz w:val="22"/>
          <w:szCs w:val="24"/>
          <w:lang w:val="en-US" w:eastAsia="en-US"/>
        </w:rPr>
      </w:r>
    </w:p>
    <w:p w14:paraId="1E54480F" w14:textId="77777777" w:rsidR="00F52D08" w:rsidRDefault="00000000">
      <w:pPr>
        <w:spacing w:after="40"/>
        <w:ind w:left="360"/>
        <w:jc w:val="both"/>
        <w:rPr>
          <w:rFonts w:ascii="Times New Roman" w:hAnsi="Times New Roman" w:cs="Times New Roman"/>
          <w:sz w:val="24"/>
          <w:szCs w:val="24"/>
        </w:rPr>
      </w:pPr>
      <w:r>
        <w:rPr>
          <w:rFonts w:ascii="Times New Roman" w:hAnsi="Times New Roman" w:cs="Times New Roman"/>
          <w:sz w:val="22"/>
          <w:szCs w:val="24"/>
          <w:lang w:val="en-US" w:eastAsia="en-US"/>
        </w:rPr>
        <w:t>It occupies the space between the inferior portions of the hip bones, the sacrum, and the coccyx.</w:t>
      </w:r>
    </w:p>
    <w:p w14:paraId="225D35D4" w14:textId="77777777" w:rsidR="00F52D08" w:rsidRDefault="00000000">
      <w:pPr>
        <w:pStyle w:val="Heading2"/>
        <w:ind w:left="1004"/>
        <w:rPr>
          <w:rFonts w:ascii="Times New Roman" w:hAnsi="Times New Roman" w:cs="Times New Roman"/>
          <w:sz w:val="24"/>
          <w:szCs w:val="24"/>
        </w:rPr>
      </w:pPr>
      <w:r>
        <w:rPr>
          <w:rFonts w:ascii="Times New Roman" w:hAnsi="Times New Roman"/>
          <w:sz w:val="26"/>
          <w:lang w:val="en-US" w:eastAsia="en-US"/>
        </w:rPr>
        <w:t>2.1. Subperitoneal pelvic space</w:t>
      </w:r>
    </w:p>
    <w:p w14:paraId="6CE6B957" w14:textId="0CC125D5" w:rsidR="00F52D08" w:rsidRDefault="00000000">
      <w:pPr>
        <w:spacing w:after="40"/>
        <w:ind w:left="1004"/>
        <w:rPr>
          <w:rFonts w:ascii="Times New Roman" w:hAnsi="Times New Roman" w:cs="Times New Roman"/>
          <w:sz w:val="24"/>
          <w:szCs w:val="24"/>
        </w:rPr>
      </w:pPr>
      <w:r>
        <w:rPr>
          <w:rFonts w:ascii="Times New Roman" w:hAnsi="Times New Roman" w:cs="Times New Roman"/>
          <w:sz w:val="22"/>
          <w:szCs w:val="24"/>
          <w:lang w:val="en-US" w:eastAsia="en-US"/>
        </w:rPr>
        <w:t>It is divided by septa:</w:t>
      </w:r>
    </w:p>
    <w:p w14:paraId="6A6128B4" w14:textId="77777777" w:rsidR="00F52D08" w:rsidRDefault="00000000">
      <w:pPr>
        <w:pStyle w:val="ListParagraph"/>
        <w:spacing w:after="40"/>
        <w:rPr>
          <w:rFonts w:ascii="Times New Roman" w:hAnsi="Times New Roman" w:cs="Times New Roman"/>
          <w:sz w:val="24"/>
          <w:szCs w:val="24"/>
        </w:rPr>
        <w:numPr>
          <w:ilvl w:val="0"/>
          <w:numId w:val="61"/>
        </w:numPr>
      </w:pPr>
      <w:r>
        <w:rPr>
          <w:rFonts w:ascii="Times New Roman" w:hAnsi="Times New Roman" w:cs="Times New Roman"/>
          <w:b/>
          <w:sz w:val="22"/>
          <w:szCs w:val="24"/>
          <w:lang w:val="en-US" w:eastAsia="en-US"/>
        </w:rPr>
        <w:t>Sagittal septa: the sacrorectogenitopubic laminae (the uterosacral and pubocervical ligaments in women), extending between the sacrum and pubis. They limit lateral movement of the pelvic organs and contain the inferior hypogastric plexus, which provides autonomic innervation to the pelvic viscera.</w:t>
      </w:r>
      <w:r>
        <w:rPr>
          <w:rFonts w:ascii="Times New Roman" w:hAnsi="Times New Roman" w:cs="Times New Roman"/>
          <w:sz w:val="22"/>
          <w:szCs w:val="24"/>
          <w:lang w:val="en-US" w:eastAsia="en-US"/>
        </w:rPr>
      </w:r>
    </w:p>
    <w:p w14:paraId="2C636306" w14:textId="77777777" w:rsidR="00F52D08" w:rsidRDefault="00000000">
      <w:pPr>
        <w:pStyle w:val="ListParagraph"/>
        <w:spacing w:after="40"/>
        <w:rPr>
          <w:rFonts w:ascii="Times New Roman" w:hAnsi="Times New Roman" w:cs="Times New Roman"/>
          <w:sz w:val="24"/>
          <w:szCs w:val="24"/>
        </w:rPr>
        <w:numPr>
          <w:ilvl w:val="0"/>
          <w:numId w:val="61"/>
        </w:numPr>
      </w:pPr>
      <w:r>
        <w:rPr>
          <w:rFonts w:ascii="Times New Roman" w:hAnsi="Times New Roman"/>
          <w:sz w:val="22"/>
        </w:rPr>
        <w:t>Transverse septa lie between the pelvic viscera. They include the lateral ligaments of the rectum and, in women, the transverse cervical (cardinal) ligaments and the broad ligaments of the uterus. These structures convey vessels and nerves to the pelvic organs.</w:t>
      </w:r>
    </w:p>
    <w:p w14:paraId="7BDAAAA7" w14:textId="77777777" w:rsidR="00F52D08" w:rsidRDefault="00000000">
      <w:pPr>
        <w:pStyle w:val="Heading2"/>
        <w:ind w:left="786"/>
        <w:rPr>
          <w:rFonts w:ascii="Times New Roman" w:hAnsi="Times New Roman" w:cs="Times New Roman"/>
          <w:sz w:val="24"/>
          <w:szCs w:val="24"/>
        </w:rPr>
      </w:pPr>
      <w:r>
        <w:rPr>
          <w:rFonts w:ascii="Times New Roman" w:hAnsi="Times New Roman"/>
          <w:sz w:val="26"/>
          <w:lang w:val="en-US" w:eastAsia="en-US"/>
        </w:rPr>
        <w:t>2.2. Pelvic septa and compartments</w:t>
      </w:r>
    </w:p>
    <w:p w14:paraId="0ED1C1D5" w14:textId="77777777" w:rsidR="00F52D08" w:rsidRDefault="00000000">
      <w:pPr>
        <w:spacing w:after="40"/>
        <w:jc w:val="both"/>
        <w:rPr>
          <w:rFonts w:ascii="Times New Roman" w:hAnsi="Times New Roman" w:cs="Times New Roman"/>
          <w:sz w:val="24"/>
          <w:szCs w:val="24"/>
        </w:rPr>
      </w:pPr>
      <w:r>
        <w:rPr>
          <w:rFonts w:ascii="Times New Roman" w:hAnsi="Times New Roman" w:cs="Times New Roman"/>
          <w:b/>
          <w:sz w:val="22"/>
          <w:szCs w:val="24"/>
          <w:lang w:val="en-US" w:eastAsia="en-US"/>
        </w:rPr>
        <w:t>A medial visceral compartment, occupied from posterior to anterior by:</w:t>
      </w:r>
      <w:r>
        <w:rPr>
          <w:rFonts w:ascii="Times New Roman" w:hAnsi="Times New Roman" w:cs="Times New Roman"/>
          <w:sz w:val="22"/>
          <w:szCs w:val="24"/>
          <w:lang w:val="en-US" w:eastAsia="en-US"/>
        </w:rPr>
      </w:r>
    </w:p>
    <w:p w14:paraId="2005B0EB"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cs="Times New Roman"/>
          <w:sz w:val="22"/>
          <w:szCs w:val="24"/>
          <w:lang w:val="en-US" w:eastAsia="en-US"/>
        </w:rPr>
        <w:t>in women: the rectum, uterus and its adnexa (ovaries and uterine tubes), and bladder;</w:t>
      </w:r>
    </w:p>
    <w:p w14:paraId="1560E51D"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cs="Times New Roman"/>
          <w:sz w:val="22"/>
          <w:szCs w:val="24"/>
          <w:lang w:val="en-US" w:eastAsia="en-US"/>
        </w:rPr>
        <w:t>in men: the rectum, spermatic ducts and seminal vesicles, and bladder.</w:t>
      </w:r>
    </w:p>
    <w:p w14:paraId="414256C9" w14:textId="68D50BA8" w:rsidR="00F52D08" w:rsidRDefault="00000000">
      <w:pPr>
        <w:spacing w:after="40"/>
        <w:jc w:val="both"/>
        <w:rPr>
          <w:rFonts w:ascii="Times New Roman" w:hAnsi="Times New Roman" w:cs="Times New Roman"/>
          <w:sz w:val="24"/>
          <w:szCs w:val="24"/>
        </w:rPr>
      </w:pPr>
      <w:r>
        <w:rPr>
          <w:rFonts w:ascii="Times New Roman" w:hAnsi="Times New Roman" w:cs="Times New Roman"/>
          <w:b/>
          <w:sz w:val="22"/>
          <w:szCs w:val="24"/>
          <w:lang w:val="en-US" w:eastAsia="en-US"/>
        </w:rPr>
        <w:t>Two lateral compartments containing the vessels and autonomic nerves destined for the pelvic organs, embedded in abundant fibro-adipose tissue.</w:t>
      </w:r>
      <w:r>
        <w:rPr>
          <w:rFonts w:ascii="Times New Roman" w:hAnsi="Times New Roman" w:cs="Times New Roman"/>
          <w:sz w:val="22"/>
          <w:szCs w:val="24"/>
          <w:lang w:val="en-US" w:eastAsia="en-US"/>
        </w:rPr>
      </w:r>
      <w:r>
        <w:rPr>
          <w:rFonts w:ascii="Times New Roman" w:hAnsi="Times New Roman" w:cs="Times New Roman"/>
          <w:b/>
          <w:sz w:val="22"/>
          <w:szCs w:val="24"/>
          <w:lang w:val="en-US" w:eastAsia="en-US"/>
        </w:rPr>
      </w:r>
      <w:r>
        <w:rPr>
          <w:rFonts w:ascii="Times New Roman" w:hAnsi="Times New Roman" w:cs="Times New Roman"/>
          <w:sz w:val="22"/>
          <w:szCs w:val="24"/>
          <w:lang w:val="en-US" w:eastAsia="en-US"/>
        </w:rPr>
      </w:r>
    </w:p>
    <w:p w14:paraId="29084146" w14:textId="77777777" w:rsidR="00F52D08" w:rsidRDefault="00000000">
      <w:pPr>
        <w:spacing w:after="40"/>
        <w:ind w:left="786"/>
        <w:jc w:val="both"/>
        <w:rPr>
          <w:rFonts w:ascii="Times New Roman" w:hAnsi="Times New Roman" w:cs="Times New Roman"/>
          <w:sz w:val="24"/>
          <w:szCs w:val="24"/>
        </w:rPr>
      </w:pPr>
      <w:r>
        <w:rPr>
          <w:rFonts w:ascii="Times New Roman" w:hAnsi="Times New Roman" w:cs="Times New Roman"/>
          <w:sz w:val="22"/>
          <w:szCs w:val="24"/>
          <w:lang w:val="en-US" w:eastAsia="en-US"/>
        </w:rPr>
        <w:t>The subperitoneal pelvic space contains:</w:t>
      </w:r>
      <w:r>
        <w:rPr>
          <w:rFonts w:ascii="Times New Roman" w:hAnsi="Times New Roman" w:cs="Times New Roman"/>
          <w:b/>
          <w:sz w:val="22"/>
          <w:szCs w:val="24"/>
          <w:lang w:val="en-US" w:eastAsia="en-US"/>
        </w:rPr>
      </w:r>
      <w:r>
        <w:rPr>
          <w:rFonts w:ascii="Times New Roman" w:hAnsi="Times New Roman" w:cs="Times New Roman"/>
          <w:sz w:val="22"/>
          <w:szCs w:val="24"/>
          <w:lang w:val="en-US" w:eastAsia="en-US"/>
        </w:rPr>
      </w:r>
      <w:r>
        <w:rPr>
          <w:rFonts w:ascii="Times New Roman" w:hAnsi="Times New Roman" w:cs="Times New Roman"/>
          <w:b/>
          <w:sz w:val="22"/>
          <w:szCs w:val="24"/>
          <w:lang w:val="en-US" w:eastAsia="en-US"/>
        </w:rPr>
      </w:r>
    </w:p>
    <w:p w14:paraId="3CBCF59E"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cs="Times New Roman"/>
          <w:i/>
          <w:sz w:val="22"/>
          <w:szCs w:val="24"/>
          <w:lang w:val="en-US" w:eastAsia="en-US"/>
        </w:rPr>
        <w:t>the internal iliac artery, which supplies the pelvic walls and viscera;</w:t>
      </w:r>
      <w:r>
        <w:rPr>
          <w:rFonts w:ascii="Times New Roman" w:hAnsi="Times New Roman" w:cs="Times New Roman"/>
          <w:sz w:val="22"/>
          <w:szCs w:val="24"/>
          <w:lang w:val="en-US" w:eastAsia="en-US"/>
        </w:rPr>
      </w:r>
    </w:p>
    <w:p w14:paraId="38278A69"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cs="Times New Roman"/>
          <w:i/>
          <w:sz w:val="22"/>
          <w:szCs w:val="24"/>
          <w:lang w:val="en-US" w:eastAsia="en-US"/>
        </w:rPr>
        <w:t>the somatic nerve plexuses: sacral, pudendal, and coccygeal plexuses.</w:t>
      </w:r>
    </w:p>
    <w:p w14:paraId="5FF5BA14" w14:textId="77777777" w:rsidR="00F52D08" w:rsidRDefault="00000000">
      <w:pPr>
        <w:pStyle w:val="Heading2"/>
        <w:ind w:left="708"/>
        <w:jc w:val="both"/>
        <w:rPr>
          <w:rFonts w:ascii="Times New Roman" w:hAnsi="Times New Roman" w:cs="Times New Roman"/>
          <w:sz w:val="24"/>
          <w:szCs w:val="24"/>
        </w:rPr>
      </w:pPr>
      <w:r>
        <w:rPr>
          <w:rFonts w:ascii="Times New Roman" w:hAnsi="Times New Roman"/>
          <w:sz w:val="26"/>
          <w:lang w:val="en-US" w:eastAsia="en-US"/>
        </w:rPr>
        <w:t>2.3. Peritoneal pouches</w:t>
      </w:r>
    </w:p>
    <w:p w14:paraId="70F08C98" w14:textId="502D1D79"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sz w:val="22"/>
        </w:rPr>
        <w:t>In women, the peritoneum follows the contours of the bladder and uterus, forming the vesicouterine pouch and, between the uterus and rectum, the rectouterine pouch (pouch of Douglas).</w:t>
      </w:r>
    </w:p>
    <w:p w14:paraId="574EA2AC"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sz w:val="22"/>
        </w:rPr>
        <w:t>In men, the rectovesical pouch lies between the bladder and rectum.</w:t>
      </w:r>
    </w:p>
    <w:p w14:paraId="7EC37945" w14:textId="77777777" w:rsidR="00F52D08" w:rsidRDefault="00000000">
      <w:pPr>
        <w:spacing w:after="40"/>
        <w:ind w:left="786"/>
        <w:jc w:val="both"/>
        <w:rPr>
          <w:rFonts w:ascii="Times New Roman" w:hAnsi="Times New Roman" w:cs="Times New Roman"/>
          <w:sz w:val="24"/>
          <w:szCs w:val="24"/>
        </w:rPr>
      </w:pPr>
      <w:r>
        <w:rPr>
          <w:rFonts w:ascii="Times New Roman" w:hAnsi="Times New Roman"/>
          <w:sz w:val="22"/>
        </w:rPr>
        <w:t>In the upright position, the rectouterine pouch in women and the rectovesical pouch in men form the most dependent parts of the peritoneal cavity.</w:t>
      </w:r>
    </w:p>
    <w:p w14:paraId="2C1055A3" w14:textId="77777777" w:rsidR="00F52D08" w:rsidRDefault="00000000">
      <w:pPr>
        <w:spacing w:after="40"/>
        <w:ind w:left="786"/>
        <w:jc w:val="both"/>
        <w:rPr>
          <w:rFonts w:ascii="Times New Roman" w:hAnsi="Times New Roman" w:cs="Times New Roman"/>
          <w:sz w:val="24"/>
          <w:szCs w:val="24"/>
        </w:rPr>
      </w:pPr>
      <w:r>
        <w:rPr>
          <w:rFonts w:ascii="Times New Roman" w:hAnsi="Times New Roman"/>
          <w:sz w:val="22"/>
        </w:rPr>
        <w:t>Although most pelvic organs are subperitoneal and lack a complete serosal covering, peritoneal reflections create mobile interfaces between them. Infection, surgery, trauma, or inflammation involving these interfaces may restrict relative organ mobility.</w:t>
      </w:r>
    </w:p>
    <w:p w14:paraId="09B21493" w14:textId="77777777" w:rsidR="00F52D08" w:rsidRDefault="00000000">
      <w:pPr>
        <w:pStyle w:val="Heading2"/>
        <w:jc w:val="both"/>
        <w:rPr>
          <w:rFonts w:ascii="Times New Roman" w:hAnsi="Times New Roman" w:cs="Times New Roman"/>
          <w:sz w:val="24"/>
          <w:szCs w:val="24"/>
        </w:rPr>
      </w:pPr>
      <w:r>
        <w:rPr>
          <w:rFonts w:ascii="Times New Roman" w:hAnsi="Times New Roman"/>
          <w:sz w:val="26"/>
          <w:lang w:val="en-US" w:eastAsia="en-US"/>
        </w:rPr>
        <w:t>2.4. Vertebral–hip–pelvic unit</w:t>
      </w:r>
    </w:p>
    <w:p w14:paraId="0FCC1463" w14:textId="6DD084F2" w:rsidR="00F52D08" w:rsidRDefault="00000000">
      <w:pPr>
        <w:spacing w:after="40"/>
        <w:ind w:left="360"/>
        <w:jc w:val="both"/>
        <w:rPr>
          <w:rFonts w:ascii="Times New Roman" w:hAnsi="Times New Roman" w:cs="Times New Roman"/>
          <w:sz w:val="24"/>
          <w:szCs w:val="24"/>
        </w:rPr>
      </w:pPr>
      <w:r>
        <w:rPr>
          <w:rFonts w:ascii="Times New Roman" w:hAnsi="Times New Roman" w:cs="Times New Roman"/>
          <w:sz w:val="22"/>
          <w:szCs w:val="24"/>
          <w:lang w:val="en-US" w:eastAsia="en-US"/>
        </w:rPr>
        <w:t>The functional vertebral–hip–pelvic unit comprises seven joints:</w:t>
      </w:r>
    </w:p>
    <w:p w14:paraId="2336CA4C"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cs="Times New Roman"/>
          <w:sz w:val="22"/>
          <w:szCs w:val="24"/>
          <w:lang w:val="en-US" w:eastAsia="en-US"/>
        </w:rPr>
        <w:t>two sacroiliac joints;</w:t>
      </w:r>
    </w:p>
    <w:p w14:paraId="07FB7F28"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cs="Times New Roman"/>
          <w:sz w:val="22"/>
          <w:szCs w:val="24"/>
          <w:lang w:val="en-US" w:eastAsia="en-US"/>
        </w:rPr>
        <w:t>two hip joints;</w:t>
      </w:r>
    </w:p>
    <w:p w14:paraId="5649E830"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cs="Times New Roman"/>
          <w:sz w:val="22"/>
          <w:szCs w:val="24"/>
          <w:lang w:val="en-US" w:eastAsia="en-US"/>
        </w:rPr>
        <w:t>one sacrococcygeal joint;</w:t>
      </w:r>
    </w:p>
    <w:p w14:paraId="6C5D5E4A"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cs="Times New Roman"/>
          <w:sz w:val="22"/>
          <w:szCs w:val="24"/>
          <w:lang w:val="en-US" w:eastAsia="en-US"/>
        </w:rPr>
        <w:t>one pubic symphysis;</w:t>
      </w:r>
    </w:p>
    <w:p w14:paraId="54F72974"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cs="Times New Roman"/>
          <w:sz w:val="22"/>
          <w:szCs w:val="24"/>
          <w:lang w:val="en-US" w:eastAsia="en-US"/>
        </w:rPr>
        <w:t>one lumbosacral junction.</w:t>
      </w:r>
      <w:r>
        <w:rPr>
          <w:rFonts w:ascii="Times New Roman" w:hAnsi="Times New Roman" w:cs="Times New Roman"/>
          <w:b/>
          <w:sz w:val="22"/>
          <w:szCs w:val="24"/>
          <w:lang w:val="en-US" w:eastAsia="en-US"/>
        </w:rPr>
      </w:r>
      <w:r>
        <w:rPr>
          <w:rFonts w:ascii="Times New Roman" w:hAnsi="Times New Roman" w:cs="Times New Roman"/>
          <w:sz w:val="22"/>
          <w:szCs w:val="24"/>
          <w:lang w:val="en-US" w:eastAsia="en-US"/>
        </w:rPr>
      </w:r>
    </w:p>
    <w:p w14:paraId="28FE28A0" w14:textId="77777777" w:rsidR="00F52D08" w:rsidRDefault="00000000">
      <w:pPr>
        <w:spacing w:after="40"/>
        <w:ind w:left="360"/>
        <w:jc w:val="both"/>
        <w:rPr>
          <w:rFonts w:ascii="Times New Roman" w:hAnsi="Times New Roman" w:cs="Times New Roman"/>
          <w:sz w:val="24"/>
          <w:szCs w:val="24"/>
        </w:rPr>
      </w:pPr>
      <w:r>
        <w:rPr>
          <w:rFonts w:ascii="Times New Roman" w:hAnsi="Times New Roman" w:cs="Times New Roman"/>
          <w:sz w:val="22"/>
          <w:szCs w:val="24"/>
          <w:lang w:val="en-US" w:eastAsia="en-US"/>
        </w:rPr>
        <w:t>It must provide:</w:t>
      </w:r>
    </w:p>
    <w:p w14:paraId="396941AA"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cs="Times New Roman"/>
          <w:sz w:val="22"/>
          <w:szCs w:val="24"/>
          <w:lang w:val="en-US" w:eastAsia="en-US"/>
        </w:rPr>
        <w:t>mobility during walking and joint stability;</w:t>
      </w:r>
    </w:p>
    <w:p w14:paraId="1608F1CC"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cs="Times New Roman"/>
          <w:sz w:val="22"/>
          <w:szCs w:val="24"/>
          <w:lang w:val="en-US" w:eastAsia="en-US"/>
        </w:rPr>
        <w:t>protection, support, and maintenance of the intrapelvic organs;</w:t>
      </w:r>
    </w:p>
    <w:p w14:paraId="7030ED2F"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cs="Times New Roman"/>
          <w:sz w:val="22"/>
          <w:szCs w:val="24"/>
          <w:lang w:val="en-US" w:eastAsia="en-US"/>
        </w:rPr>
        <w:t>absorption of intra-abdominal pressure;</w:t>
      </w:r>
    </w:p>
    <w:p w14:paraId="20080841"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cs="Times New Roman"/>
          <w:sz w:val="22"/>
          <w:szCs w:val="24"/>
          <w:lang w:val="en-US" w:eastAsia="en-US"/>
        </w:rPr>
        <w:t>transmission of descending gravitational forces and ascending forces associated with standing and walking;</w:t>
      </w:r>
    </w:p>
    <w:p w14:paraId="6F3179E8"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cs="Times New Roman"/>
          <w:sz w:val="22"/>
          <w:szCs w:val="24"/>
          <w:lang w:val="en-US" w:eastAsia="en-US"/>
        </w:rPr>
        <w:t>transfer of part of the mechanical load to the lower limbs.</w:t>
      </w:r>
    </w:p>
    <w:p w14:paraId="581EA062" w14:textId="77777777" w:rsidR="00F52D08" w:rsidRDefault="00000000">
      <w:pPr>
        <w:pStyle w:val="Heading2"/>
        <w:jc w:val="both"/>
        <w:rPr>
          <w:rFonts w:ascii="Times New Roman" w:hAnsi="Times New Roman" w:cs="Times New Roman"/>
          <w:sz w:val="24"/>
          <w:szCs w:val="24"/>
        </w:rPr>
      </w:pPr>
      <w:r>
        <w:rPr>
          <w:rFonts w:ascii="Times New Roman" w:hAnsi="Times New Roman"/>
          <w:sz w:val="26"/>
          <w:lang w:val="en-US" w:eastAsia="en-US"/>
        </w:rPr>
        <w:t>2.5. Pelvic orientation and osseous load distribution</w:t>
      </w:r>
    </w:p>
    <w:p w14:paraId="29FBA70B" w14:textId="73891785" w:rsidR="00F52D08" w:rsidRDefault="00000000">
      <w:pPr>
        <w:spacing w:after="40"/>
        <w:jc w:val="both"/>
        <w:rPr>
          <w:rFonts w:ascii="Times New Roman" w:hAnsi="Times New Roman" w:cs="Times New Roman"/>
          <w:sz w:val="24"/>
          <w:szCs w:val="24"/>
        </w:rPr>
      </w:pPr>
      <w:r>
        <w:rPr>
          <w:rFonts w:ascii="Times New Roman" w:hAnsi="Times New Roman" w:cs="Times New Roman"/>
          <w:b/>
          <w:sz w:val="22"/>
          <w:szCs w:val="24"/>
          <w:lang w:val="en-US" w:eastAsia="en-US"/>
        </w:rPr>
        <w:t>Pelvic orientation: the pelvic inlet slopes downward and forward, so that abdominal pressure is borne mainly by osseous buttresses and only minimally by the pelvic viscera:</w:t>
      </w:r>
      <w:r>
        <w:rPr>
          <w:rFonts w:ascii="Times New Roman" w:hAnsi="Times New Roman" w:cs="Times New Roman"/>
          <w:sz w:val="22"/>
          <w:szCs w:val="24"/>
          <w:lang w:val="en-US" w:eastAsia="en-US"/>
        </w:rPr>
      </w:r>
    </w:p>
    <w:p w14:paraId="364429DD"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cs="Times New Roman"/>
          <w:sz w:val="22"/>
          <w:szCs w:val="24"/>
          <w:lang w:val="en-US" w:eastAsia="en-US"/>
        </w:rPr>
        <w:t>the internal iliac fossae;</w:t>
      </w:r>
    </w:p>
    <w:p w14:paraId="7006C718"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cs="Times New Roman"/>
          <w:sz w:val="22"/>
          <w:szCs w:val="24"/>
          <w:lang w:val="en-US" w:eastAsia="en-US"/>
        </w:rPr>
        <w:t>the sacral promontory;</w:t>
      </w:r>
    </w:p>
    <w:p w14:paraId="4F10CC51"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cs="Times New Roman"/>
          <w:sz w:val="22"/>
          <w:szCs w:val="24"/>
          <w:lang w:val="en-US" w:eastAsia="en-US"/>
        </w:rPr>
        <w:t>the iliopubic rami.</w:t>
      </w:r>
    </w:p>
    <w:p w14:paraId="527B2F25" w14:textId="6D5840D3" w:rsidR="00F52D08" w:rsidRDefault="00000000">
      <w:pPr>
        <w:spacing w:after="40"/>
        <w:rPr>
          <w:rFonts w:ascii="Times New Roman" w:hAnsi="Times New Roman" w:cs="Times New Roman"/>
          <w:sz w:val="24"/>
          <w:szCs w:val="24"/>
        </w:rPr>
      </w:pPr>
      <w:r>
        <w:rPr>
          <w:rFonts w:ascii="Times New Roman" w:hAnsi="Times New Roman" w:cs="Times New Roman"/>
          <w:b/>
          <w:sz w:val="22"/>
          <w:szCs w:val="24"/>
          <w:lang w:val="en-US" w:eastAsia="en-US"/>
        </w:rPr>
        <w:t>The pelvis is not hermetically sealed. Its walls contain foramina and notches, described above, that are bounded by ligaments and closed by soft tissues—muscles, aponeuroses, and membranes—which cushion the residual pressure exerted on the pelvic viscera.</w:t>
      </w:r>
      <w:r>
        <w:rPr>
          <w:rFonts w:ascii="Times New Roman" w:hAnsi="Times New Roman" w:cs="Times New Roman"/>
          <w:sz w:val="22"/>
          <w:szCs w:val="24"/>
          <w:lang w:val="en-US" w:eastAsia="en-US"/>
        </w:rPr>
      </w:r>
    </w:p>
    <w:p w14:paraId="5ACC719C" w14:textId="77777777" w:rsidR="00F52D08" w:rsidRDefault="00F52D08">
      <w:pPr>
        <w:spacing w:after="40"/>
        <w:ind w:left="786"/>
        <w:jc w:val="both"/>
        <w:rPr>
          <w:rFonts w:ascii="Times New Roman" w:hAnsi="Times New Roman" w:cs="Times New Roman"/>
          <w:b/>
          <w:sz w:val="24"/>
          <w:szCs w:val="24"/>
        </w:rPr>
      </w:pPr>
    </w:p>
    <w:p w14:paraId="702F5F56" w14:textId="77777777" w:rsidR="00F52D08" w:rsidRDefault="00000000">
      <w:pPr>
        <w:pStyle w:val="Heading1"/>
      </w:pPr>
      <w:r>
        <w:rPr>
          <w:rFonts w:ascii="Times New Roman" w:hAnsi="Times New Roman"/>
          <w:sz w:val="32"/>
          <w:lang w:val="en-US" w:eastAsia="en-US"/>
        </w:rPr>
        <w:t>3. Anatomy</w:t>
      </w:r>
    </w:p>
    <w:p w14:paraId="64695522" w14:textId="77777777" w:rsidR="00F52D08" w:rsidRDefault="00F52D08">
      <w:pPr>
        <w:spacing w:after="40"/>
        <w:ind w:left="786"/>
        <w:rPr>
          <w:rFonts w:ascii="Times New Roman" w:hAnsi="Times New Roman" w:cs="Times New Roman"/>
          <w:sz w:val="24"/>
          <w:szCs w:val="24"/>
        </w:rPr>
      </w:pPr>
    </w:p>
    <w:p w14:paraId="37F3F2F6" w14:textId="77777777" w:rsidR="00F52D08" w:rsidRDefault="00000000">
      <w:pPr>
        <w:pStyle w:val="Heading2"/>
        <w:rPr>
          <w:rFonts w:ascii="Times New Roman" w:hAnsi="Times New Roman" w:cs="Times New Roman"/>
          <w:sz w:val="24"/>
          <w:szCs w:val="24"/>
        </w:rPr>
      </w:pPr>
      <w:r>
        <w:rPr>
          <w:rFonts w:ascii="Times New Roman" w:hAnsi="Times New Roman"/>
          <w:sz w:val="26"/>
          <w:lang w:val="en-US" w:eastAsia="en-US"/>
        </w:rPr>
        <w:t>3.1. Greater sciatic foramen</w:t>
      </w:r>
    </w:p>
    <w:p w14:paraId="24BC99A4" w14:textId="77777777" w:rsidR="00F52D08" w:rsidRDefault="00000000">
      <w:pPr>
        <w:pStyle w:val="Heading3"/>
        <w:ind w:left="927"/>
        <w:rPr>
          <w:rFonts w:ascii="Times New Roman" w:hAnsi="Times New Roman" w:cs="Times New Roman"/>
          <w:sz w:val="24"/>
          <w:szCs w:val="24"/>
        </w:rPr>
      </w:pPr>
      <w:r>
        <w:rPr>
          <w:rFonts w:ascii="Times New Roman" w:hAnsi="Times New Roman"/>
          <w:sz w:val="23"/>
          <w:lang w:val="en-US" w:eastAsia="en-US"/>
        </w:rPr>
        <w:t>3.1.1. Piriformis muscle</w:t>
      </w:r>
    </w:p>
    <w:p w14:paraId="725EECFC" w14:textId="77777777" w:rsidR="00F52D08" w:rsidRDefault="00000000">
      <w:pPr>
        <w:pStyle w:val="Heading2"/>
        <w:rPr>
          <w:rFonts w:ascii="Times New Roman" w:hAnsi="Times New Roman" w:cs="Times New Roman"/>
          <w:sz w:val="24"/>
          <w:szCs w:val="24"/>
        </w:rPr>
      </w:pPr>
      <w:r>
        <w:rPr>
          <w:rFonts w:ascii="Times New Roman" w:hAnsi="Times New Roman"/>
          <w:sz w:val="26"/>
          <w:lang w:val="en-US" w:eastAsia="en-US"/>
        </w:rPr>
        <w:t>3.2. Lesser sciatic foramen</w:t>
      </w:r>
    </w:p>
    <w:p w14:paraId="3EB67988" w14:textId="77777777" w:rsidR="00F52D08" w:rsidRDefault="00000000">
      <w:pPr>
        <w:pStyle w:val="Heading3"/>
        <w:ind w:left="927"/>
        <w:jc w:val="both"/>
        <w:rPr>
          <w:rFonts w:ascii="Times New Roman" w:hAnsi="Times New Roman" w:cs="Times New Roman"/>
          <w:sz w:val="24"/>
          <w:szCs w:val="24"/>
        </w:rPr>
      </w:pPr>
      <w:r>
        <w:rPr>
          <w:rFonts w:ascii="Times New Roman" w:hAnsi="Times New Roman" w:cs="Times New Roman"/>
          <w:sz w:val="23"/>
          <w:szCs w:val="24"/>
          <w:lang w:val="en-US" w:eastAsia="en-US"/>
        </w:rPr>
        <w:t>Relevance to ROP</w:t>
      </w:r>
    </w:p>
    <w:p w14:paraId="79612527" w14:textId="77777777" w:rsidR="00F52D08" w:rsidRDefault="00000000">
      <w:pPr>
        <w:spacing w:after="40"/>
        <w:ind w:left="927"/>
        <w:jc w:val="both"/>
        <w:rPr>
          <w:rFonts w:ascii="Times New Roman" w:hAnsi="Times New Roman" w:cs="Times New Roman"/>
          <w:sz w:val="24"/>
          <w:szCs w:val="24"/>
        </w:rPr>
      </w:pPr>
      <w:r>
        <w:rPr>
          <w:rFonts w:ascii="Times New Roman" w:hAnsi="Times New Roman"/>
          <w:sz w:val="22"/>
        </w:rPr>
        <w:t>Sciatic pain is not limited to L4–L5 or L5–S1 disc–nerve root conflict. Some cases are non-radicular and arise along the course of the sciatic nerve. Within the ROP framework, pelvic or visceral dysfunction is considered alongside tension in the piriformis, obturator, superior and inferior gemelli, and quadratus femoris muscles, which may affect the nerve in the ischiotrochanteric region.</w:t>
      </w:r>
    </w:p>
    <w:p w14:paraId="1EDB45B3" w14:textId="77777777" w:rsidR="00F52D08" w:rsidRDefault="00000000">
      <w:pPr>
        <w:spacing w:after="40"/>
        <w:ind w:left="927"/>
        <w:jc w:val="both"/>
        <w:rPr>
          <w:rFonts w:ascii="Times New Roman" w:hAnsi="Times New Roman" w:cs="Times New Roman"/>
          <w:sz w:val="24"/>
          <w:szCs w:val="24"/>
        </w:rPr>
      </w:pPr>
      <w:r>
        <w:rPr>
          <w:rFonts w:ascii="Times New Roman" w:hAnsi="Times New Roman"/>
          <w:sz w:val="22"/>
        </w:rPr>
        <w:t>ROP management therefore includes assessment and, when clinically indicated, treatment of these muscles in patients with sciatica or dysfunction involving the pelvis, hips, or pelvic organs.</w:t>
      </w:r>
    </w:p>
    <w:p w14:paraId="5D0DB9AB" w14:textId="77777777" w:rsidR="00F52D08" w:rsidRDefault="00000000">
      <w:pPr>
        <w:pStyle w:val="Heading2"/>
        <w:jc w:val="both"/>
        <w:rPr>
          <w:rFonts w:ascii="Times New Roman" w:hAnsi="Times New Roman" w:cs="Times New Roman"/>
          <w:sz w:val="24"/>
          <w:szCs w:val="24"/>
        </w:rPr>
      </w:pPr>
      <w:r>
        <w:rPr>
          <w:rFonts w:ascii="Times New Roman" w:hAnsi="Times New Roman"/>
          <w:sz w:val="26"/>
          <w:lang w:val="en-US" w:eastAsia="en-US"/>
        </w:rPr>
        <w:t>3.3. Obturator foramen</w:t>
      </w:r>
    </w:p>
    <w:p w14:paraId="7298C68F" w14:textId="77777777" w:rsidR="00F52D08" w:rsidRDefault="00000000">
      <w:pPr>
        <w:pStyle w:val="Heading3"/>
        <w:jc w:val="both"/>
        <w:rPr>
          <w:rFonts w:ascii="Times New Roman" w:hAnsi="Times New Roman" w:cs="Times New Roman"/>
          <w:sz w:val="24"/>
          <w:szCs w:val="24"/>
        </w:rPr>
      </w:pPr>
      <w:r>
        <w:rPr>
          <w:rFonts w:ascii="Times New Roman" w:hAnsi="Times New Roman"/>
          <w:sz w:val="23"/>
          <w:lang w:val="en-US" w:eastAsia="en-US"/>
        </w:rPr>
        <w:t>3.3.1. Obturator membrane</w:t>
      </w:r>
    </w:p>
    <w:p w14:paraId="6A065C4D" w14:textId="77777777" w:rsidR="00F52D08" w:rsidRDefault="00000000">
      <w:pPr>
        <w:pStyle w:val="Heading3"/>
        <w:jc w:val="both"/>
        <w:rPr>
          <w:rFonts w:ascii="Times New Roman" w:hAnsi="Times New Roman" w:cs="Times New Roman"/>
          <w:sz w:val="24"/>
          <w:szCs w:val="24"/>
        </w:rPr>
      </w:pPr>
      <w:r>
        <w:rPr>
          <w:rFonts w:ascii="Times New Roman" w:hAnsi="Times New Roman"/>
          <w:sz w:val="23"/>
          <w:lang w:val="en-US" w:eastAsia="en-US"/>
        </w:rPr>
        <w:t>3.3.2. Bladder–hip relationship</w:t>
      </w:r>
    </w:p>
    <w:p w14:paraId="110FD5A9" w14:textId="77777777" w:rsidR="00F52D08" w:rsidRDefault="00000000">
      <w:pPr>
        <w:pStyle w:val="Heading3"/>
        <w:ind w:left="927"/>
        <w:jc w:val="both"/>
        <w:rPr>
          <w:rFonts w:ascii="Times New Roman" w:hAnsi="Times New Roman" w:cs="Times New Roman"/>
          <w:sz w:val="24"/>
          <w:szCs w:val="24"/>
        </w:rPr>
      </w:pPr>
      <w:r>
        <w:rPr>
          <w:rFonts w:ascii="Times New Roman" w:hAnsi="Times New Roman" w:cs="Times New Roman"/>
          <w:sz w:val="23"/>
          <w:szCs w:val="24"/>
          <w:lang w:val="en-US" w:eastAsia="en-US"/>
        </w:rPr>
        <w:t>Relevance to ROP</w:t>
      </w:r>
    </w:p>
    <w:p w14:paraId="27846626" w14:textId="77777777" w:rsidR="00F52D08" w:rsidRDefault="00000000">
      <w:pPr>
        <w:spacing w:after="40"/>
        <w:ind w:left="927"/>
        <w:jc w:val="both"/>
        <w:rPr>
          <w:rFonts w:ascii="Times New Roman" w:hAnsi="Times New Roman" w:cs="Times New Roman"/>
          <w:sz w:val="24"/>
          <w:szCs w:val="24"/>
        </w:rPr>
      </w:pPr>
      <w:r>
        <w:rPr>
          <w:rFonts w:ascii="Times New Roman" w:hAnsi="Times New Roman"/>
          <w:sz w:val="22"/>
        </w:rPr>
        <w:t>Within ROP practice, these bladder–pelvis–hip relationships support assessing the hip in patients with stress urinary incontinence and considering bladder-related factors when managing hip osteoarthritis. These associations should be interpreted in conjunction with standard clinical evaluation.</w:t>
      </w:r>
    </w:p>
    <w:p w14:paraId="1D4F8AA9" w14:textId="77777777" w:rsidR="00F52D08" w:rsidRDefault="00F52D08">
      <w:pPr>
        <w:spacing w:after="40"/>
        <w:ind w:left="927"/>
        <w:jc w:val="both"/>
        <w:rPr>
          <w:rFonts w:ascii="Times New Roman" w:hAnsi="Times New Roman" w:cs="Times New Roman"/>
          <w:sz w:val="24"/>
          <w:szCs w:val="24"/>
        </w:rPr>
      </w:pPr>
    </w:p>
    <w:p w14:paraId="0F873A7B" w14:textId="77777777" w:rsidR="00F52D08" w:rsidRDefault="00000000">
      <w:pPr>
        <w:pStyle w:val="Heading3"/>
        <w:jc w:val="both"/>
        <w:rPr>
          <w:rFonts w:ascii="Times New Roman" w:hAnsi="Times New Roman" w:cs="Times New Roman"/>
          <w:sz w:val="24"/>
          <w:szCs w:val="24"/>
        </w:rPr>
      </w:pPr>
      <w:r>
        <w:rPr>
          <w:rFonts w:ascii="Times New Roman" w:hAnsi="Times New Roman"/>
          <w:sz w:val="23"/>
          <w:lang w:val="en-US" w:eastAsia="en-US"/>
        </w:rPr>
        <w:t>3.3.3. Obturator canal</w:t>
      </w:r>
    </w:p>
    <w:p w14:paraId="51DB464B" w14:textId="77777777" w:rsidR="00F52D08" w:rsidRDefault="00000000">
      <w:pPr>
        <w:pStyle w:val="Heading2"/>
        <w:jc w:val="both"/>
        <w:rPr>
          <w:rFonts w:ascii="Times New Roman" w:hAnsi="Times New Roman" w:cs="Times New Roman"/>
          <w:sz w:val="24"/>
          <w:szCs w:val="24"/>
        </w:rPr>
      </w:pPr>
      <w:r>
        <w:rPr>
          <w:rFonts w:ascii="Times New Roman" w:hAnsi="Times New Roman"/>
          <w:sz w:val="26"/>
          <w:lang w:val="en-US" w:eastAsia="en-US"/>
        </w:rPr>
        <w:t>3.4. Sacrospinous and sacrotuberous ligaments</w:t>
      </w:r>
    </w:p>
    <w:p w14:paraId="64247B45"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cs="Times New Roman"/>
          <w:sz w:val="22"/>
          <w:szCs w:val="24"/>
          <w:lang w:val="en-US" w:eastAsia="en-US"/>
        </w:rPr>
        <w:t>Sacrotuberous ligament: extends from the ischium to the sacrum and coccyx;</w:t>
      </w:r>
      <w:r>
        <w:rPr>
          <w:rFonts w:ascii="Times New Roman" w:hAnsi="Times New Roman" w:cs="Times New Roman"/>
          <w:i/>
          <w:sz w:val="22"/>
          <w:szCs w:val="24"/>
          <w:lang w:val="en-US" w:eastAsia="en-US"/>
        </w:rPr>
      </w:r>
      <w:r>
        <w:rPr>
          <w:rFonts w:ascii="Times New Roman" w:hAnsi="Times New Roman" w:cs="Times New Roman"/>
          <w:sz w:val="22"/>
          <w:szCs w:val="24"/>
          <w:lang w:val="en-US" w:eastAsia="en-US"/>
        </w:rPr>
      </w:r>
    </w:p>
    <w:p w14:paraId="6699DF9B"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sz w:val="22"/>
          <w:lang w:val="en-US" w:eastAsia="en-US"/>
        </w:rPr>
        <w:t>Sacrospinous ligament: extends from the ischial spine to the sacrum and coccyx.</w:t>
      </w:r>
    </w:p>
    <w:p w14:paraId="38241979" w14:textId="77777777" w:rsidR="00F52D08" w:rsidRDefault="00000000">
      <w:pPr>
        <w:spacing w:after="40"/>
        <w:ind w:left="1070"/>
        <w:jc w:val="both"/>
        <w:rPr>
          <w:rFonts w:ascii="Times New Roman" w:hAnsi="Times New Roman" w:cs="Times New Roman"/>
          <w:sz w:val="24"/>
          <w:szCs w:val="24"/>
        </w:rPr>
      </w:pPr>
      <w:r>
        <w:rPr>
          <w:rFonts w:ascii="Times New Roman" w:hAnsi="Times New Roman" w:cs="Times New Roman"/>
          <w:sz w:val="22"/>
          <w:szCs w:val="24"/>
          <w:lang w:val="en-US" w:eastAsia="en-US"/>
        </w:rPr>
        <w:t>These ligaments stabilize the coccyx laterally. They also play an important role in the stability and mobility of the sacrum between the ilia, acting with the anterior sacroiliac ligaments to limit sacral nutation; counternutation is limited by tension in the posterior sacroiliac ligaments.</w:t>
      </w:r>
    </w:p>
    <w:p w14:paraId="5BF1FA77" w14:textId="77777777" w:rsidR="00F52D08" w:rsidRDefault="00000000">
      <w:pPr>
        <w:pStyle w:val="Heading3"/>
        <w:ind w:left="927"/>
        <w:jc w:val="both"/>
        <w:rPr>
          <w:rFonts w:ascii="Times New Roman" w:hAnsi="Times New Roman" w:cs="Times New Roman"/>
          <w:sz w:val="24"/>
          <w:szCs w:val="24"/>
        </w:rPr>
      </w:pPr>
      <w:r>
        <w:rPr>
          <w:rFonts w:ascii="Times New Roman" w:hAnsi="Times New Roman"/>
          <w:sz w:val="23"/>
          <w:lang w:val="en-US" w:eastAsia="en-US"/>
        </w:rPr>
        <w:t>3.4.1. Possible consequences of shortening</w:t>
      </w:r>
    </w:p>
    <w:p w14:paraId="6D229A51"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cs="Times New Roman"/>
          <w:sz w:val="22"/>
          <w:szCs w:val="24"/>
          <w:lang w:val="en-US" w:eastAsia="en-US"/>
        </w:rPr>
        <w:t>Fixation of the coccyx, with consequences for the perineum and its sphincters;</w:t>
      </w:r>
    </w:p>
    <w:p w14:paraId="638715A0"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cs="Times New Roman"/>
          <w:sz w:val="22"/>
          <w:szCs w:val="24"/>
          <w:lang w:val="en-US" w:eastAsia="en-US"/>
        </w:rPr>
        <w:t>Fixation of the sacroiliac joint;</w:t>
      </w:r>
    </w:p>
    <w:p w14:paraId="5055933C"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sz w:val="22"/>
        </w:rPr>
        <w:t>Fixation of the L4–L5–S1 region: within the fascial continuity described by ROP, the sacrotuberous ligament is linked to the lower lumbar region and the iliolumbar ligaments. Shortening may restrict the normal separation of the ischial tuberosities in sitting and may contribute to lumbopelvic pain aggravated by that position.</w:t>
      </w:r>
    </w:p>
    <w:p w14:paraId="7DFE4527"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cs="Times New Roman"/>
          <w:sz w:val="22"/>
          <w:szCs w:val="24"/>
          <w:lang w:val="en-US" w:eastAsia="en-US"/>
        </w:rPr>
        <w:t>Altered perineal tension affecting closure of the urogenital and anal sphincters, potentially resulting in urinary or fecal incontinence;</w:t>
      </w:r>
    </w:p>
    <w:p w14:paraId="1EAFD9A3"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sz w:val="22"/>
        </w:rPr>
        <w:t>Irritation in the region of the ganglion impar, located anterior to the coccyx where the two paravertebral sympathetic chains converge inferiorly, may influence sympathetic activity. ROP theory proposes possible effects on pelvic vascular regulation and higher autonomic centers; any relationship with postpartum depressive symptoms remains hypothetical and should not replace standard medical assessment.</w:t>
      </w:r>
    </w:p>
    <w:p w14:paraId="5B3D0E6A" w14:textId="77777777" w:rsidR="00F52D08" w:rsidRDefault="00F52D08">
      <w:pPr>
        <w:spacing w:after="40"/>
        <w:ind w:left="568"/>
        <w:jc w:val="both"/>
        <w:rPr>
          <w:rFonts w:ascii="Times New Roman" w:hAnsi="Times New Roman" w:cs="Times New Roman"/>
          <w:b/>
          <w:sz w:val="24"/>
          <w:szCs w:val="24"/>
        </w:rPr>
      </w:pPr>
    </w:p>
    <w:p w14:paraId="505EEE4B" w14:textId="77777777" w:rsidR="00F52D08" w:rsidRDefault="00000000">
      <w:pPr>
        <w:pStyle w:val="Heading3"/>
        <w:ind w:left="568"/>
        <w:jc w:val="both"/>
        <w:rPr>
          <w:rFonts w:ascii="Times New Roman" w:hAnsi="Times New Roman" w:cs="Times New Roman"/>
          <w:sz w:val="24"/>
          <w:szCs w:val="24"/>
        </w:rPr>
      </w:pPr>
      <w:r>
        <w:rPr>
          <w:rFonts w:ascii="Times New Roman" w:hAnsi="Times New Roman" w:cs="Times New Roman"/>
          <w:sz w:val="23"/>
          <w:szCs w:val="24"/>
          <w:lang w:val="en-US" w:eastAsia="en-US"/>
        </w:rPr>
        <w:t>Relevance to ROP</w:t>
      </w:r>
    </w:p>
    <w:p w14:paraId="64E8A1C3"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sz w:val="22"/>
        </w:rPr>
        <w:t>Within ROP and craniosacral practice, coccygeal fixation is considered capable of altering dural tension and the primary respiratory mechanism; this is a method-specific clinical model rather than an established physiological mechanism.</w:t>
      </w:r>
    </w:p>
    <w:p w14:paraId="4B92B2F8"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sz w:val="22"/>
        </w:rPr>
        <w:t>In ROP assessment, the sacrotuberous and sacrospinous ligaments and the coccygeus muscle may serve as indicators of ipsilateral dysfunction involving the pelvic framework or pelvic organs.</w:t>
      </w:r>
    </w:p>
    <w:p w14:paraId="55E8BAF8" w14:textId="77777777" w:rsidR="00F52D08" w:rsidRDefault="00F52D08">
      <w:pPr>
        <w:spacing w:after="40"/>
        <w:ind w:left="568"/>
        <w:jc w:val="both"/>
        <w:rPr>
          <w:rFonts w:ascii="Times New Roman" w:hAnsi="Times New Roman" w:cs="Times New Roman"/>
          <w:sz w:val="24"/>
          <w:szCs w:val="24"/>
        </w:rPr>
      </w:pPr>
    </w:p>
    <w:p w14:paraId="5C59A4FE" w14:textId="77777777" w:rsidR="00F52D08" w:rsidRDefault="00000000">
      <w:pPr>
        <w:pStyle w:val="Heading2"/>
        <w:jc w:val="both"/>
        <w:rPr>
          <w:rFonts w:ascii="Times New Roman" w:hAnsi="Times New Roman" w:cs="Times New Roman"/>
          <w:sz w:val="24"/>
          <w:szCs w:val="24"/>
        </w:rPr>
      </w:pPr>
      <w:r>
        <w:rPr>
          <w:rFonts w:ascii="Times New Roman" w:hAnsi="Times New Roman"/>
          <w:sz w:val="26"/>
          <w:lang w:val="en-US" w:eastAsia="en-US"/>
        </w:rPr>
        <w:t>3.5. Perineum</w:t>
      </w:r>
    </w:p>
    <w:p w14:paraId="761B8980"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cs="Times New Roman"/>
          <w:sz w:val="22"/>
          <w:szCs w:val="24"/>
          <w:lang w:val="en-US" w:eastAsia="en-US"/>
        </w:rPr>
        <w:t>The inferior border of the pubic symphysis;</w:t>
      </w:r>
    </w:p>
    <w:p w14:paraId="1976DC8D"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cs="Times New Roman"/>
          <w:sz w:val="22"/>
          <w:szCs w:val="24"/>
          <w:lang w:val="en-US" w:eastAsia="en-US"/>
        </w:rPr>
        <w:t>The apex of the coccyx;</w:t>
      </w:r>
    </w:p>
    <w:p w14:paraId="7FF7DA2C"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cs="Times New Roman"/>
          <w:sz w:val="22"/>
          <w:szCs w:val="24"/>
          <w:lang w:val="en-US" w:eastAsia="en-US"/>
        </w:rPr>
        <w:t>The ischiopubic rami anteriorly;</w:t>
      </w:r>
    </w:p>
    <w:p w14:paraId="6279B8BA"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cs="Times New Roman"/>
          <w:sz w:val="22"/>
          <w:szCs w:val="24"/>
          <w:lang w:val="en-US" w:eastAsia="en-US"/>
        </w:rPr>
        <w:t>The sacrotuberous ligaments posteriorly.</w:t>
      </w:r>
    </w:p>
    <w:p w14:paraId="72B0A364" w14:textId="6DBBD410" w:rsidR="00F52D08" w:rsidRDefault="00000000">
      <w:pPr>
        <w:spacing w:after="40"/>
        <w:ind w:left="1069"/>
        <w:jc w:val="both"/>
        <w:rPr>
          <w:rFonts w:ascii="Times New Roman" w:hAnsi="Times New Roman" w:cs="Times New Roman"/>
          <w:sz w:val="24"/>
          <w:szCs w:val="24"/>
        </w:rPr>
      </w:pPr>
      <w:r>
        <w:rPr>
          <w:rFonts w:ascii="Times New Roman" w:hAnsi="Times New Roman" w:cs="Times New Roman"/>
          <w:sz w:val="22"/>
          <w:szCs w:val="24"/>
          <w:lang w:val="en-US" w:eastAsia="en-US"/>
        </w:rPr>
        <w:t>A virtual line between the two ischial tuberosities divides it into two triangles:</w:t>
      </w:r>
      <w:r>
        <w:rPr>
          <w:rFonts w:ascii="Times New Roman" w:hAnsi="Times New Roman" w:cs="Times New Roman"/>
          <w:b/>
          <w:sz w:val="22"/>
          <w:szCs w:val="24"/>
          <w:lang w:val="en-US" w:eastAsia="en-US"/>
        </w:rPr>
      </w:r>
      <w:r>
        <w:rPr>
          <w:rFonts w:ascii="Times New Roman" w:hAnsi="Times New Roman" w:cs="Times New Roman"/>
          <w:sz w:val="22"/>
          <w:szCs w:val="24"/>
          <w:lang w:val="en-US" w:eastAsia="en-US"/>
        </w:rPr>
      </w:r>
    </w:p>
    <w:p w14:paraId="7D791BC6" w14:textId="77777777" w:rsidR="00F52D08" w:rsidRDefault="00000000">
      <w:pPr>
        <w:pStyle w:val="Heading3"/>
        <w:jc w:val="both"/>
        <w:rPr>
          <w:rFonts w:ascii="Times New Roman" w:hAnsi="Times New Roman" w:cs="Times New Roman"/>
          <w:sz w:val="24"/>
          <w:szCs w:val="24"/>
        </w:rPr>
      </w:pPr>
      <w:r>
        <w:rPr>
          <w:rFonts w:ascii="Times New Roman" w:hAnsi="Times New Roman"/>
          <w:sz w:val="23"/>
          <w:lang w:val="en-US" w:eastAsia="en-US"/>
        </w:rPr>
        <w:t>3.5.1. Anterior urogenital triangle</w:t>
      </w:r>
    </w:p>
    <w:p w14:paraId="2A2B833A" w14:textId="77777777" w:rsidR="00F52D08" w:rsidRDefault="00000000">
      <w:pPr>
        <w:pStyle w:val="Heading3"/>
        <w:jc w:val="both"/>
        <w:rPr>
          <w:rFonts w:ascii="Times New Roman" w:hAnsi="Times New Roman" w:cs="Times New Roman"/>
          <w:sz w:val="24"/>
          <w:szCs w:val="24"/>
        </w:rPr>
      </w:pPr>
      <w:r>
        <w:rPr>
          <w:rFonts w:ascii="Times New Roman" w:hAnsi="Times New Roman"/>
          <w:sz w:val="23"/>
          <w:lang w:val="en-US" w:eastAsia="en-US"/>
        </w:rPr>
        <w:t>3.5.2. Posterior anal triangle</w:t>
      </w:r>
    </w:p>
    <w:p w14:paraId="62560B21" w14:textId="77777777" w:rsidR="00F52D08" w:rsidRDefault="00000000">
      <w:pPr>
        <w:pStyle w:val="Heading3"/>
        <w:jc w:val="both"/>
        <w:rPr>
          <w:rFonts w:ascii="Times New Roman" w:hAnsi="Times New Roman" w:cs="Times New Roman"/>
          <w:sz w:val="24"/>
          <w:szCs w:val="24"/>
        </w:rPr>
      </w:pPr>
      <w:r>
        <w:rPr>
          <w:rFonts w:ascii="Times New Roman" w:hAnsi="Times New Roman"/>
          <w:sz w:val="23"/>
          <w:lang w:val="en-US" w:eastAsia="en-US"/>
        </w:rPr>
        <w:t>3.5.3. Perineal muscles</w:t>
      </w:r>
    </w:p>
    <w:p w14:paraId="19F5E0A2"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sz w:val="22"/>
        </w:rPr>
        <w:t>The pelvic diaphragm is formed primarily by the levator ani and coccygeus muscles and provides dynamic support for the pelvic organs. The deep transverse perineal muscle belongs to the deep perineal compartment rather than to the pelvic diaphragm itself.</w:t>
      </w:r>
    </w:p>
    <w:p w14:paraId="08B7730F"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sz w:val="22"/>
        </w:rPr>
        <w:t>The superficial perineal muscles include the superficial transverse perineal, ischiocavernosus, and bulbospongiosus muscles; the external anal sphincter surrounds the anal canal. Together with deeper structures, these muscles contribute to continence, sexual function, and support of the perineal body.</w:t>
      </w:r>
    </w:p>
    <w:p w14:paraId="00C5AF84" w14:textId="77777777" w:rsidR="00F52D08" w:rsidRDefault="00000000">
      <w:pPr>
        <w:pStyle w:val="Heading3"/>
        <w:jc w:val="both"/>
        <w:rPr>
          <w:rFonts w:ascii="Times New Roman" w:hAnsi="Times New Roman" w:cs="Times New Roman"/>
          <w:sz w:val="24"/>
          <w:szCs w:val="24"/>
        </w:rPr>
      </w:pPr>
      <w:r>
        <w:rPr>
          <w:rFonts w:ascii="Times New Roman" w:hAnsi="Times New Roman"/>
          <w:sz w:val="23"/>
          <w:lang w:val="en-US" w:eastAsia="en-US"/>
        </w:rPr>
        <w:t>3.5.4. Functions of the perineum</w:t>
      </w:r>
    </w:p>
    <w:p w14:paraId="3AEAFCBF"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sz w:val="22"/>
        </w:rPr>
        <w:t>Continence through the resting tone and coordinated activity of the pelvic floor and sphincter muscles, supplemented by voluntary control learned during toilet training;</w:t>
      </w:r>
    </w:p>
    <w:p w14:paraId="63EF0227"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sz w:val="22"/>
        </w:rPr>
        <w:t>Intermittent, coordinated relaxation of the urinary and anal sphincters, and appropriate relaxation of the vaginal and pelvic floor muscles, to permit urination, defecation, and sexual activity.</w:t>
      </w:r>
    </w:p>
    <w:p w14:paraId="63328482" w14:textId="77777777" w:rsidR="00F52D08" w:rsidRDefault="00000000">
      <w:pPr>
        <w:pStyle w:val="Heading1"/>
      </w:pPr>
      <w:r>
        <w:rPr>
          <w:rFonts w:ascii="Times New Roman" w:hAnsi="Times New Roman"/>
          <w:sz w:val="32"/>
          <w:lang w:val="en-US" w:eastAsia="en-US"/>
        </w:rPr>
        <w:t>4. Vascular supply</w:t>
      </w:r>
    </w:p>
    <w:p w14:paraId="2412501C" w14:textId="77777777" w:rsidR="00F52D08" w:rsidRDefault="00000000">
      <w:pPr>
        <w:pStyle w:val="Heading2"/>
        <w:rPr>
          <w:rFonts w:ascii="Times New Roman" w:hAnsi="Times New Roman" w:cs="Times New Roman"/>
          <w:sz w:val="24"/>
          <w:szCs w:val="24"/>
        </w:rPr>
      </w:pPr>
      <w:r>
        <w:rPr>
          <w:rFonts w:ascii="Times New Roman" w:hAnsi="Times New Roman"/>
          <w:sz w:val="26"/>
          <w:lang w:val="en-US" w:eastAsia="en-US"/>
        </w:rPr>
        <w:t>4.1. Arterial supply</w:t>
      </w:r>
    </w:p>
    <w:p w14:paraId="6D9816B0" w14:textId="675FBFAA" w:rsidR="00F52D08" w:rsidRDefault="00000000">
      <w:pPr>
        <w:spacing w:after="40"/>
        <w:rPr>
          <w:rFonts w:ascii="Times New Roman" w:hAnsi="Times New Roman" w:cs="Times New Roman"/>
          <w:sz w:val="24"/>
          <w:szCs w:val="24"/>
        </w:rPr>
      </w:pPr>
      <w:r>
        <w:rPr>
          <w:rFonts w:ascii="Times New Roman" w:hAnsi="Times New Roman" w:cs="Times New Roman"/>
          <w:b/>
          <w:sz w:val="22"/>
          <w:szCs w:val="24"/>
          <w:lang w:val="en-US" w:eastAsia="en-US"/>
        </w:rPr>
        <w:t>Internal iliac arteries: they arise from the common iliac arteries at the level of the L5–S1 intervertebral disc, follow the anteromedial border of the sacroiliac joint, and divide into two divisions:</w:t>
      </w:r>
      <w:r>
        <w:rPr>
          <w:rFonts w:ascii="Times New Roman" w:hAnsi="Times New Roman" w:cs="Times New Roman"/>
          <w:sz w:val="22"/>
          <w:szCs w:val="24"/>
          <w:lang w:val="en-US" w:eastAsia="en-US"/>
        </w:rPr>
      </w:r>
    </w:p>
    <w:p w14:paraId="7EAB59F1" w14:textId="77777777" w:rsidR="00F52D08" w:rsidRDefault="00000000">
      <w:pPr>
        <w:pStyle w:val="ListParagraph"/>
        <w:spacing w:after="40"/>
        <w:rPr>
          <w:rFonts w:ascii="Times New Roman" w:hAnsi="Times New Roman" w:cs="Times New Roman"/>
          <w:sz w:val="24"/>
          <w:szCs w:val="24"/>
        </w:rPr>
        <w:numPr>
          <w:ilvl w:val="0"/>
          <w:numId w:val="61"/>
        </w:numPr>
      </w:pPr>
      <w:r>
        <w:rPr>
          <w:rFonts w:ascii="Times New Roman" w:hAnsi="Times New Roman" w:cs="Times New Roman"/>
          <w:b/>
          <w:sz w:val="22"/>
          <w:szCs w:val="24"/>
          <w:lang w:val="en-US" w:eastAsia="en-US"/>
        </w:rPr>
        <w:t>Posterior division: supplies the posteroinferior abdominal wall, posterior pelvic wall, and gluteal region.</w:t>
      </w:r>
      <w:r>
        <w:rPr>
          <w:rFonts w:ascii="Times New Roman" w:hAnsi="Times New Roman" w:cs="Times New Roman"/>
          <w:sz w:val="22"/>
          <w:szCs w:val="24"/>
          <w:lang w:val="en-US" w:eastAsia="en-US"/>
        </w:rPr>
      </w:r>
    </w:p>
    <w:p w14:paraId="0EA66412" w14:textId="77777777" w:rsidR="00F52D08" w:rsidRDefault="00000000">
      <w:pPr>
        <w:pStyle w:val="ListParagraph"/>
        <w:spacing w:after="40"/>
        <w:rPr>
          <w:rFonts w:ascii="Times New Roman" w:hAnsi="Times New Roman" w:cs="Times New Roman"/>
          <w:sz w:val="24"/>
          <w:szCs w:val="24"/>
        </w:rPr>
        <w:numPr>
          <w:ilvl w:val="0"/>
          <w:numId w:val="61"/>
        </w:numPr>
      </w:pPr>
      <w:r>
        <w:rPr>
          <w:rFonts w:ascii="Times New Roman" w:hAnsi="Times New Roman"/>
          <w:sz w:val="22"/>
        </w:rPr>
        <w:t>Anterior division: supplies the pelvic viscera, perineum, and medial thigh region; in the fetus, its umbilical branches carry blood toward the placenta.</w:t>
      </w:r>
    </w:p>
    <w:p w14:paraId="2059C136" w14:textId="77777777" w:rsidR="00F52D08" w:rsidRDefault="00000000">
      <w:pPr>
        <w:pStyle w:val="ListParagraph"/>
        <w:spacing w:after="40"/>
        <w:ind w:left="1494"/>
        <w:rPr>
          <w:rFonts w:ascii="Times New Roman" w:hAnsi="Times New Roman" w:cs="Times New Roman"/>
          <w:sz w:val="24"/>
          <w:szCs w:val="24"/>
        </w:rPr>
        <w:numPr>
          <w:ilvl w:val="0"/>
          <w:numId w:val="61"/>
        </w:numPr>
      </w:pPr>
      <w:r>
        <w:rPr>
          <w:rFonts w:ascii="Times New Roman" w:hAnsi="Times New Roman" w:cs="Times New Roman"/>
          <w:sz w:val="22"/>
          <w:szCs w:val="24"/>
          <w:lang w:val="en-US" w:eastAsia="en-US"/>
        </w:rPr>
        <w:t>The gonadal arteries and median sacral artery, which arise from the abdominal aorta, complete the arterial supply to the pelvis.</w:t>
      </w:r>
      <w:r>
        <w:rPr>
          <w:rFonts w:ascii="Times New Roman" w:hAnsi="Times New Roman" w:cs="Times New Roman"/>
          <w:b/>
          <w:sz w:val="22"/>
          <w:szCs w:val="24"/>
          <w:lang w:val="en-US" w:eastAsia="en-US"/>
        </w:rPr>
      </w:r>
      <w:r>
        <w:rPr>
          <w:rFonts w:ascii="Times New Roman" w:hAnsi="Times New Roman" w:cs="Times New Roman"/>
          <w:sz w:val="22"/>
          <w:szCs w:val="24"/>
          <w:lang w:val="en-US" w:eastAsia="en-US"/>
        </w:rPr>
      </w:r>
    </w:p>
    <w:p w14:paraId="2E55F0B6" w14:textId="77777777" w:rsidR="00F52D08" w:rsidRDefault="00000000">
      <w:pPr>
        <w:pStyle w:val="Heading2"/>
        <w:rPr>
          <w:rFonts w:ascii="Times New Roman" w:hAnsi="Times New Roman" w:cs="Times New Roman"/>
          <w:sz w:val="24"/>
          <w:szCs w:val="24"/>
        </w:rPr>
      </w:pPr>
      <w:r>
        <w:rPr>
          <w:rFonts w:ascii="Times New Roman" w:hAnsi="Times New Roman"/>
          <w:sz w:val="26"/>
          <w:lang w:val="en-US" w:eastAsia="en-US"/>
        </w:rPr>
        <w:t>4.2. Venous drainage</w:t>
      </w:r>
    </w:p>
    <w:p w14:paraId="32004385" w14:textId="77777777" w:rsidR="00F52D08" w:rsidRDefault="00000000">
      <w:pPr>
        <w:pStyle w:val="ListParagraph"/>
        <w:spacing w:after="40"/>
        <w:rPr>
          <w:rFonts w:ascii="Times New Roman" w:hAnsi="Times New Roman" w:cs="Times New Roman"/>
          <w:sz w:val="24"/>
          <w:szCs w:val="24"/>
        </w:rPr>
        <w:numPr>
          <w:ilvl w:val="0"/>
          <w:numId w:val="61"/>
        </w:numPr>
      </w:pPr>
      <w:r>
        <w:rPr>
          <w:rFonts w:ascii="Times New Roman" w:hAnsi="Times New Roman" w:cs="Times New Roman"/>
          <w:b/>
          <w:sz w:val="22"/>
          <w:szCs w:val="24"/>
          <w:lang w:val="en-US" w:eastAsia="en-US"/>
        </w:rPr>
        <w:t>Internal iliac veins: they accompany the internal iliac arteries and join the common iliac veins.</w:t>
      </w:r>
      <w:r>
        <w:rPr>
          <w:rFonts w:ascii="Times New Roman" w:hAnsi="Times New Roman" w:cs="Times New Roman"/>
          <w:sz w:val="22"/>
          <w:szCs w:val="24"/>
          <w:lang w:val="en-US" w:eastAsia="en-US"/>
        </w:rPr>
      </w:r>
    </w:p>
    <w:p w14:paraId="4F2B1125" w14:textId="46D0DA71" w:rsidR="00F52D08" w:rsidRDefault="00000000">
      <w:pPr>
        <w:pStyle w:val="ListParagraph"/>
        <w:spacing w:after="40"/>
        <w:rPr>
          <w:rFonts w:ascii="Times New Roman" w:hAnsi="Times New Roman" w:cs="Times New Roman"/>
          <w:sz w:val="24"/>
          <w:szCs w:val="24"/>
        </w:rPr>
        <w:numPr>
          <w:ilvl w:val="0"/>
          <w:numId w:val="61"/>
        </w:numPr>
      </w:pPr>
      <w:r>
        <w:rPr>
          <w:rFonts w:ascii="Times New Roman" w:hAnsi="Times New Roman"/>
          <w:sz w:val="22"/>
        </w:rPr>
        <w:t>Pelvic venous plexuses contribute to venous drainage around the pelvic organs. Most drain into tributaries of the internal iliac veins. The rectal venous plexus also participates in portosystemic anastomoses through communication between superior, middle, and inferior rectal veins.</w:t>
      </w:r>
    </w:p>
    <w:p w14:paraId="423D8B63" w14:textId="77777777" w:rsidR="00F52D08" w:rsidRDefault="00000000">
      <w:pPr>
        <w:pStyle w:val="Heading3"/>
        <w:ind w:left="708"/>
        <w:rPr>
          <w:rFonts w:ascii="Times New Roman" w:hAnsi="Times New Roman" w:cs="Times New Roman"/>
          <w:sz w:val="24"/>
          <w:szCs w:val="24"/>
        </w:rPr>
      </w:pPr>
      <w:r>
        <w:rPr>
          <w:rFonts w:ascii="Times New Roman" w:hAnsi="Times New Roman" w:cs="Times New Roman"/>
          <w:sz w:val="23"/>
          <w:szCs w:val="24"/>
          <w:lang w:val="en-US" w:eastAsia="en-US"/>
        </w:rPr>
        <w:t>Relevance to ROP</w:t>
      </w:r>
    </w:p>
    <w:p w14:paraId="4E1931BA" w14:textId="77777777" w:rsidR="00F52D08" w:rsidRDefault="00000000">
      <w:pPr>
        <w:pStyle w:val="ListParagraph"/>
        <w:spacing w:after="40"/>
        <w:ind w:left="708"/>
        <w:rPr>
          <w:rFonts w:ascii="Times New Roman" w:hAnsi="Times New Roman" w:cs="Times New Roman"/>
          <w:sz w:val="24"/>
          <w:szCs w:val="24"/>
        </w:rPr>
        <w:numPr>
          <w:ilvl w:val="0"/>
          <w:numId w:val="61"/>
        </w:numPr>
      </w:pPr>
      <w:r>
        <w:rPr>
          <w:rFonts w:ascii="Times New Roman" w:hAnsi="Times New Roman"/>
          <w:sz w:val="22"/>
        </w:rPr>
        <w:t>Impaired pelvic venous return may dilate pelvic venous plexuses. Portal hypertension may produce rectal varices through portosystemic communications, but hemorrhoidal disease and pelvic organ support are multifactorial and should not be attributed to a single venous mechanism.</w:t>
      </w:r>
    </w:p>
    <w:p w14:paraId="37958177" w14:textId="77777777" w:rsidR="00F52D08" w:rsidRDefault="00000000">
      <w:pPr>
        <w:pStyle w:val="ListParagraph"/>
        <w:spacing w:after="40"/>
        <w:rPr>
          <w:rFonts w:ascii="Times New Roman" w:hAnsi="Times New Roman" w:cs="Times New Roman"/>
          <w:sz w:val="24"/>
          <w:szCs w:val="24"/>
        </w:rPr>
        <w:numPr>
          <w:ilvl w:val="0"/>
          <w:numId w:val="61"/>
        </w:numPr>
      </w:pPr>
      <w:r>
        <w:rPr>
          <w:rFonts w:ascii="Times New Roman" w:hAnsi="Times New Roman"/>
          <w:sz w:val="22"/>
        </w:rPr>
        <w:t>Median sacral veins: these accompany the median sacral artery and usually drain into the left common iliac vein or the inferior vena cava.</w:t>
      </w:r>
    </w:p>
    <w:p w14:paraId="7D948459" w14:textId="5558F173" w:rsidR="00F52D08" w:rsidRDefault="00000000">
      <w:pPr>
        <w:pStyle w:val="ListParagraph"/>
        <w:spacing w:after="40"/>
        <w:rPr>
          <w:rFonts w:ascii="Times New Roman" w:hAnsi="Times New Roman" w:cs="Times New Roman"/>
          <w:sz w:val="24"/>
          <w:szCs w:val="24"/>
        </w:rPr>
        <w:numPr>
          <w:ilvl w:val="0"/>
          <w:numId w:val="61"/>
        </w:numPr>
      </w:pPr>
      <w:r>
        <w:rPr>
          <w:rFonts w:ascii="Times New Roman" w:hAnsi="Times New Roman" w:cs="Times New Roman"/>
          <w:b/>
          <w:sz w:val="22"/>
          <w:szCs w:val="24"/>
          <w:lang w:val="en-US" w:eastAsia="en-US"/>
        </w:rPr>
        <w:t>Gonadal veins: their drainage differs. The right gonadal vein drains into the inferior vena cava, whereas the left drains into the left renal vein.</w:t>
      </w:r>
      <w:r>
        <w:rPr>
          <w:rFonts w:ascii="Times New Roman" w:hAnsi="Times New Roman" w:cs="Times New Roman"/>
          <w:sz w:val="22"/>
          <w:szCs w:val="24"/>
          <w:lang w:val="en-US" w:eastAsia="en-US"/>
        </w:rPr>
      </w:r>
    </w:p>
    <w:p w14:paraId="45A64D88" w14:textId="77777777" w:rsidR="00F52D08" w:rsidRDefault="00000000">
      <w:pPr>
        <w:pStyle w:val="Heading1"/>
      </w:pPr>
      <w:r>
        <w:rPr>
          <w:rFonts w:ascii="Times New Roman" w:hAnsi="Times New Roman"/>
          <w:sz w:val="32"/>
          <w:lang w:val="en-US" w:eastAsia="en-US"/>
        </w:rPr>
        <w:t>5. Innervation</w:t>
      </w:r>
    </w:p>
    <w:p w14:paraId="17F93659" w14:textId="77777777" w:rsidR="00F52D08" w:rsidRDefault="00000000">
      <w:pPr>
        <w:pStyle w:val="Heading2"/>
        <w:rPr>
          <w:rFonts w:ascii="Times New Roman" w:hAnsi="Times New Roman" w:cs="Times New Roman"/>
          <w:sz w:val="24"/>
          <w:szCs w:val="24"/>
        </w:rPr>
      </w:pPr>
      <w:r>
        <w:rPr>
          <w:rFonts w:ascii="Times New Roman" w:hAnsi="Times New Roman"/>
          <w:sz w:val="26"/>
          <w:lang w:val="en-US" w:eastAsia="en-US"/>
        </w:rPr>
        <w:t>5.1. Somatic innervation</w:t>
      </w:r>
    </w:p>
    <w:p w14:paraId="4EA6A2F0" w14:textId="77777777" w:rsidR="00F52D08" w:rsidRDefault="00000000">
      <w:pPr>
        <w:pStyle w:val="Heading3"/>
        <w:rPr>
          <w:rFonts w:ascii="Times New Roman" w:hAnsi="Times New Roman" w:cs="Times New Roman"/>
          <w:sz w:val="24"/>
          <w:szCs w:val="24"/>
        </w:rPr>
      </w:pPr>
      <w:r>
        <w:rPr>
          <w:rFonts w:ascii="Times New Roman" w:hAnsi="Times New Roman"/>
          <w:sz w:val="23"/>
          <w:lang w:val="en-US" w:eastAsia="en-US"/>
        </w:rPr>
        <w:t>5.1.1. Sacral plexus</w:t>
      </w:r>
    </w:p>
    <w:p w14:paraId="69C5AA46" w14:textId="77777777" w:rsidR="00F52D08" w:rsidRDefault="00000000">
      <w:pPr>
        <w:spacing w:after="40"/>
        <w:rPr>
          <w:rFonts w:ascii="Times New Roman" w:hAnsi="Times New Roman" w:cs="Times New Roman"/>
          <w:b/>
          <w:sz w:val="24"/>
          <w:szCs w:val="24"/>
        </w:rPr>
      </w:pPr>
      <w:r>
        <w:rPr>
          <w:rFonts w:ascii="Times New Roman" w:hAnsi="Times New Roman"/>
          <w:sz w:val="22"/>
        </w:rPr>
        <w:t>The sciatic nerve is the largest branch of the sacral plexus. It usually leaves the pelvis through the greater sciatic foramen inferior to the piriformis and then courses deep to the gluteus maximus.</w:t>
      </w:r>
    </w:p>
    <w:p w14:paraId="5F223E82" w14:textId="77777777" w:rsidR="00F52D08" w:rsidRDefault="00000000">
      <w:pPr>
        <w:pStyle w:val="Heading3"/>
        <w:rPr>
          <w:rFonts w:ascii="Times New Roman" w:hAnsi="Times New Roman" w:cs="Times New Roman"/>
          <w:sz w:val="24"/>
          <w:szCs w:val="24"/>
        </w:rPr>
      </w:pPr>
      <w:r>
        <w:rPr>
          <w:rFonts w:ascii="Times New Roman" w:hAnsi="Times New Roman"/>
          <w:sz w:val="23"/>
          <w:lang w:val="en-US" w:eastAsia="en-US"/>
        </w:rPr>
        <w:t>5.1.2. Ischiotrochanteric groove</w:t>
      </w:r>
    </w:p>
    <w:p w14:paraId="3FC4DD77" w14:textId="77777777" w:rsidR="00F52D08" w:rsidRDefault="00000000">
      <w:pPr>
        <w:pStyle w:val="Heading3"/>
        <w:rPr>
          <w:rFonts w:ascii="Times New Roman" w:hAnsi="Times New Roman" w:cs="Times New Roman"/>
          <w:sz w:val="24"/>
          <w:szCs w:val="24"/>
        </w:rPr>
      </w:pPr>
      <w:r>
        <w:rPr>
          <w:rFonts w:ascii="Times New Roman" w:hAnsi="Times New Roman"/>
          <w:sz w:val="23"/>
        </w:rPr>
        <w:t>5.1.3. Sacral contributions to pelvic innervation</w:t>
      </w:r>
    </w:p>
    <w:p w14:paraId="7E70E8B5" w14:textId="77777777" w:rsidR="00F52D08" w:rsidRDefault="00000000">
      <w:pPr>
        <w:pStyle w:val="ListParagraph"/>
        <w:spacing w:after="40"/>
        <w:rPr>
          <w:rFonts w:ascii="Times New Roman" w:hAnsi="Times New Roman" w:cs="Times New Roman"/>
          <w:b/>
          <w:sz w:val="24"/>
          <w:szCs w:val="24"/>
        </w:rPr>
        <w:numPr>
          <w:ilvl w:val="0"/>
          <w:numId w:val="61"/>
        </w:numPr>
      </w:pPr>
      <w:r>
        <w:rPr>
          <w:rFonts w:ascii="Times New Roman" w:hAnsi="Times New Roman"/>
          <w:sz w:val="22"/>
        </w:rPr>
        <w:t>Pelvic splanchnic nerves (nervi erigentes), arising from S2–S4, carry parasympathetic fibers to the pelvic organs. They are autonomic nerves and must not be confused with the somatic pudendal nerve.</w:t>
      </w:r>
    </w:p>
    <w:p w14:paraId="4C9C56B9" w14:textId="77777777" w:rsidR="00F52D08" w:rsidRDefault="00000000">
      <w:pPr>
        <w:pStyle w:val="ListParagraph"/>
        <w:spacing w:after="40"/>
        <w:rPr>
          <w:rFonts w:ascii="Times New Roman" w:hAnsi="Times New Roman" w:cs="Times New Roman"/>
          <w:b/>
          <w:sz w:val="24"/>
          <w:szCs w:val="24"/>
        </w:rPr>
        <w:numPr>
          <w:ilvl w:val="0"/>
          <w:numId w:val="61"/>
        </w:numPr>
      </w:pPr>
      <w:r>
        <w:rPr>
          <w:rFonts w:ascii="Times New Roman" w:hAnsi="Times New Roman"/>
          <w:sz w:val="22"/>
        </w:rPr>
        <w:t>Somatic branches from the sacral plexus and direct sacral nerve branches contribute to innervation of the pelvic floor. The pudendal nerve supplies the external urethral and anal sphincters and other perineal muscles.</w:t>
      </w:r>
    </w:p>
    <w:p w14:paraId="24B7D17F" w14:textId="77777777" w:rsidR="00F52D08" w:rsidRDefault="00000000">
      <w:pPr>
        <w:pStyle w:val="Heading3"/>
        <w:rPr>
          <w:rFonts w:ascii="Times New Roman" w:hAnsi="Times New Roman" w:cs="Times New Roman"/>
          <w:sz w:val="24"/>
          <w:szCs w:val="24"/>
        </w:rPr>
      </w:pPr>
      <w:r>
        <w:rPr>
          <w:rFonts w:ascii="Times New Roman" w:hAnsi="Times New Roman"/>
          <w:sz w:val="23"/>
          <w:lang w:val="en-US" w:eastAsia="en-US"/>
        </w:rPr>
        <w:t>5.1.4. Pudendal nerve</w:t>
      </w:r>
    </w:p>
    <w:p w14:paraId="3AECCA42" w14:textId="77777777" w:rsidR="00F52D08" w:rsidRDefault="00000000">
      <w:pPr>
        <w:pStyle w:val="ListParagraph"/>
        <w:spacing w:after="40"/>
        <w:rPr>
          <w:rFonts w:ascii="Times New Roman" w:hAnsi="Times New Roman" w:cs="Times New Roman"/>
          <w:b/>
          <w:sz w:val="24"/>
          <w:szCs w:val="24"/>
        </w:rPr>
        <w:numPr>
          <w:ilvl w:val="0"/>
          <w:numId w:val="61"/>
        </w:numPr>
      </w:pPr>
      <w:r>
        <w:rPr>
          <w:rFonts w:ascii="Times New Roman" w:hAnsi="Times New Roman"/>
          <w:sz w:val="22"/>
        </w:rPr>
        <w:t>Motor branches: supply the striated muscles of the perineum, including the external urethral and external anal sphincters;</w:t>
      </w:r>
    </w:p>
    <w:p w14:paraId="291806A4" w14:textId="77777777" w:rsidR="00F52D08" w:rsidRDefault="00000000">
      <w:pPr>
        <w:pStyle w:val="ListParagraph"/>
        <w:spacing w:after="40"/>
        <w:rPr>
          <w:rFonts w:ascii="Times New Roman" w:hAnsi="Times New Roman" w:cs="Times New Roman"/>
          <w:b/>
          <w:sz w:val="24"/>
          <w:szCs w:val="24"/>
        </w:rPr>
        <w:numPr>
          <w:ilvl w:val="0"/>
          <w:numId w:val="61"/>
        </w:numPr>
      </w:pPr>
      <w:r>
        <w:rPr>
          <w:rFonts w:ascii="Times New Roman" w:hAnsi="Times New Roman"/>
          <w:sz w:val="22"/>
        </w:rPr>
        <w:t>Sensory branches: supply the skin of the anal triangle, perineum, scrotum in men, and labial region in women. The dorsal nerve of the penis or clitoris, a terminal branch of the pudendal nerve, passes inferior to the pubic symphysis and provides somatic sensation to the external genitalia.</w:t>
      </w:r>
    </w:p>
    <w:p w14:paraId="19C3920E" w14:textId="77777777" w:rsidR="00F52D08" w:rsidRDefault="00F52D08">
      <w:pPr>
        <w:spacing w:after="40"/>
        <w:ind w:left="1776"/>
        <w:rPr>
          <w:rFonts w:ascii="Times New Roman" w:hAnsi="Times New Roman" w:cs="Times New Roman"/>
          <w:b/>
          <w:sz w:val="24"/>
          <w:szCs w:val="24"/>
        </w:rPr>
      </w:pPr>
    </w:p>
    <w:p w14:paraId="7EC6D9B5" w14:textId="77777777" w:rsidR="00F52D08" w:rsidRDefault="00000000">
      <w:pPr>
        <w:pStyle w:val="Heading3"/>
        <w:ind w:left="1636"/>
        <w:rPr>
          <w:rFonts w:ascii="Times New Roman" w:hAnsi="Times New Roman" w:cs="Times New Roman"/>
          <w:sz w:val="24"/>
          <w:szCs w:val="24"/>
        </w:rPr>
      </w:pPr>
      <w:r>
        <w:rPr>
          <w:rFonts w:ascii="Times New Roman" w:hAnsi="Times New Roman" w:cs="Times New Roman"/>
          <w:sz w:val="23"/>
          <w:szCs w:val="24"/>
          <w:lang w:val="en-US" w:eastAsia="en-US"/>
        </w:rPr>
        <w:t>Relevance to ROP</w:t>
      </w:r>
    </w:p>
    <w:p w14:paraId="2D9ADE8E" w14:textId="77777777" w:rsidR="00F52D08" w:rsidRDefault="00000000">
      <w:pPr>
        <w:spacing w:after="40"/>
        <w:ind w:left="1636"/>
        <w:rPr>
          <w:rFonts w:ascii="Times New Roman" w:hAnsi="Times New Roman" w:cs="Times New Roman"/>
          <w:sz w:val="24"/>
          <w:szCs w:val="24"/>
        </w:rPr>
      </w:pPr>
      <w:r>
        <w:rPr>
          <w:rFonts w:ascii="Times New Roman" w:hAnsi="Times New Roman"/>
          <w:sz w:val="22"/>
        </w:rPr>
        <w:t>The pudendal nerve may be irritated or compressed near the coccygeus and obturator internus muscles, between the sacrospinous and sacrotuberous ligaments, or within the pudendal canal (Alcock’s canal). ROP management considers the nerve along its entire course. See Réflexothérapie occipito-podale et système neuro-méningé, Elsevier Masson, p. 44.</w:t>
      </w:r>
    </w:p>
    <w:p w14:paraId="2958B359" w14:textId="77777777" w:rsidR="00F52D08" w:rsidRDefault="00000000">
      <w:pPr>
        <w:pStyle w:val="Heading3"/>
        <w:rPr>
          <w:rFonts w:ascii="Times New Roman" w:hAnsi="Times New Roman" w:cs="Times New Roman"/>
          <w:sz w:val="24"/>
          <w:szCs w:val="24"/>
        </w:rPr>
      </w:pPr>
      <w:r>
        <w:rPr>
          <w:rFonts w:ascii="Times New Roman" w:hAnsi="Times New Roman"/>
          <w:sz w:val="23"/>
          <w:lang w:val="en-US" w:eastAsia="en-US"/>
        </w:rPr>
        <w:t>5.1.5. Coccygeal plexus</w:t>
      </w:r>
    </w:p>
    <w:p w14:paraId="4AE514EE"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cs="Times New Roman"/>
          <w:b/>
          <w:sz w:val="22"/>
          <w:szCs w:val="24"/>
          <w:lang w:val="en-US" w:eastAsia="en-US"/>
        </w:rPr>
        <w:t>Clinical presentation: coccygeal fracture.</w:t>
      </w:r>
      <w:r>
        <w:rPr>
          <w:rFonts w:ascii="Times New Roman" w:hAnsi="Times New Roman" w:cs="Times New Roman"/>
          <w:sz w:val="22"/>
          <w:szCs w:val="24"/>
          <w:lang w:val="en-US" w:eastAsia="en-US"/>
        </w:rPr>
      </w:r>
    </w:p>
    <w:p w14:paraId="5160BFC2"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cs="Times New Roman"/>
          <w:b/>
          <w:sz w:val="22"/>
          <w:szCs w:val="24"/>
          <w:lang w:val="en-US" w:eastAsia="en-US"/>
        </w:rPr>
        <w:t>Symptoms: coccydynia.</w:t>
      </w:r>
      <w:r>
        <w:rPr>
          <w:rFonts w:ascii="Times New Roman" w:hAnsi="Times New Roman" w:cs="Times New Roman"/>
          <w:sz w:val="22"/>
          <w:szCs w:val="24"/>
          <w:lang w:val="en-US" w:eastAsia="en-US"/>
        </w:rPr>
      </w:r>
    </w:p>
    <w:p w14:paraId="07A95264" w14:textId="77777777" w:rsidR="00F52D08" w:rsidRDefault="00F52D08">
      <w:pPr>
        <w:spacing w:after="40"/>
        <w:ind w:left="1636"/>
        <w:rPr>
          <w:rFonts w:ascii="Times New Roman" w:hAnsi="Times New Roman" w:cs="Times New Roman"/>
          <w:b/>
          <w:sz w:val="24"/>
          <w:szCs w:val="24"/>
        </w:rPr>
      </w:pPr>
    </w:p>
    <w:p w14:paraId="05CA82CD" w14:textId="77777777" w:rsidR="00F52D08" w:rsidRDefault="00000000">
      <w:pPr>
        <w:pStyle w:val="Heading2"/>
        <w:rPr>
          <w:rFonts w:ascii="Times New Roman" w:hAnsi="Times New Roman" w:cs="Times New Roman"/>
          <w:sz w:val="24"/>
          <w:szCs w:val="24"/>
        </w:rPr>
      </w:pPr>
      <w:r>
        <w:rPr>
          <w:rFonts w:ascii="Times New Roman" w:hAnsi="Times New Roman"/>
          <w:sz w:val="26"/>
          <w:lang w:val="en-US" w:eastAsia="en-US"/>
        </w:rPr>
        <w:t>5.2. Autonomic innervation</w:t>
      </w:r>
    </w:p>
    <w:p w14:paraId="450895FD" w14:textId="77777777" w:rsidR="00F52D08" w:rsidRDefault="00000000">
      <w:pPr>
        <w:pStyle w:val="Heading3"/>
        <w:rPr>
          <w:rFonts w:ascii="Times New Roman" w:hAnsi="Times New Roman" w:cs="Times New Roman"/>
          <w:sz w:val="24"/>
          <w:szCs w:val="24"/>
        </w:rPr>
      </w:pPr>
      <w:r>
        <w:rPr>
          <w:rFonts w:ascii="Times New Roman" w:hAnsi="Times New Roman"/>
          <w:sz w:val="23"/>
          <w:lang w:val="en-US" w:eastAsia="en-US"/>
        </w:rPr>
        <w:t>5.2.1. Sympathetic division</w:t>
      </w:r>
    </w:p>
    <w:p w14:paraId="756EE87E"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cs="Times New Roman"/>
          <w:b/>
          <w:sz w:val="22"/>
          <w:szCs w:val="24"/>
          <w:lang w:val="en-US" w:eastAsia="en-US"/>
        </w:rPr>
        <w:t>Lumbar and sacral paravertebral sympathetic chains;</w:t>
      </w:r>
      <w:r>
        <w:rPr>
          <w:rFonts w:ascii="Times New Roman" w:hAnsi="Times New Roman" w:cs="Times New Roman"/>
          <w:sz w:val="22"/>
          <w:szCs w:val="24"/>
          <w:lang w:val="en-US" w:eastAsia="en-US"/>
        </w:rPr>
      </w:r>
      <w:r>
        <w:rPr>
          <w:rFonts w:ascii="Times New Roman" w:hAnsi="Times New Roman" w:cs="Times New Roman"/>
          <w:b/>
          <w:sz w:val="22"/>
          <w:szCs w:val="24"/>
          <w:lang w:val="en-US" w:eastAsia="en-US"/>
        </w:rPr>
      </w:r>
      <w:r>
        <w:rPr>
          <w:rFonts w:ascii="Times New Roman" w:hAnsi="Times New Roman" w:cs="Times New Roman"/>
          <w:sz w:val="22"/>
          <w:szCs w:val="24"/>
          <w:lang w:val="en-US" w:eastAsia="en-US"/>
        </w:rPr>
      </w:r>
    </w:p>
    <w:p w14:paraId="3ADA24F5"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sz w:val="22"/>
        </w:rPr>
        <w:t>Prevertebral plexuses: the ovaries and testes receive autonomic fibers through the ovarian and testicular plexuses, which accompany the gonadal vessels and communicate with the aortic and renal plexuses;</w:t>
      </w:r>
    </w:p>
    <w:p w14:paraId="5DC89628"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sz w:val="22"/>
        </w:rPr>
        <w:t>Sympathetic fibers destined for the pelvic organs descend through the superior hypogastric plexus and hypogastric nerves to the inferior hypogastric plexuses. The inferior mesenteric plexus principally accompanies the inferior mesenteric vessels to the hindgut and communicates with the superior hypogastric plexus.</w:t>
      </w:r>
    </w:p>
    <w:p w14:paraId="73355D7C"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sz w:val="22"/>
        </w:rPr>
        <w:t>Gray rami communicantes carry postganglionic sympathetic fibers from the sacral sympathetic trunk to the anterior rami of the sacral spinal nerves. These fibers are then distributed with somatic nerves to blood vessels, sweat glands, and arrector pili muscles.</w:t>
      </w:r>
    </w:p>
    <w:p w14:paraId="61505FE5" w14:textId="77777777" w:rsidR="00F52D08" w:rsidRDefault="00000000">
      <w:pPr>
        <w:pStyle w:val="Heading3"/>
        <w:rPr>
          <w:rFonts w:ascii="Times New Roman" w:hAnsi="Times New Roman" w:cs="Times New Roman"/>
          <w:sz w:val="24"/>
          <w:szCs w:val="24"/>
        </w:rPr>
      </w:pPr>
      <w:r>
        <w:rPr>
          <w:rFonts w:ascii="Times New Roman" w:hAnsi="Times New Roman"/>
          <w:sz w:val="23"/>
          <w:lang w:val="en-US" w:eastAsia="en-US"/>
        </w:rPr>
        <w:t>5.2.2. Pelvic parasympathetic division</w:t>
      </w:r>
    </w:p>
    <w:p w14:paraId="637BCC26" w14:textId="77777777" w:rsidR="00F52D08" w:rsidRDefault="00F52D08">
      <w:pPr>
        <w:spacing w:after="40"/>
        <w:ind w:left="786"/>
        <w:rPr>
          <w:rFonts w:ascii="Times New Roman" w:hAnsi="Times New Roman" w:cs="Times New Roman"/>
          <w:sz w:val="24"/>
          <w:szCs w:val="24"/>
        </w:rPr>
      </w:pPr>
    </w:p>
    <w:p w14:paraId="1F53C697" w14:textId="77777777" w:rsidR="00F52D08" w:rsidRDefault="00000000">
      <w:pPr>
        <w:pStyle w:val="Heading3"/>
        <w:rPr>
          <w:rFonts w:ascii="Times New Roman" w:hAnsi="Times New Roman" w:cs="Times New Roman"/>
          <w:sz w:val="24"/>
          <w:szCs w:val="24"/>
        </w:rPr>
      </w:pPr>
      <w:r>
        <w:rPr>
          <w:rFonts w:ascii="Times New Roman" w:hAnsi="Times New Roman"/>
          <w:sz w:val="23"/>
          <w:lang w:val="en-US" w:eastAsia="en-US"/>
        </w:rPr>
        <w:t>5.2.3. Inferior hypogastric plexus</w:t>
      </w:r>
    </w:p>
    <w:p w14:paraId="6BF66133" w14:textId="77777777" w:rsidR="00F52D08" w:rsidRDefault="00F52D08">
      <w:pPr>
        <w:spacing w:after="40"/>
        <w:ind w:left="720"/>
        <w:rPr>
          <w:rFonts w:ascii="Times New Roman" w:hAnsi="Times New Roman" w:cs="Times New Roman"/>
          <w:sz w:val="24"/>
          <w:szCs w:val="24"/>
        </w:rPr>
      </w:pPr>
    </w:p>
    <w:p w14:paraId="65FBD344" w14:textId="77777777" w:rsidR="00F52D08" w:rsidRDefault="00000000">
      <w:pPr>
        <w:pStyle w:val="Heading2"/>
        <w:rPr>
          <w:rFonts w:ascii="Times New Roman" w:hAnsi="Times New Roman" w:cs="Times New Roman"/>
          <w:sz w:val="24"/>
          <w:szCs w:val="24"/>
        </w:rPr>
      </w:pPr>
      <w:r>
        <w:rPr>
          <w:rFonts w:ascii="Times New Roman" w:hAnsi="Times New Roman"/>
          <w:sz w:val="26"/>
          <w:lang w:val="en-US" w:eastAsia="en-US"/>
        </w:rPr>
        <w:t>5.3. Higher autonomic centers</w:t>
      </w:r>
    </w:p>
    <w:p w14:paraId="08E4CDB8" w14:textId="50339ECB" w:rsidR="00F52D08" w:rsidRDefault="00000000">
      <w:pPr>
        <w:ind w:left="1069"/>
        <w:jc w:val="both"/>
        <w:rPr>
          <w:rFonts w:ascii="Times New Roman" w:hAnsi="Times New Roman" w:cs="Times New Roman"/>
          <w:sz w:val="24"/>
          <w:szCs w:val="24"/>
        </w:rPr>
      </w:pPr>
      <w:r>
        <w:rPr>
          <w:rFonts w:ascii="Times New Roman" w:hAnsi="Times New Roman"/>
          <w:sz w:val="22"/>
        </w:rPr>
        <w:t>Autonomic function is coordinated at several levels of the nervous system. The hypothalamus integrates autonomic and endocrine responses and influences pituitary function:</w:t>
      </w:r>
    </w:p>
    <w:p w14:paraId="4CB4C28A"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sz w:val="22"/>
        </w:rPr>
        <w:t>Hypothalamus: contributes to autonomic and hormonal regulation of urogenital function, sexual motivation and arousal, the menstrual cycle, and pregnancy. It lies inferior to the thalamus and forms the floor and inferolateral walls of the third ventricle.</w:t>
      </w:r>
    </w:p>
    <w:p w14:paraId="4D9818E6"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sz w:val="22"/>
        </w:rPr>
        <w:t>Pituitary gland: located inferior to the hypothalamus within the sella turcica of the sphenoid bone. Through hormones including FSH, LH, and prolactin, it regulates reproductive and gonadal function.</w:t>
      </w:r>
    </w:p>
    <w:p w14:paraId="5F00178E"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sz w:val="22"/>
        </w:rPr>
        <w:t>Pineal gland (epiphysis cerebri): located posterior to the thalamus near the roof of the third ventricle. Its principal hormone, melatonin, contributes to regulation of circadian and seasonal rhythms. ROP and craniosacral models also consider its relationship to cerebrospinal fluid dynamics, but those proposed mechanical effects should be distinguished from established pineal physiology.</w:t>
      </w:r>
    </w:p>
    <w:p w14:paraId="219480EC"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sz w:val="22"/>
        </w:rPr>
        <w:t>Limbic system: a group of interconnected structures involved in emotion, motivation, memory, and behavior. Through its connections with the hypothalamus, it helps adapt autonomic and endocrine responses to the organism’s internal state and experience (see Chapter 3, “Central Nervous System,” section “Limbic or Emotional Brain”).</w:t>
      </w:r>
    </w:p>
    <w:p w14:paraId="5922AB82"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sz w:val="22"/>
        </w:rPr>
        <w:t>Prefrontal cortex: located in the anterior frontal lobes, it supports executive function, decision-making, behavioral regulation, social judgment, and aspects of conscious goal-directed activity (see Chapter 3, “Central Nervous System,” section “Prefrontal and Orbitofrontal Cortex”).</w:t>
      </w:r>
    </w:p>
    <w:p w14:paraId="221A88E6" w14:textId="77777777" w:rsidR="00F52D08" w:rsidRDefault="00000000">
      <w:pPr>
        <w:pStyle w:val="Heading1"/>
        <w:rPr>
          <w:rFonts w:ascii="Times New Roman" w:hAnsi="Times New Roman" w:cs="Times New Roman"/>
          <w:sz w:val="24"/>
          <w:szCs w:val="24"/>
        </w:rPr>
      </w:pPr>
      <w:r>
        <w:rPr>
          <w:rFonts w:ascii="Times New Roman" w:hAnsi="Times New Roman"/>
          <w:sz w:val="32"/>
          <w:lang w:val="en-US" w:eastAsia="en-US"/>
        </w:rPr>
        <w:t>6. Physiology: load distribution and pressure-absorption mechanisms</w:t>
      </w:r>
    </w:p>
    <w:p w14:paraId="6F029DE4" w14:textId="77777777" w:rsidR="00F52D08" w:rsidRDefault="00F52D08">
      <w:pPr>
        <w:spacing w:after="40"/>
        <w:rPr>
          <w:rFonts w:ascii="Times New Roman" w:hAnsi="Times New Roman" w:cs="Times New Roman"/>
          <w:sz w:val="24"/>
          <w:szCs w:val="24"/>
        </w:rPr>
      </w:pPr>
    </w:p>
    <w:p w14:paraId="527038D3" w14:textId="77777777" w:rsidR="00F52D08" w:rsidRDefault="00000000">
      <w:pPr>
        <w:pStyle w:val="Heading2"/>
        <w:rPr>
          <w:rFonts w:ascii="Times New Roman" w:hAnsi="Times New Roman" w:cs="Times New Roman"/>
          <w:sz w:val="24"/>
          <w:szCs w:val="24"/>
        </w:rPr>
      </w:pPr>
      <w:r>
        <w:rPr>
          <w:rFonts w:ascii="Times New Roman" w:hAnsi="Times New Roman"/>
          <w:sz w:val="26"/>
          <w:lang w:val="en-US" w:eastAsia="en-US"/>
        </w:rPr>
        <w:t>6.1. Turgor effect and intracavitary pressures</w:t>
      </w:r>
    </w:p>
    <w:p w14:paraId="3640E061" w14:textId="77777777" w:rsidR="00F52D08" w:rsidRDefault="00000000">
      <w:pPr>
        <w:ind w:firstLine="360"/>
        <w:jc w:val="both"/>
        <w:rPr>
          <w:rFonts w:ascii="Times New Roman" w:hAnsi="Times New Roman" w:cs="Times New Roman"/>
          <w:sz w:val="24"/>
          <w:szCs w:val="24"/>
        </w:rPr>
      </w:pPr>
      <w:r>
        <w:rPr>
          <w:rFonts w:ascii="Times New Roman" w:hAnsi="Times New Roman"/>
          <w:sz w:val="22"/>
        </w:rPr>
        <w:t>In the pressure model used in this chapter, approximate values in the standing position are presented as follows:</w:t>
      </w:r>
    </w:p>
    <w:p w14:paraId="71ECA807"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cs="Times New Roman"/>
          <w:sz w:val="22"/>
          <w:szCs w:val="24"/>
          <w:lang w:val="en-US" w:eastAsia="en-US"/>
        </w:rPr>
        <w:t>+10 to +20 cmH₂O in the cranial cavity;</w:t>
      </w:r>
    </w:p>
    <w:p w14:paraId="1EF6F6A0"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cs="Times New Roman"/>
          <w:sz w:val="22"/>
          <w:szCs w:val="24"/>
          <w:lang w:val="en-US" w:eastAsia="en-US"/>
        </w:rPr>
        <w:t>−5 to −10 cmH₂O in the pleural cavity;</w:t>
      </w:r>
    </w:p>
    <w:p w14:paraId="03602920"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cs="Times New Roman"/>
          <w:sz w:val="22"/>
          <w:szCs w:val="24"/>
          <w:lang w:val="en-US" w:eastAsia="en-US"/>
        </w:rPr>
        <w:t>&lt;0 in the supramesocolic subdiaphragmatic compartment;</w:t>
      </w:r>
    </w:p>
    <w:p w14:paraId="1B1671AA"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cs="Times New Roman"/>
          <w:sz w:val="22"/>
          <w:szCs w:val="24"/>
          <w:lang w:val="en-US" w:eastAsia="en-US"/>
        </w:rPr>
        <w:t>+5 to +10 cmH₂O in the inframesocolic compartment.</w:t>
      </w:r>
    </w:p>
    <w:p w14:paraId="471353B6" w14:textId="77777777" w:rsidR="00F52D08" w:rsidRDefault="00000000">
      <w:pPr>
        <w:spacing w:after="40"/>
        <w:ind w:left="360"/>
        <w:rPr>
          <w:rFonts w:ascii="Times New Roman" w:hAnsi="Times New Roman" w:cs="Times New Roman"/>
          <w:sz w:val="24"/>
          <w:szCs w:val="24"/>
        </w:rPr>
      </w:pPr>
      <w:r>
        <w:rPr>
          <w:rFonts w:ascii="Times New Roman" w:hAnsi="Times New Roman"/>
          <w:sz w:val="22"/>
          <w:lang w:val="en-US" w:eastAsia="en-US"/>
        </w:rPr>
        <w:t>Under physiological conditions, the pelvic organs are relatively well protected from pressure transmitted by the thoracoabdominal contents through the following intracavitary pressure-distribution and absorption mechanisms:</w:t>
      </w:r>
    </w:p>
    <w:p w14:paraId="4B7F357F" w14:textId="77777777" w:rsidR="00F52D08" w:rsidRDefault="00000000">
      <w:pPr>
        <w:pStyle w:val="Heading2"/>
        <w:rPr>
          <w:rFonts w:ascii="Times New Roman" w:hAnsi="Times New Roman" w:cs="Times New Roman"/>
          <w:sz w:val="24"/>
          <w:szCs w:val="24"/>
        </w:rPr>
      </w:pPr>
      <w:r>
        <w:rPr>
          <w:rFonts w:ascii="Times New Roman" w:hAnsi="Times New Roman"/>
          <w:sz w:val="26"/>
        </w:rPr>
        <w:t>6.2. Thoracic suction and thoracodiaphragmatic support</w:t>
      </w:r>
    </w:p>
    <w:p w14:paraId="6A3434CE" w14:textId="77777777" w:rsidR="00F52D08" w:rsidRDefault="00000000">
      <w:pPr>
        <w:pStyle w:val="Heading2"/>
        <w:rPr>
          <w:rFonts w:ascii="Times New Roman" w:hAnsi="Times New Roman" w:cs="Times New Roman"/>
          <w:sz w:val="24"/>
          <w:szCs w:val="24"/>
        </w:rPr>
      </w:pPr>
      <w:r>
        <w:rPr>
          <w:rFonts w:ascii="Times New Roman" w:hAnsi="Times New Roman"/>
          <w:sz w:val="26"/>
          <w:lang w:val="en-US" w:eastAsia="en-US"/>
        </w:rPr>
        <w:t>6.3. Orientation of the pelvic cavity</w:t>
      </w:r>
    </w:p>
    <w:p w14:paraId="6FDAC3B6" w14:textId="77777777" w:rsidR="00F52D08" w:rsidRDefault="00000000">
      <w:pPr>
        <w:pStyle w:val="Heading2"/>
        <w:rPr>
          <w:rFonts w:ascii="Times New Roman" w:hAnsi="Times New Roman" w:cs="Times New Roman"/>
          <w:sz w:val="24"/>
          <w:szCs w:val="24"/>
        </w:rPr>
      </w:pPr>
      <w:r>
        <w:rPr>
          <w:rFonts w:ascii="Times New Roman" w:hAnsi="Times New Roman"/>
          <w:sz w:val="26"/>
          <w:lang w:val="en-US" w:eastAsia="en-US"/>
        </w:rPr>
        <w:t>6.4. Domed configuration of the pelvic viscera</w:t>
      </w:r>
    </w:p>
    <w:p w14:paraId="36930724" w14:textId="77777777" w:rsidR="00F52D08" w:rsidRDefault="00000000">
      <w:pPr>
        <w:pStyle w:val="Heading2"/>
        <w:jc w:val="both"/>
        <w:rPr>
          <w:rFonts w:ascii="Times New Roman" w:hAnsi="Times New Roman" w:cs="Times New Roman"/>
          <w:sz w:val="24"/>
          <w:szCs w:val="24"/>
        </w:rPr>
      </w:pPr>
      <w:r>
        <w:rPr>
          <w:rFonts w:ascii="Times New Roman" w:hAnsi="Times New Roman"/>
          <w:sz w:val="26"/>
          <w:lang w:val="en-US" w:eastAsia="en-US"/>
        </w:rPr>
        <w:t>6.5. Contractility and elasticity of the perineum</w:t>
      </w:r>
    </w:p>
    <w:p w14:paraId="4185CAD1" w14:textId="77777777" w:rsidR="00F52D08" w:rsidRDefault="00000000">
      <w:pPr>
        <w:pStyle w:val="Heading2"/>
        <w:jc w:val="both"/>
        <w:rPr>
          <w:rFonts w:ascii="Times New Roman" w:hAnsi="Times New Roman" w:cs="Times New Roman"/>
          <w:sz w:val="24"/>
          <w:szCs w:val="24"/>
        </w:rPr>
      </w:pPr>
      <w:r>
        <w:rPr>
          <w:rFonts w:ascii="Times New Roman" w:hAnsi="Times New Roman"/>
          <w:sz w:val="26"/>
          <w:lang w:val="en-US" w:eastAsia="en-US"/>
        </w:rPr>
        <w:t>6.6. Balance among the three diaphragms</w:t>
      </w:r>
    </w:p>
    <w:p w14:paraId="44C28C7E" w14:textId="77777777" w:rsidR="00F52D08" w:rsidRDefault="00000000">
      <w:pPr>
        <w:spacing w:after="40"/>
        <w:jc w:val="both"/>
        <w:rPr>
          <w:rFonts w:ascii="Times New Roman" w:hAnsi="Times New Roman" w:cs="Times New Roman"/>
          <w:sz w:val="24"/>
          <w:szCs w:val="24"/>
        </w:rPr>
      </w:pPr>
      <w:r>
        <w:rPr>
          <w:rFonts w:ascii="Times New Roman" w:hAnsi="Times New Roman"/>
          <w:sz w:val="22"/>
        </w:rPr>
        <w:t>When these conditions are present, the pelvic organs are exposed to less gravitational and pressure-related stress and can perform their respective functions effectively.</w:t>
      </w:r>
    </w:p>
    <w:p w14:paraId="76948C12" w14:textId="77777777" w:rsidR="00F52D08" w:rsidRDefault="00000000">
      <w:pPr>
        <w:spacing w:after="40"/>
        <w:jc w:val="both"/>
        <w:rPr>
          <w:rFonts w:ascii="Times New Roman" w:hAnsi="Times New Roman" w:cs="Times New Roman"/>
          <w:sz w:val="24"/>
          <w:szCs w:val="24"/>
        </w:rPr>
      </w:pPr>
      <w:r>
        <w:rPr>
          <w:rFonts w:ascii="Times New Roman" w:hAnsi="Times New Roman"/>
          <w:sz w:val="22"/>
        </w:rPr>
        <w:t>Intra-abdominal pressure rises considerably during coughing, sneezing, defecation, childbirth, heavy lifting, and certain athletic activities.</w:t>
      </w:r>
    </w:p>
    <w:p w14:paraId="3BCE87A0" w14:textId="77777777" w:rsidR="00F52D08" w:rsidRDefault="00000000">
      <w:pPr>
        <w:pStyle w:val="Heading2"/>
        <w:ind w:left="360"/>
        <w:jc w:val="both"/>
        <w:rPr>
          <w:rFonts w:ascii="Times New Roman" w:hAnsi="Times New Roman" w:cs="Times New Roman"/>
          <w:sz w:val="24"/>
          <w:szCs w:val="24"/>
        </w:rPr>
      </w:pPr>
      <w:r>
        <w:rPr>
          <w:rFonts w:ascii="Times New Roman" w:hAnsi="Times New Roman"/>
          <w:sz w:val="26"/>
          <w:lang w:val="en-US" w:eastAsia="en-US"/>
        </w:rPr>
        <w:t>6.7. Clinical examples illustrating the role of pressure</w:t>
      </w:r>
    </w:p>
    <w:p w14:paraId="7D35CCFA"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sz w:val="22"/>
        </w:rPr>
        <w:t>The liver weighs approximately 1.5 kg. Within the biomechanical model used in ROP, its attachments and relationship with the diaphragm are considered to reduce the load transmitted to the right kidney and the abdominal and pelvic organs. The previously cited “effective weight” of 400 g should be understood as an illustrative model rather than a standard physiological measurement.</w:t>
      </w:r>
    </w:p>
    <w:p w14:paraId="14059A72"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sz w:val="22"/>
        </w:rPr>
        <w:t>Pleuropulmonary restriction may reduce diaphragmatic excursion and alter pressure transmission through the thoracoabdominal cavity. Within ROP, this is considered when assessing increased loading of the abdominopelvic organs and perineum.</w:t>
      </w:r>
    </w:p>
    <w:p w14:paraId="3602B233" w14:textId="77777777" w:rsidR="00F52D08" w:rsidRDefault="00000000">
      <w:pPr>
        <w:pStyle w:val="ListParagraph"/>
        <w:spacing w:after="40"/>
        <w:jc w:val="both"/>
        <w:rPr>
          <w:rFonts w:ascii="Times New Roman" w:hAnsi="Times New Roman" w:cs="Times New Roman"/>
          <w:sz w:val="24"/>
          <w:szCs w:val="24"/>
        </w:rPr>
        <w:numPr>
          <w:ilvl w:val="0"/>
          <w:numId w:val="61"/>
        </w:numPr>
      </w:pPr>
      <w:r>
        <w:rPr>
          <w:rFonts w:ascii="Times New Roman" w:hAnsi="Times New Roman"/>
          <w:sz w:val="22"/>
        </w:rPr>
        <w:t>Uterine retroversion or anteversion may alter relationships among pelvic organs. When accompanied by pelvic floor or fascial dysfunction, these changes may be considered during assessment of pelvic organ prolapse or stress urinary incontinence. Previous hysterectomy should likewise be included in the clinical history.</w:t>
      </w:r>
    </w:p>
    <w:p w14:paraId="207B1D81" w14:textId="77777777" w:rsidR="00F52D08" w:rsidRDefault="00000000">
      <w:pPr>
        <w:pStyle w:val="Heading1"/>
      </w:pPr>
      <w:r>
        <w:rPr>
          <w:rFonts w:ascii="Times New Roman" w:hAnsi="Times New Roman"/>
          <w:sz w:val="32"/>
          <w:lang w:val="en-US" w:eastAsia="en-US"/>
        </w:rPr>
        <w:t>7. Common disorders</w:t>
      </w:r>
    </w:p>
    <w:p w14:paraId="2E27A293" w14:textId="77777777" w:rsidR="00F52D08" w:rsidRDefault="00000000">
      <w:pPr>
        <w:pStyle w:val="Heading2"/>
        <w:jc w:val="both"/>
        <w:rPr>
          <w:rFonts w:ascii="Times New Roman" w:hAnsi="Times New Roman" w:cs="Times New Roman"/>
          <w:sz w:val="24"/>
          <w:szCs w:val="24"/>
        </w:rPr>
      </w:pPr>
      <w:r>
        <w:rPr>
          <w:rFonts w:ascii="Times New Roman" w:hAnsi="Times New Roman"/>
          <w:sz w:val="26"/>
          <w:lang w:val="en-US" w:eastAsia="en-US"/>
        </w:rPr>
        <w:t>7.1. Pelvic organ prolapse</w:t>
      </w:r>
    </w:p>
    <w:p w14:paraId="4194AA88" w14:textId="77777777" w:rsidR="00F52D08" w:rsidRDefault="00000000">
      <w:pPr>
        <w:pStyle w:val="Heading3"/>
        <w:jc w:val="both"/>
        <w:rPr>
          <w:rFonts w:ascii="Times New Roman" w:hAnsi="Times New Roman" w:cs="Times New Roman"/>
          <w:sz w:val="24"/>
          <w:szCs w:val="24"/>
        </w:rPr>
      </w:pPr>
      <w:r>
        <w:rPr>
          <w:rFonts w:ascii="Times New Roman" w:hAnsi="Times New Roman"/>
          <w:sz w:val="23"/>
          <w:lang w:val="en-US" w:eastAsia="en-US"/>
        </w:rPr>
        <w:t>7.1.1. Causes</w:t>
      </w:r>
    </w:p>
    <w:p w14:paraId="7F5F0808" w14:textId="77777777" w:rsidR="00F52D08" w:rsidRDefault="00000000">
      <w:pPr>
        <w:spacing w:after="40"/>
        <w:ind w:left="1637"/>
        <w:jc w:val="both"/>
        <w:rPr>
          <w:rFonts w:ascii="Times New Roman" w:hAnsi="Times New Roman" w:cs="Times New Roman"/>
          <w:sz w:val="24"/>
          <w:szCs w:val="24"/>
        </w:rPr>
      </w:pPr>
      <w:r>
        <w:rPr>
          <w:rFonts w:ascii="Times New Roman" w:hAnsi="Times New Roman"/>
          <w:sz w:val="22"/>
        </w:rPr>
        <w:t>Within the ROP framework, associated factors considered in pelvic organ prolapse include aging, childbirth-related or connective-tissue changes, chronic constipation and straining, increased intra-abdominal pressure, prior pelvic surgery, and dysfunction involving the pelvic floor, pubic symphysis, or coccyx. Psychological symptoms and uterine position should be assessed as contextual factors rather than assumed to be direct causes.</w:t>
      </w:r>
    </w:p>
    <w:p w14:paraId="7BC418EF" w14:textId="77777777" w:rsidR="00F52D08" w:rsidRDefault="00000000">
      <w:pPr>
        <w:pStyle w:val="Heading2"/>
        <w:rPr>
          <w:rFonts w:ascii="Times New Roman" w:hAnsi="Times New Roman" w:cs="Times New Roman"/>
          <w:sz w:val="24"/>
          <w:szCs w:val="24"/>
        </w:rPr>
      </w:pPr>
      <w:r>
        <w:rPr>
          <w:rFonts w:ascii="Times New Roman" w:hAnsi="Times New Roman"/>
          <w:sz w:val="26"/>
        </w:rPr>
        <w:t>7.2. Pudendal neuralgia and pudendal nerve entrapment</w:t>
      </w:r>
    </w:p>
    <w:p w14:paraId="2CFD76BF" w14:textId="77777777" w:rsidR="00F52D08" w:rsidRDefault="00000000">
      <w:pPr>
        <w:pStyle w:val="Heading3"/>
        <w:rPr>
          <w:rFonts w:ascii="Times New Roman" w:hAnsi="Times New Roman" w:cs="Times New Roman"/>
          <w:sz w:val="24"/>
          <w:szCs w:val="24"/>
        </w:rPr>
      </w:pPr>
      <w:r>
        <w:rPr>
          <w:rFonts w:ascii="Times New Roman" w:hAnsi="Times New Roman"/>
          <w:sz w:val="23"/>
          <w:lang w:val="en-US" w:eastAsia="en-US"/>
        </w:rPr>
        <w:t>7.2.1. Symptoms</w:t>
      </w:r>
    </w:p>
    <w:p w14:paraId="12C142D9" w14:textId="77777777" w:rsidR="00F52D08" w:rsidRDefault="00000000">
      <w:pPr>
        <w:pStyle w:val="ListParagraph"/>
        <w:spacing w:after="40"/>
        <w:rPr>
          <w:rFonts w:ascii="Times New Roman" w:hAnsi="Times New Roman" w:cs="Times New Roman"/>
          <w:sz w:val="24"/>
          <w:szCs w:val="24"/>
        </w:rPr>
        <w:numPr>
          <w:ilvl w:val="0"/>
          <w:numId w:val="61"/>
        </w:numPr>
      </w:pPr>
      <w:r>
        <w:rPr>
          <w:rFonts w:ascii="Times New Roman" w:hAnsi="Times New Roman" w:cs="Times New Roman"/>
          <w:sz w:val="22"/>
          <w:szCs w:val="24"/>
          <w:lang w:val="en-US" w:eastAsia="en-US"/>
        </w:rPr>
        <w:t>Shooting and burning sensations and severe pain in the perineum and anus;</w:t>
      </w:r>
    </w:p>
    <w:p w14:paraId="1B2E40EC" w14:textId="77777777" w:rsidR="00F52D08" w:rsidRDefault="00000000">
      <w:pPr>
        <w:pStyle w:val="ListParagraph"/>
        <w:spacing w:after="40"/>
        <w:rPr>
          <w:rFonts w:ascii="Times New Roman" w:hAnsi="Times New Roman" w:cs="Times New Roman"/>
          <w:sz w:val="24"/>
          <w:szCs w:val="24"/>
        </w:rPr>
        <w:numPr>
          <w:ilvl w:val="0"/>
          <w:numId w:val="61"/>
        </w:numPr>
      </w:pPr>
      <w:r>
        <w:rPr>
          <w:rFonts w:ascii="Times New Roman" w:hAnsi="Times New Roman" w:cs="Times New Roman"/>
          <w:sz w:val="22"/>
          <w:szCs w:val="24"/>
          <w:lang w:val="en-US" w:eastAsia="en-US"/>
        </w:rPr>
        <w:t>Discomfort and burning during urination and defecation;</w:t>
      </w:r>
    </w:p>
    <w:p w14:paraId="587D5927" w14:textId="77777777" w:rsidR="00F52D08" w:rsidRDefault="00000000">
      <w:pPr>
        <w:pStyle w:val="ListParagraph"/>
        <w:spacing w:after="40"/>
        <w:rPr>
          <w:rFonts w:ascii="Times New Roman" w:hAnsi="Times New Roman" w:cs="Times New Roman"/>
          <w:sz w:val="24"/>
          <w:szCs w:val="24"/>
        </w:rPr>
        <w:numPr>
          <w:ilvl w:val="0"/>
          <w:numId w:val="61"/>
        </w:numPr>
      </w:pPr>
      <w:r>
        <w:rPr>
          <w:rFonts w:ascii="Times New Roman" w:hAnsi="Times New Roman" w:cs="Times New Roman"/>
          <w:sz w:val="22"/>
          <w:szCs w:val="24"/>
          <w:lang w:val="en-US" w:eastAsia="en-US"/>
        </w:rPr>
        <w:t>Sexual dysfunction with major physical and psychological consequences.</w:t>
      </w:r>
    </w:p>
    <w:p w14:paraId="5BD20894" w14:textId="77777777" w:rsidR="00F52D08" w:rsidRDefault="00000000">
      <w:pPr>
        <w:pStyle w:val="Heading3"/>
        <w:rPr>
          <w:rFonts w:ascii="Times New Roman" w:hAnsi="Times New Roman" w:cs="Times New Roman"/>
          <w:sz w:val="24"/>
          <w:szCs w:val="24"/>
        </w:rPr>
      </w:pPr>
      <w:r>
        <w:rPr>
          <w:rFonts w:ascii="Times New Roman" w:hAnsi="Times New Roman"/>
          <w:sz w:val="23"/>
          <w:lang w:val="en-US" w:eastAsia="en-US"/>
        </w:rPr>
        <w:t>7.2.2. Causes</w:t>
      </w:r>
    </w:p>
    <w:p w14:paraId="23A006AF" w14:textId="77777777" w:rsidR="00F52D08" w:rsidRDefault="00000000">
      <w:pPr>
        <w:pStyle w:val="ListParagraph"/>
        <w:spacing w:after="40"/>
        <w:rPr>
          <w:rFonts w:ascii="Times New Roman" w:hAnsi="Times New Roman" w:cs="Times New Roman"/>
          <w:sz w:val="24"/>
          <w:szCs w:val="24"/>
        </w:rPr>
        <w:numPr>
          <w:ilvl w:val="0"/>
          <w:numId w:val="61"/>
        </w:numPr>
      </w:pPr>
      <w:r>
        <w:rPr>
          <w:rFonts w:ascii="Times New Roman" w:hAnsi="Times New Roman"/>
          <w:sz w:val="22"/>
        </w:rPr>
        <w:t>Pelvic or perineal trauma, including sexual trauma;</w:t>
      </w:r>
    </w:p>
    <w:p w14:paraId="4D2D3726" w14:textId="77777777" w:rsidR="00F52D08" w:rsidRDefault="00000000">
      <w:pPr>
        <w:pStyle w:val="ListParagraph"/>
        <w:spacing w:after="40"/>
        <w:rPr>
          <w:rFonts w:ascii="Times New Roman" w:hAnsi="Times New Roman" w:cs="Times New Roman"/>
          <w:sz w:val="24"/>
          <w:szCs w:val="24"/>
        </w:rPr>
        <w:numPr>
          <w:ilvl w:val="0"/>
          <w:numId w:val="61"/>
        </w:numPr>
      </w:pPr>
      <w:r>
        <w:rPr>
          <w:rFonts w:ascii="Times New Roman" w:hAnsi="Times New Roman" w:cs="Times New Roman"/>
          <w:sz w:val="22"/>
          <w:szCs w:val="24"/>
          <w:lang w:val="en-US" w:eastAsia="en-US"/>
        </w:rPr>
        <w:t>A fall onto the coccyx;</w:t>
      </w:r>
    </w:p>
    <w:p w14:paraId="5AA982E5" w14:textId="77777777" w:rsidR="00F52D08" w:rsidRDefault="00000000">
      <w:pPr>
        <w:pStyle w:val="ListParagraph"/>
        <w:spacing w:after="40"/>
        <w:rPr>
          <w:rFonts w:ascii="Times New Roman" w:hAnsi="Times New Roman" w:cs="Times New Roman"/>
          <w:sz w:val="24"/>
          <w:szCs w:val="24"/>
        </w:rPr>
        <w:numPr>
          <w:ilvl w:val="0"/>
          <w:numId w:val="61"/>
        </w:numPr>
      </w:pPr>
      <w:r>
        <w:rPr>
          <w:rFonts w:ascii="Times New Roman" w:hAnsi="Times New Roman"/>
          <w:sz w:val="22"/>
        </w:rPr>
        <w:t>Childbirth-related injury;</w:t>
      </w:r>
    </w:p>
    <w:p w14:paraId="340F8015" w14:textId="77777777" w:rsidR="00F52D08" w:rsidRDefault="00000000">
      <w:pPr>
        <w:pStyle w:val="ListParagraph"/>
        <w:spacing w:after="40"/>
        <w:rPr>
          <w:rFonts w:ascii="Times New Roman" w:hAnsi="Times New Roman" w:cs="Times New Roman"/>
          <w:sz w:val="24"/>
          <w:szCs w:val="24"/>
        </w:rPr>
        <w:numPr>
          <w:ilvl w:val="0"/>
          <w:numId w:val="61"/>
        </w:numPr>
      </w:pPr>
      <w:r>
        <w:rPr>
          <w:rFonts w:ascii="Times New Roman" w:hAnsi="Times New Roman" w:cs="Times New Roman"/>
          <w:sz w:val="22"/>
          <w:szCs w:val="24"/>
          <w:lang w:val="en-US" w:eastAsia="en-US"/>
        </w:rPr>
        <w:t>Pelvic fractures;</w:t>
      </w:r>
    </w:p>
    <w:p w14:paraId="51B166E4" w14:textId="77777777" w:rsidR="00F52D08" w:rsidRDefault="00000000">
      <w:pPr>
        <w:pStyle w:val="ListParagraph"/>
        <w:spacing w:after="40"/>
        <w:rPr>
          <w:rFonts w:ascii="Times New Roman" w:hAnsi="Times New Roman" w:cs="Times New Roman"/>
          <w:sz w:val="24"/>
          <w:szCs w:val="24"/>
        </w:rPr>
        <w:numPr>
          <w:ilvl w:val="0"/>
          <w:numId w:val="61"/>
        </w:numPr>
      </w:pPr>
      <w:r>
        <w:rPr>
          <w:rFonts w:ascii="Times New Roman" w:hAnsi="Times New Roman" w:cs="Times New Roman"/>
          <w:sz w:val="22"/>
          <w:szCs w:val="24"/>
          <w:lang w:val="en-US" w:eastAsia="en-US"/>
        </w:rPr>
        <w:t>Urogenital surgery;</w:t>
      </w:r>
    </w:p>
    <w:p w14:paraId="1DC51AB0" w14:textId="77777777" w:rsidR="00F52D08" w:rsidRDefault="00000000">
      <w:pPr>
        <w:pStyle w:val="ListParagraph"/>
        <w:spacing w:after="40"/>
        <w:rPr>
          <w:rFonts w:ascii="Times New Roman" w:hAnsi="Times New Roman" w:cs="Times New Roman"/>
          <w:sz w:val="24"/>
          <w:szCs w:val="24"/>
        </w:rPr>
        <w:numPr>
          <w:ilvl w:val="0"/>
          <w:numId w:val="61"/>
        </w:numPr>
      </w:pPr>
      <w:r>
        <w:rPr>
          <w:rFonts w:ascii="Times New Roman" w:hAnsi="Times New Roman"/>
          <w:sz w:val="22"/>
        </w:rPr>
        <w:t>Sustained muscular overuse or spasm involving the piriformis or obturator internus, including during athletic activity.</w:t>
      </w:r>
    </w:p>
    <w:p w14:paraId="2D9D8DF5" w14:textId="77777777" w:rsidR="00F52D08" w:rsidRDefault="00F52D08">
      <w:pPr>
        <w:spacing w:after="40"/>
        <w:ind w:left="1211"/>
        <w:rPr>
          <w:rFonts w:ascii="Times New Roman" w:hAnsi="Times New Roman" w:cs="Times New Roman"/>
          <w:sz w:val="24"/>
          <w:szCs w:val="24"/>
        </w:rPr>
      </w:pPr>
    </w:p>
    <w:p w14:paraId="105BB671" w14:textId="77777777" w:rsidR="00F52D08" w:rsidRDefault="00000000">
      <w:pPr>
        <w:pStyle w:val="Heading3"/>
        <w:rPr>
          <w:rFonts w:ascii="Times New Roman" w:hAnsi="Times New Roman" w:cs="Times New Roman"/>
          <w:sz w:val="24"/>
          <w:szCs w:val="24"/>
        </w:rPr>
      </w:pPr>
      <w:r>
        <w:rPr>
          <w:rFonts w:ascii="Times New Roman" w:hAnsi="Times New Roman"/>
          <w:sz w:val="23"/>
          <w:lang w:val="en-US" w:eastAsia="en-US"/>
        </w:rPr>
        <w:t>7.2.3. Diagnosis</w:t>
      </w:r>
    </w:p>
    <w:p w14:paraId="2972B6A3" w14:textId="77777777" w:rsidR="00F52D08" w:rsidRDefault="00000000">
      <w:pPr>
        <w:pStyle w:val="Heading3"/>
        <w:rPr>
          <w:rFonts w:ascii="Times New Roman" w:hAnsi="Times New Roman" w:cs="Times New Roman"/>
          <w:sz w:val="24"/>
          <w:szCs w:val="24"/>
        </w:rPr>
      </w:pPr>
      <w:r>
        <w:rPr>
          <w:rFonts w:ascii="Times New Roman" w:hAnsi="Times New Roman"/>
          <w:sz w:val="23"/>
          <w:lang w:val="en-US" w:eastAsia="en-US"/>
        </w:rPr>
        <w:t>7.2.4. Clinical course</w:t>
      </w:r>
    </w:p>
    <w:p w14:paraId="30D55DC9" w14:textId="77777777" w:rsidR="00F52D08" w:rsidRDefault="00000000">
      <w:pPr>
        <w:pStyle w:val="ListParagraph"/>
        <w:spacing w:after="40"/>
        <w:rPr>
          <w:rFonts w:ascii="Times New Roman" w:hAnsi="Times New Roman" w:cs="Times New Roman"/>
          <w:sz w:val="24"/>
          <w:szCs w:val="24"/>
        </w:rPr>
        <w:numPr>
          <w:ilvl w:val="0"/>
          <w:numId w:val="61"/>
        </w:numPr>
      </w:pPr>
      <w:r>
        <w:rPr>
          <w:rFonts w:ascii="Times New Roman" w:hAnsi="Times New Roman"/>
          <w:sz w:val="22"/>
        </w:rPr>
        <w:t>In the staged model used in this chapter, Stage I (neurapraxia): pain;</w:t>
      </w:r>
    </w:p>
    <w:p w14:paraId="047BC84E" w14:textId="77777777" w:rsidR="00F52D08" w:rsidRDefault="00000000">
      <w:pPr>
        <w:pStyle w:val="ListParagraph"/>
        <w:spacing w:after="40"/>
        <w:rPr>
          <w:rFonts w:ascii="Times New Roman" w:hAnsi="Times New Roman" w:cs="Times New Roman"/>
          <w:sz w:val="24"/>
          <w:szCs w:val="24"/>
        </w:rPr>
        <w:numPr>
          <w:ilvl w:val="0"/>
          <w:numId w:val="61"/>
        </w:numPr>
      </w:pPr>
      <w:r>
        <w:rPr>
          <w:rFonts w:ascii="Times New Roman" w:hAnsi="Times New Roman"/>
          <w:sz w:val="22"/>
        </w:rPr>
        <w:t>Stage II (axonotmesis): sensory, motor, or reflex dysfunction affecting urinary, anal, or sexual function;</w:t>
      </w:r>
    </w:p>
    <w:p w14:paraId="1BC01B79" w14:textId="77777777" w:rsidR="00F52D08" w:rsidRDefault="00000000">
      <w:pPr>
        <w:pStyle w:val="ListParagraph"/>
        <w:spacing w:after="40"/>
        <w:rPr>
          <w:rFonts w:ascii="Times New Roman" w:hAnsi="Times New Roman" w:cs="Times New Roman"/>
          <w:sz w:val="24"/>
          <w:szCs w:val="24"/>
        </w:rPr>
        <w:numPr>
          <w:ilvl w:val="0"/>
          <w:numId w:val="61"/>
        </w:numPr>
      </w:pPr>
      <w:r>
        <w:rPr>
          <w:rFonts w:ascii="Times New Roman" w:hAnsi="Times New Roman"/>
          <w:sz w:val="22"/>
        </w:rPr>
        <w:t>Stage III: weakness or hypotonia of the striated sphincters and pelvic floor muscles.</w:t>
      </w:r>
    </w:p>
    <w:p w14:paraId="33EAC135" w14:textId="77777777" w:rsidR="00F52D08" w:rsidRDefault="00000000">
      <w:pPr>
        <w:pStyle w:val="Heading3"/>
        <w:rPr>
          <w:rFonts w:ascii="Times New Roman" w:hAnsi="Times New Roman" w:cs="Times New Roman"/>
          <w:sz w:val="24"/>
          <w:szCs w:val="24"/>
        </w:rPr>
      </w:pPr>
      <w:r>
        <w:rPr>
          <w:rFonts w:ascii="Times New Roman" w:hAnsi="Times New Roman"/>
          <w:sz w:val="23"/>
          <w:lang w:val="en-US" w:eastAsia="en-US"/>
        </w:rPr>
        <w:t>7.2.5. Medical treatment</w:t>
      </w:r>
    </w:p>
    <w:p w14:paraId="5002D656" w14:textId="77777777" w:rsidR="00F52D08" w:rsidRDefault="00000000">
      <w:pPr>
        <w:pStyle w:val="ListParagraph"/>
        <w:spacing w:after="40"/>
        <w:rPr>
          <w:rFonts w:ascii="Times New Roman" w:hAnsi="Times New Roman" w:cs="Times New Roman"/>
          <w:sz w:val="24"/>
          <w:szCs w:val="24"/>
        </w:rPr>
        <w:numPr>
          <w:ilvl w:val="0"/>
          <w:numId w:val="61"/>
        </w:numPr>
      </w:pPr>
      <w:r>
        <w:rPr>
          <w:rFonts w:ascii="Times New Roman" w:hAnsi="Times New Roman"/>
          <w:sz w:val="22"/>
        </w:rPr>
        <w:t>Stage I: conservative management directed by clinical findings;</w:t>
      </w:r>
    </w:p>
    <w:p w14:paraId="17E5710B" w14:textId="77777777" w:rsidR="00F52D08" w:rsidRDefault="00000000">
      <w:pPr>
        <w:pStyle w:val="ListParagraph"/>
        <w:spacing w:after="40"/>
        <w:rPr>
          <w:rFonts w:ascii="Times New Roman" w:hAnsi="Times New Roman" w:cs="Times New Roman"/>
          <w:sz w:val="24"/>
          <w:szCs w:val="24"/>
        </w:rPr>
        <w:numPr>
          <w:ilvl w:val="0"/>
          <w:numId w:val="61"/>
        </w:numPr>
      </w:pPr>
      <w:r>
        <w:rPr>
          <w:rFonts w:ascii="Times New Roman" w:hAnsi="Times New Roman"/>
          <w:sz w:val="22"/>
        </w:rPr>
        <w:t>Stage II: image-guided diagnostic or therapeutic injection when clinically indicated;</w:t>
      </w:r>
    </w:p>
    <w:p w14:paraId="582E77A1" w14:textId="77777777" w:rsidR="00F52D08" w:rsidRDefault="00000000">
      <w:pPr>
        <w:pStyle w:val="ListParagraph"/>
        <w:spacing w:after="40"/>
        <w:rPr>
          <w:rFonts w:ascii="Times New Roman" w:hAnsi="Times New Roman" w:cs="Times New Roman"/>
          <w:sz w:val="24"/>
          <w:szCs w:val="24"/>
        </w:rPr>
        <w:numPr>
          <w:ilvl w:val="0"/>
          <w:numId w:val="61"/>
        </w:numPr>
      </w:pPr>
      <w:r>
        <w:rPr>
          <w:rFonts w:ascii="Times New Roman" w:hAnsi="Times New Roman"/>
          <w:sz w:val="22"/>
        </w:rPr>
        <w:t>Stage III: specialist assessment for possible surgical management.</w:t>
      </w:r>
    </w:p>
    <w:p w14:paraId="09B04404" w14:textId="77777777" w:rsidR="00F52D08" w:rsidRDefault="00F52D08">
      <w:pPr>
        <w:spacing w:after="40"/>
        <w:rPr>
          <w:rFonts w:ascii="Times New Roman" w:hAnsi="Times New Roman" w:cs="Times New Roman"/>
          <w:sz w:val="24"/>
          <w:szCs w:val="24"/>
        </w:rPr>
      </w:pPr>
    </w:p>
    <w:p w14:paraId="4A2E0FD7" w14:textId="77777777" w:rsidR="00F52D08" w:rsidRDefault="00000000">
      <w:pPr>
        <w:pStyle w:val="Heading3"/>
        <w:rPr>
          <w:rFonts w:ascii="Times New Roman" w:hAnsi="Times New Roman" w:cs="Times New Roman"/>
          <w:sz w:val="24"/>
          <w:szCs w:val="24"/>
        </w:rPr>
      </w:pPr>
      <w:r>
        <w:rPr>
          <w:rFonts w:ascii="Times New Roman" w:hAnsi="Times New Roman"/>
          <w:sz w:val="23"/>
          <w:lang w:val="en-US" w:eastAsia="en-US"/>
        </w:rPr>
        <w:t>7.2.6. ROP management</w:t>
      </w:r>
    </w:p>
    <w:p w14:paraId="64228265" w14:textId="77777777" w:rsidR="00F52D08" w:rsidRDefault="00000000">
      <w:pPr>
        <w:pStyle w:val="ListParagraph"/>
        <w:spacing w:after="40"/>
        <w:rPr>
          <w:rFonts w:ascii="Times New Roman" w:hAnsi="Times New Roman" w:cs="Times New Roman"/>
          <w:b/>
          <w:sz w:val="24"/>
          <w:szCs w:val="24"/>
        </w:rPr>
        <w:numPr>
          <w:ilvl w:val="0"/>
          <w:numId w:val="61"/>
        </w:numPr>
      </w:pPr>
      <w:r>
        <w:rPr>
          <w:rFonts w:ascii="Times New Roman" w:hAnsi="Times New Roman" w:cs="Times New Roman"/>
          <w:sz w:val="22"/>
          <w:szCs w:val="24"/>
          <w:lang w:val="en-US" w:eastAsia="en-US"/>
        </w:rPr>
        <w:t>Sacral and pudendal plexuses;</w:t>
      </w:r>
    </w:p>
    <w:p w14:paraId="1AF14DFC" w14:textId="77777777" w:rsidR="00F52D08" w:rsidRDefault="00000000">
      <w:pPr>
        <w:pStyle w:val="ListParagraph"/>
        <w:spacing w:after="40"/>
        <w:rPr>
          <w:rFonts w:ascii="Times New Roman" w:hAnsi="Times New Roman" w:cs="Times New Roman"/>
          <w:b/>
          <w:sz w:val="24"/>
          <w:szCs w:val="24"/>
        </w:rPr>
        <w:numPr>
          <w:ilvl w:val="0"/>
          <w:numId w:val="61"/>
        </w:numPr>
      </w:pPr>
      <w:r>
        <w:rPr>
          <w:rFonts w:ascii="Times New Roman" w:hAnsi="Times New Roman" w:cs="Times New Roman"/>
          <w:sz w:val="22"/>
          <w:szCs w:val="24"/>
          <w:lang w:val="en-US" w:eastAsia="en-US"/>
        </w:rPr>
        <w:t>Piriformis and obturator internus muscles;</w:t>
      </w:r>
    </w:p>
    <w:p w14:paraId="3649889A" w14:textId="77777777" w:rsidR="00F52D08" w:rsidRDefault="00000000">
      <w:pPr>
        <w:pStyle w:val="ListParagraph"/>
        <w:spacing w:after="40"/>
        <w:rPr>
          <w:rFonts w:ascii="Times New Roman" w:hAnsi="Times New Roman" w:cs="Times New Roman"/>
          <w:b/>
          <w:sz w:val="24"/>
          <w:szCs w:val="24"/>
        </w:rPr>
        <w:numPr>
          <w:ilvl w:val="0"/>
          <w:numId w:val="61"/>
        </w:numPr>
      </w:pPr>
      <w:r>
        <w:rPr>
          <w:rFonts w:ascii="Times New Roman" w:hAnsi="Times New Roman" w:cs="Times New Roman"/>
          <w:sz w:val="22"/>
          <w:szCs w:val="24"/>
          <w:lang w:val="en-US" w:eastAsia="en-US"/>
        </w:rPr>
        <w:t>Sacrospinous and sacrotuberous ligaments;</w:t>
      </w:r>
    </w:p>
    <w:p w14:paraId="3E0A3D6F" w14:textId="77777777" w:rsidR="00F52D08" w:rsidRDefault="00000000">
      <w:pPr>
        <w:pStyle w:val="ListParagraph"/>
        <w:spacing w:after="40"/>
        <w:rPr>
          <w:rFonts w:ascii="Times New Roman" w:hAnsi="Times New Roman" w:cs="Times New Roman"/>
          <w:b/>
          <w:sz w:val="24"/>
          <w:szCs w:val="24"/>
        </w:rPr>
        <w:numPr>
          <w:ilvl w:val="0"/>
          <w:numId w:val="61"/>
        </w:numPr>
      </w:pPr>
      <w:r>
        <w:rPr>
          <w:rFonts w:ascii="Times New Roman" w:hAnsi="Times New Roman" w:cs="Times New Roman"/>
          <w:sz w:val="22"/>
          <w:szCs w:val="24"/>
          <w:lang w:val="en-US" w:eastAsia="en-US"/>
        </w:rPr>
        <w:t>Alcock’s canal, along the ischiopubic ramus.</w:t>
      </w:r>
    </w:p>
    <w:p w14:paraId="29E39BB9" w14:textId="77777777" w:rsidR="00F52D08" w:rsidRDefault="00F52D08">
      <w:pPr>
        <w:spacing w:after="40"/>
        <w:jc w:val="both"/>
        <w:rPr>
          <w:rFonts w:ascii="Times New Roman" w:hAnsi="Times New Roman" w:cs="Times New Roman"/>
          <w:sz w:val="24"/>
          <w:szCs w:val="24"/>
        </w:rPr>
      </w:pPr>
    </w:p>
    <w:p w14:paraId="1BD9DE3A" w14:textId="6745225F" w:rsidR="00F52D08" w:rsidRDefault="00000000">
      <w:pPr>
        <w:pStyle w:val="Heading1"/>
      </w:pPr>
      <w:r>
        <w:rPr>
          <w:rFonts w:ascii="Times New Roman" w:hAnsi="Times New Roman"/>
          <w:sz w:val="32"/>
          <w:lang w:val="en-US" w:eastAsia="en-US"/>
        </w:rPr>
        <w:t>8. ROP Reflex Zones — Regional Mapping of the Pelvic Cavity</w:t>
      </w:r>
      <w:r w:rsidR="00E92710">
        <w:rPr>
          <w:rFonts w:ascii="Times New Roman" w:hAnsi="Times New Roman"/>
          <w:sz w:val="32"/>
          <w:lang w:val="en-US" w:eastAsia="en-US"/>
        </w:rPr>
      </w:r>
      <w:r>
        <w:rPr>
          <w:rFonts w:ascii="Times New Roman" w:hAnsi="Times New Roman"/>
          <w:sz w:val="32"/>
          <w:lang w:val="en-US" w:eastAsia="en-US"/>
        </w:rPr>
      </w:r>
    </w:p>
    <w:p w14:paraId="7AB6CBDE" w14:textId="77777777" w:rsidR="00F52D08" w:rsidRDefault="00000000">
      <w:pPr>
        <w:pStyle w:val="Heading2"/>
      </w:pPr>
      <w:r>
        <w:rPr>
          <w:rFonts w:ascii="Times New Roman" w:hAnsi="Times New Roman"/>
          <w:sz w:val="26"/>
          <w:lang w:val="en-US" w:eastAsia="en-US"/>
        </w:rPr>
        <w:t>8.1. Key point — Chapter 17 as the regional foundation for Level 3</w:t>
      </w:r>
    </w:p>
    <w:p w14:paraId="51B80B7E" w14:textId="3DD54B73" w:rsidR="00F52D08" w:rsidRDefault="004208DD">
      <w:r>
        <w:rPr>
          <w:rFonts w:ascii="Times New Roman" w:hAnsi="Times New Roman"/>
          <w:sz w:val="22"/>
        </w:rPr>
        <w:t>Chapter 17 should not be treated as an additional organ-specific chapter. It serves as the regional reference for the chapters on the bladder, female reproductive organs, male reproductive organs, and erectile function.</w:t>
      </w:r>
    </w:p>
    <w:p w14:paraId="5523FD6E" w14:textId="77777777" w:rsidR="00F52D08" w:rsidRDefault="00000000">
      <w:pPr>
        <w:pStyle w:val="Heading2"/>
      </w:pPr>
      <w:r>
        <w:rPr>
          <w:rFonts w:ascii="Times New Roman" w:hAnsi="Times New Roman"/>
          <w:sz w:val="26"/>
          <w:lang w:val="en-US" w:eastAsia="en-US"/>
        </w:rPr>
        <w:t>8.2. Level 3 — Local and regional visceral regulation: the pelvic foundation</w:t>
      </w:r>
    </w:p>
    <w:p w14:paraId="60BE4997" w14:textId="77777777" w:rsidR="00F52D08" w:rsidRDefault="00000000">
      <w:r>
        <w:rPr>
          <w:rFonts w:ascii="Times New Roman" w:hAnsi="Times New Roman"/>
          <w:sz w:val="22"/>
          <w:lang w:val="en-US" w:eastAsia="en-US"/>
        </w:rPr>
        <w:t>Level 3 is the core of this chapter. It does not target an isolated viscus, but the anatomical environment in which the pelvic organs move, are supported, and maintain their relationships.</w:t>
      </w:r>
    </w:p>
    <w:p w14:paraId="7F19FD85" w14:textId="77777777" w:rsidR="00F52D08" w:rsidRDefault="00000000">
      <w:pPr>
        <w:pStyle w:val="Heading3"/>
        <w:spacing w:before="120" w:after="60"/>
      </w:pPr>
      <w:r>
        <w:rPr>
          <w:rFonts w:ascii="Times New Roman" w:hAnsi="Times New Roman"/>
          <w:b/>
          <w:sz w:val="23"/>
          <w:lang w:val="en-US" w:eastAsia="en-US"/>
        </w:rPr>
        <w:t>8.2.1. The pelvic container</w:t>
      </w:r>
    </w:p>
    <w:p w14:paraId="231FC517" w14:textId="77777777" w:rsidR="00F52D08" w:rsidRDefault="00000000">
      <w:pPr>
        <w:pStyle w:val="ListParagraph"/>
        <w:spacing w:after="36"/>
        <w:ind w:left="255" w:hanging="142"/>
        <w:numPr>
          <w:ilvl w:val="0"/>
          <w:numId w:val="61"/>
        </w:numPr>
      </w:pPr>
      <w:r>
        <w:rPr>
          <w:rFonts w:ascii="Times New Roman" w:hAnsi="Times New Roman"/>
          <w:sz w:val="22"/>
        </w:rPr>
        <w:t>Pelvic inlet and pelvic outlet.</w:t>
      </w:r>
    </w:p>
    <w:p w14:paraId="14D8BAE1" w14:textId="77777777" w:rsidR="00F52D08" w:rsidRDefault="00000000">
      <w:pPr>
        <w:pStyle w:val="ListParagraph"/>
        <w:spacing w:after="36"/>
        <w:ind w:left="255" w:hanging="142"/>
        <w:numPr>
          <w:ilvl w:val="0"/>
          <w:numId w:val="61"/>
        </w:numPr>
      </w:pPr>
      <w:r>
        <w:rPr>
          <w:rFonts w:ascii="Times New Roman" w:hAnsi="Times New Roman"/>
          <w:sz w:val="22"/>
        </w:rPr>
        <w:t>Sacrum and coccyx as the posterior boundaries of the pelvic framework.</w:t>
      </w:r>
    </w:p>
    <w:p w14:paraId="59861411" w14:textId="77777777" w:rsidR="00F52D08" w:rsidRDefault="00000000">
      <w:pPr>
        <w:pStyle w:val="ListParagraph"/>
        <w:spacing w:after="36"/>
        <w:ind w:left="255" w:hanging="142"/>
        <w:numPr>
          <w:ilvl w:val="0"/>
          <w:numId w:val="61"/>
        </w:numPr>
      </w:pPr>
      <w:r>
        <w:rPr>
          <w:rFonts w:ascii="Times New Roman" w:hAnsi="Times New Roman"/>
          <w:sz w:val="22"/>
        </w:rPr>
        <w:t>Pubic symphysis and ischiopubic rami as anterior landmarks.</w:t>
      </w:r>
    </w:p>
    <w:p w14:paraId="07BCB136" w14:textId="77777777" w:rsidR="00F52D08" w:rsidRDefault="00000000">
      <w:pPr>
        <w:pStyle w:val="ListParagraph"/>
        <w:spacing w:after="36"/>
        <w:ind w:left="255" w:hanging="142"/>
        <w:numPr>
          <w:ilvl w:val="0"/>
          <w:numId w:val="61"/>
        </w:numPr>
      </w:pPr>
      <w:r>
        <w:rPr>
          <w:rFonts w:ascii="Times New Roman" w:hAnsi="Times New Roman"/>
          <w:sz w:val="22"/>
        </w:rPr>
        <w:t>Lateral pelvic walls.</w:t>
      </w:r>
    </w:p>
    <w:p w14:paraId="6CE720B5" w14:textId="77777777" w:rsidR="00F52D08" w:rsidRDefault="00000000">
      <w:pPr>
        <w:pStyle w:val="ListParagraph"/>
        <w:spacing w:after="36"/>
        <w:ind w:left="255" w:hanging="142"/>
        <w:numPr>
          <w:ilvl w:val="0"/>
          <w:numId w:val="61"/>
        </w:numPr>
      </w:pPr>
      <w:r>
        <w:rPr>
          <w:rFonts w:ascii="Times New Roman" w:hAnsi="Times New Roman"/>
          <w:sz w:val="22"/>
        </w:rPr>
        <w:t>Greater sciatic foramen.</w:t>
      </w:r>
    </w:p>
    <w:p w14:paraId="79DEB384" w14:textId="77777777" w:rsidR="00F52D08" w:rsidRDefault="00000000">
      <w:pPr>
        <w:pStyle w:val="ListParagraph"/>
        <w:spacing w:after="36"/>
        <w:ind w:left="255" w:hanging="142"/>
        <w:numPr>
          <w:ilvl w:val="0"/>
          <w:numId w:val="61"/>
        </w:numPr>
      </w:pPr>
      <w:r>
        <w:rPr>
          <w:rFonts w:ascii="Times New Roman" w:hAnsi="Times New Roman"/>
          <w:sz w:val="22"/>
        </w:rPr>
        <w:t>Lesser sciatic foramen.</w:t>
      </w:r>
    </w:p>
    <w:p w14:paraId="6F99C137" w14:textId="77777777" w:rsidR="00F52D08" w:rsidRDefault="00000000">
      <w:pPr>
        <w:pStyle w:val="ListParagraph"/>
        <w:spacing w:after="36"/>
        <w:ind w:left="255" w:hanging="142"/>
        <w:numPr>
          <w:ilvl w:val="0"/>
          <w:numId w:val="61"/>
        </w:numPr>
      </w:pPr>
      <w:r>
        <w:rPr>
          <w:rFonts w:ascii="Times New Roman" w:hAnsi="Times New Roman"/>
          <w:sz w:val="22"/>
        </w:rPr>
        <w:t>Obturator foramen and obturator membrane.</w:t>
      </w:r>
    </w:p>
    <w:p w14:paraId="78965B54" w14:textId="77777777" w:rsidR="00F52D08" w:rsidRDefault="00000000">
      <w:r>
        <w:rPr>
          <w:rFonts w:ascii="Times New Roman" w:hAnsi="Times New Roman"/>
          <w:sz w:val="22"/>
          <w:lang w:val="en-US" w:eastAsia="en-US"/>
        </w:rPr>
        <w:t>These landmarks describe the osseous framework and the routes of communication among the pelvic cavity, gluteal region, perineum, and lower limbs. They constitute the first component of the regional module.</w:t>
      </w:r>
    </w:p>
    <w:p w14:paraId="3B3AAB90" w14:textId="77777777" w:rsidR="00F52D08" w:rsidRDefault="00000000">
      <w:pPr>
        <w:pStyle w:val="Heading3"/>
        <w:spacing w:before="120" w:after="60"/>
      </w:pPr>
      <w:r>
        <w:rPr>
          <w:rFonts w:ascii="Times New Roman" w:hAnsi="Times New Roman"/>
          <w:b/>
          <w:sz w:val="23"/>
          <w:lang w:val="en-US" w:eastAsia="en-US"/>
        </w:rPr>
        <w:t>8.2.2. Ligamentous and fascial interfaces</w:t>
      </w:r>
    </w:p>
    <w:p w14:paraId="54D48B81" w14:textId="77777777" w:rsidR="00F52D08" w:rsidRDefault="00000000">
      <w:pPr>
        <w:pStyle w:val="ListParagraph"/>
        <w:spacing w:after="36"/>
        <w:ind w:left="255" w:hanging="142"/>
        <w:numPr>
          <w:ilvl w:val="0"/>
          <w:numId w:val="61"/>
        </w:numPr>
      </w:pPr>
      <w:r>
        <w:rPr>
          <w:rFonts w:ascii="Times New Roman" w:hAnsi="Times New Roman"/>
          <w:sz w:val="22"/>
        </w:rPr>
        <w:t>Sacrotuberous ligaments.</w:t>
      </w:r>
    </w:p>
    <w:p w14:paraId="78F8A5AF" w14:textId="77777777" w:rsidR="00F52D08" w:rsidRDefault="00000000">
      <w:pPr>
        <w:pStyle w:val="ListParagraph"/>
        <w:spacing w:after="36"/>
        <w:ind w:left="255" w:hanging="142"/>
        <w:numPr>
          <w:ilvl w:val="0"/>
          <w:numId w:val="61"/>
        </w:numPr>
      </w:pPr>
      <w:r>
        <w:rPr>
          <w:rFonts w:ascii="Times New Roman" w:hAnsi="Times New Roman"/>
          <w:sz w:val="22"/>
        </w:rPr>
        <w:t>Sacrospinous ligaments.</w:t>
      </w:r>
    </w:p>
    <w:p w14:paraId="75F911E6" w14:textId="77777777" w:rsidR="00F52D08" w:rsidRDefault="00000000">
      <w:pPr>
        <w:pStyle w:val="ListParagraph"/>
        <w:spacing w:after="36"/>
        <w:ind w:left="255" w:hanging="142"/>
        <w:numPr>
          <w:ilvl w:val="0"/>
          <w:numId w:val="61"/>
        </w:numPr>
      </w:pPr>
      <w:r>
        <w:rPr>
          <w:rFonts w:ascii="Times New Roman" w:hAnsi="Times New Roman"/>
          <w:sz w:val="22"/>
        </w:rPr>
        <w:t>Sacrorectogenitopubic laminae and the other pelvic septa described in this chapter.</w:t>
      </w:r>
    </w:p>
    <w:p w14:paraId="6F3090F9" w14:textId="77777777" w:rsidR="00F52D08" w:rsidRDefault="00000000">
      <w:pPr>
        <w:pStyle w:val="ListParagraph"/>
        <w:spacing w:after="36"/>
        <w:ind w:left="255" w:hanging="142"/>
        <w:numPr>
          <w:ilvl w:val="0"/>
          <w:numId w:val="61"/>
        </w:numPr>
      </w:pPr>
      <w:r>
        <w:rPr>
          <w:rFonts w:ascii="Times New Roman" w:hAnsi="Times New Roman"/>
          <w:sz w:val="22"/>
        </w:rPr>
        <w:t>Membranes and fasciae of the pelvic wall.</w:t>
      </w:r>
    </w:p>
    <w:p w14:paraId="35369A5E" w14:textId="77777777" w:rsidR="00F52D08" w:rsidRDefault="00000000">
      <w:pPr>
        <w:pStyle w:val="ListParagraph"/>
        <w:spacing w:after="36"/>
        <w:ind w:left="255" w:hanging="142"/>
        <w:numPr>
          <w:ilvl w:val="0"/>
          <w:numId w:val="61"/>
        </w:numPr>
      </w:pPr>
      <w:r>
        <w:rPr>
          <w:rFonts w:ascii="Times New Roman" w:hAnsi="Times New Roman"/>
          <w:sz w:val="22"/>
        </w:rPr>
        <w:t>Perineum, considered here as a regional supporting and closing plane.</w:t>
      </w:r>
    </w:p>
    <w:p w14:paraId="0ACCD002" w14:textId="77777777" w:rsidR="00F52D08" w:rsidRDefault="00000000">
      <w:r>
        <w:rPr>
          <w:rFonts w:ascii="Times New Roman" w:hAnsi="Times New Roman"/>
          <w:sz w:val="22"/>
          <w:lang w:val="en-US" w:eastAsia="en-US"/>
        </w:rPr>
        <w:t>In this interpretation, the ligaments and fasciae are not treated as evidence of a specific lesion. They serve as landmarks of regional continuity and relative mobility among pelvic structures.</w:t>
      </w:r>
    </w:p>
    <w:p w14:paraId="6E54979E" w14:textId="77777777" w:rsidR="00F52D08" w:rsidRDefault="00000000">
      <w:pPr>
        <w:pStyle w:val="Heading3"/>
        <w:spacing w:before="120" w:after="60"/>
      </w:pPr>
      <w:r>
        <w:rPr>
          <w:rFonts w:ascii="Times New Roman" w:hAnsi="Times New Roman"/>
          <w:b/>
          <w:sz w:val="23"/>
          <w:lang w:val="en-US" w:eastAsia="en-US"/>
        </w:rPr>
        <w:t>8.2.3. Pelvic visceral space</w:t>
      </w:r>
    </w:p>
    <w:p w14:paraId="3E497FC2" w14:textId="77777777" w:rsidR="00F52D08" w:rsidRDefault="00000000">
      <w:pPr>
        <w:pStyle w:val="ListParagraph"/>
        <w:spacing w:after="36"/>
        <w:ind w:left="255" w:hanging="142"/>
        <w:numPr>
          <w:ilvl w:val="0"/>
          <w:numId w:val="61"/>
        </w:numPr>
      </w:pPr>
      <w:r>
        <w:rPr>
          <w:rFonts w:ascii="Times New Roman" w:hAnsi="Times New Roman"/>
          <w:sz w:val="22"/>
        </w:rPr>
        <w:t>Medial visceral compartment.</w:t>
      </w:r>
    </w:p>
    <w:p w14:paraId="24B71CF4" w14:textId="77777777" w:rsidR="00F52D08" w:rsidRDefault="00000000">
      <w:pPr>
        <w:pStyle w:val="ListParagraph"/>
        <w:spacing w:after="36"/>
        <w:ind w:left="255" w:hanging="142"/>
        <w:numPr>
          <w:ilvl w:val="0"/>
          <w:numId w:val="61"/>
        </w:numPr>
      </w:pPr>
      <w:r>
        <w:rPr>
          <w:rFonts w:ascii="Times New Roman" w:hAnsi="Times New Roman"/>
          <w:sz w:val="22"/>
        </w:rPr>
        <w:t>Subperitoneal pelvic space.</w:t>
      </w:r>
    </w:p>
    <w:p w14:paraId="1FDE9090" w14:textId="77777777" w:rsidR="00F52D08" w:rsidRDefault="00000000">
      <w:pPr>
        <w:pStyle w:val="ListParagraph"/>
        <w:spacing w:after="36"/>
        <w:ind w:left="255" w:hanging="142"/>
        <w:numPr>
          <w:ilvl w:val="0"/>
          <w:numId w:val="61"/>
        </w:numPr>
      </w:pPr>
      <w:r>
        <w:rPr>
          <w:rFonts w:ascii="Times New Roman" w:hAnsi="Times New Roman"/>
          <w:sz w:val="22"/>
        </w:rPr>
        <w:t>Pelvic peritoneal pouches.</w:t>
      </w:r>
    </w:p>
    <w:p w14:paraId="385CA893" w14:textId="77777777" w:rsidR="00F52D08" w:rsidRDefault="00000000">
      <w:pPr>
        <w:pStyle w:val="ListParagraph"/>
        <w:spacing w:after="36"/>
        <w:ind w:left="255" w:hanging="142"/>
        <w:numPr>
          <w:ilvl w:val="0"/>
          <w:numId w:val="61"/>
        </w:numPr>
      </w:pPr>
      <w:r>
        <w:rPr>
          <w:rFonts w:ascii="Times New Roman" w:hAnsi="Times New Roman"/>
          <w:sz w:val="22"/>
        </w:rPr>
        <w:t>Relationships among the rectum, bladder, uterus, and adnexa in women.</w:t>
      </w:r>
    </w:p>
    <w:p w14:paraId="55BBD516" w14:textId="77777777" w:rsidR="00F52D08" w:rsidRDefault="00000000">
      <w:pPr>
        <w:pStyle w:val="ListParagraph"/>
        <w:spacing w:after="36"/>
        <w:ind w:left="255" w:hanging="142"/>
        <w:numPr>
          <w:ilvl w:val="0"/>
          <w:numId w:val="61"/>
        </w:numPr>
      </w:pPr>
      <w:r>
        <w:rPr>
          <w:rFonts w:ascii="Times New Roman" w:hAnsi="Times New Roman"/>
          <w:sz w:val="22"/>
        </w:rPr>
        <w:t>Relationships among the rectum, bladder, prostate, seminal vesicles, and reproductive ducts in men.</w:t>
      </w:r>
    </w:p>
    <w:p w14:paraId="21EA83FC" w14:textId="77777777" w:rsidR="00F52D08" w:rsidRDefault="00000000">
      <w:pPr>
        <w:pStyle w:val="ListParagraph"/>
        <w:spacing w:after="36"/>
        <w:ind w:left="255" w:hanging="142"/>
        <w:numPr>
          <w:ilvl w:val="0"/>
          <w:numId w:val="61"/>
        </w:numPr>
      </w:pPr>
      <w:r>
        <w:rPr>
          <w:rFonts w:ascii="Times New Roman" w:hAnsi="Times New Roman"/>
          <w:sz w:val="22"/>
        </w:rPr>
        <w:t>Relationships with the peritoneum and pelvic septa.</w:t>
      </w:r>
    </w:p>
    <w:p w14:paraId="3CD62FF7" w14:textId="77777777" w:rsidR="00F52D08" w:rsidRDefault="00000000">
      <w:r>
        <w:rPr>
          <w:rFonts w:ascii="Times New Roman" w:hAnsi="Times New Roman"/>
          <w:sz w:val="22"/>
          <w:lang w:val="en-US" w:eastAsia="en-US"/>
        </w:rPr>
        <w:t>Chapter 17 provides the common regional foundation. The reflex zones specific to each viscus remain described in their respective chapters and are not duplicated in this section.</w:t>
      </w:r>
    </w:p>
    <w:p w14:paraId="7FFAF343" w14:textId="77777777" w:rsidR="00F52D08" w:rsidRDefault="00000000">
      <w:r>
        <w:rPr>
          <w:rFonts w:ascii="Times New Roman" w:hAnsi="Times New Roman"/>
          <w:sz w:val="22"/>
        </w:rPr>
        <w:t>See Chapter 18, “Bladder”; Chapter 19, “Female Reproductive Organs”; Chapter 20, “Male Reproductive Organs”; and Chapter 21, “Erectile Function.”</w:t>
      </w:r>
    </w:p>
    <w:p w14:paraId="6E4C1DB8" w14:textId="77777777" w:rsidR="00F52D08" w:rsidRDefault="00000000">
      <w:pPr>
        <w:pStyle w:val="Heading2"/>
      </w:pPr>
      <w:r>
        <w:rPr>
          <w:rFonts w:ascii="Times New Roman" w:hAnsi="Times New Roman"/>
          <w:sz w:val="26"/>
          <w:lang w:val="en-US" w:eastAsia="en-US"/>
        </w:rPr>
        <w:t>8.3. Level 4 — Pelvic somatic integration</w:t>
      </w:r>
    </w:p>
    <w:p w14:paraId="791D057D" w14:textId="77777777" w:rsidR="00F52D08" w:rsidRDefault="00000000">
      <w:r>
        <w:rPr>
          <w:rFonts w:ascii="Times New Roman" w:hAnsi="Times New Roman"/>
          <w:sz w:val="22"/>
          <w:lang w:val="en-US" w:eastAsia="en-US"/>
        </w:rPr>
        <w:t>In this regional chapter, Level 4 is deliberately adapted: it groups the somatic structures that border, traverse, or stabilize the pelvis and may contribute to painful or functional convergence associated with the pelvic viscera.</w:t>
      </w:r>
    </w:p>
    <w:p w14:paraId="6968911B" w14:textId="77777777" w:rsidR="00F52D08" w:rsidRDefault="00000000">
      <w:pPr>
        <w:pStyle w:val="Heading3"/>
        <w:spacing w:before="120" w:after="60"/>
      </w:pPr>
      <w:r>
        <w:rPr>
          <w:rFonts w:ascii="Times New Roman" w:hAnsi="Times New Roman"/>
          <w:b/>
          <w:sz w:val="23"/>
          <w:lang w:val="en-US" w:eastAsia="en-US"/>
        </w:rPr>
        <w:t>8.3.1. Sacral plexus and sciatic nerve</w:t>
      </w:r>
    </w:p>
    <w:p w14:paraId="6B93AD05" w14:textId="77777777" w:rsidR="00F52D08" w:rsidRDefault="00000000">
      <w:pPr>
        <w:pStyle w:val="ListParagraph"/>
        <w:spacing w:after="36"/>
        <w:ind w:left="255" w:hanging="142"/>
        <w:numPr>
          <w:ilvl w:val="0"/>
          <w:numId w:val="61"/>
        </w:numPr>
      </w:pPr>
      <w:r>
        <w:rPr>
          <w:rFonts w:ascii="Times New Roman" w:hAnsi="Times New Roman"/>
          <w:sz w:val="22"/>
        </w:rPr>
        <w:t>Sacral plexus.</w:t>
      </w:r>
    </w:p>
    <w:p w14:paraId="1B618E75" w14:textId="77777777" w:rsidR="00F52D08" w:rsidRDefault="00000000">
      <w:pPr>
        <w:pStyle w:val="ListParagraph"/>
        <w:spacing w:after="36"/>
        <w:ind w:left="255" w:hanging="142"/>
        <w:numPr>
          <w:ilvl w:val="0"/>
          <w:numId w:val="61"/>
        </w:numPr>
      </w:pPr>
      <w:r>
        <w:rPr>
          <w:rFonts w:ascii="Times New Roman" w:hAnsi="Times New Roman"/>
          <w:sz w:val="22"/>
        </w:rPr>
        <w:t>Greater sciatic foramen.</w:t>
      </w:r>
    </w:p>
    <w:p w14:paraId="08A2D8E0" w14:textId="77777777" w:rsidR="00F52D08" w:rsidRDefault="00000000">
      <w:pPr>
        <w:pStyle w:val="ListParagraph"/>
        <w:spacing w:after="36"/>
        <w:ind w:left="255" w:hanging="142"/>
        <w:numPr>
          <w:ilvl w:val="0"/>
          <w:numId w:val="61"/>
        </w:numPr>
      </w:pPr>
      <w:r>
        <w:rPr>
          <w:rFonts w:ascii="Times New Roman" w:hAnsi="Times New Roman"/>
          <w:sz w:val="22"/>
        </w:rPr>
        <w:t>Piriformis muscle.</w:t>
      </w:r>
    </w:p>
    <w:p w14:paraId="6A66CFF5" w14:textId="77777777" w:rsidR="00F52D08" w:rsidRDefault="00000000">
      <w:pPr>
        <w:pStyle w:val="ListParagraph"/>
        <w:spacing w:after="36"/>
        <w:ind w:left="255" w:hanging="142"/>
        <w:numPr>
          <w:ilvl w:val="0"/>
          <w:numId w:val="61"/>
        </w:numPr>
      </w:pPr>
      <w:r>
        <w:rPr>
          <w:rFonts w:ascii="Times New Roman" w:hAnsi="Times New Roman"/>
          <w:sz w:val="22"/>
        </w:rPr>
        <w:t>Ischiotrochanteric groove.</w:t>
      </w:r>
    </w:p>
    <w:p w14:paraId="0544C7E5" w14:textId="77777777" w:rsidR="00F52D08" w:rsidRDefault="00000000">
      <w:pPr>
        <w:pStyle w:val="ListParagraph"/>
        <w:spacing w:after="36"/>
        <w:ind w:left="255" w:hanging="142"/>
        <w:numPr>
          <w:ilvl w:val="0"/>
          <w:numId w:val="61"/>
        </w:numPr>
      </w:pPr>
      <w:r>
        <w:rPr>
          <w:rFonts w:ascii="Times New Roman" w:hAnsi="Times New Roman"/>
          <w:sz w:val="22"/>
        </w:rPr>
        <w:t>Sciatic nerve.</w:t>
      </w:r>
    </w:p>
    <w:p w14:paraId="3AB54028" w14:textId="77777777" w:rsidR="00F52D08" w:rsidRDefault="00000000">
      <w:r>
        <w:rPr>
          <w:rFonts w:ascii="Times New Roman" w:hAnsi="Times New Roman"/>
          <w:sz w:val="22"/>
          <w:lang w:val="en-US" w:eastAsia="en-US"/>
        </w:rPr>
        <w:t>These landmarks are particularly useful when a pelvic presentation is accompanied by lumbosacral, gluteal, or sciatic pain. They do not imply that sciatic pain necessarily has a visceral origin.</w:t>
      </w:r>
    </w:p>
    <w:p w14:paraId="566B1F90" w14:textId="77777777" w:rsidR="00F52D08" w:rsidRDefault="00000000">
      <w:pPr>
        <w:pStyle w:val="Heading3"/>
        <w:spacing w:before="120" w:after="60"/>
      </w:pPr>
      <w:r>
        <w:rPr>
          <w:rFonts w:ascii="Times New Roman" w:hAnsi="Times New Roman"/>
          <w:b/>
          <w:sz w:val="23"/>
          <w:lang w:val="en-US" w:eastAsia="en-US"/>
        </w:rPr>
        <w:t>8.3.2. Pudendal nerve and perineal environment</w:t>
      </w:r>
    </w:p>
    <w:p w14:paraId="66A6B9C4" w14:textId="77777777" w:rsidR="00F52D08" w:rsidRDefault="00000000">
      <w:pPr>
        <w:pStyle w:val="ListParagraph"/>
        <w:spacing w:after="36"/>
        <w:ind w:left="255" w:hanging="142"/>
        <w:numPr>
          <w:ilvl w:val="0"/>
          <w:numId w:val="61"/>
        </w:numPr>
      </w:pPr>
      <w:r>
        <w:rPr>
          <w:rFonts w:ascii="Times New Roman" w:hAnsi="Times New Roman"/>
          <w:sz w:val="22"/>
        </w:rPr>
        <w:t>Pudendal nerve and pudendal plexus according to the method’s mapping.</w:t>
      </w:r>
    </w:p>
    <w:p w14:paraId="253187F8" w14:textId="77777777" w:rsidR="00F52D08" w:rsidRDefault="00000000">
      <w:pPr>
        <w:pStyle w:val="ListParagraph"/>
        <w:spacing w:after="36"/>
        <w:ind w:left="255" w:hanging="142"/>
        <w:numPr>
          <w:ilvl w:val="0"/>
          <w:numId w:val="61"/>
        </w:numPr>
      </w:pPr>
      <w:r>
        <w:rPr>
          <w:rFonts w:ascii="Times New Roman" w:hAnsi="Times New Roman"/>
          <w:sz w:val="22"/>
        </w:rPr>
        <w:t>Ischial spine.</w:t>
      </w:r>
    </w:p>
    <w:p w14:paraId="783A00EB" w14:textId="77777777" w:rsidR="00F52D08" w:rsidRDefault="00000000">
      <w:pPr>
        <w:pStyle w:val="ListParagraph"/>
        <w:spacing w:after="36"/>
        <w:ind w:left="255" w:hanging="142"/>
        <w:numPr>
          <w:ilvl w:val="0"/>
          <w:numId w:val="61"/>
        </w:numPr>
      </w:pPr>
      <w:r>
        <w:rPr>
          <w:rFonts w:ascii="Times New Roman" w:hAnsi="Times New Roman"/>
          <w:sz w:val="22"/>
        </w:rPr>
        <w:t>Sacrospinous and sacrotuberous ligaments.</w:t>
      </w:r>
    </w:p>
    <w:p w14:paraId="644230AE" w14:textId="77777777" w:rsidR="00F52D08" w:rsidRDefault="00000000">
      <w:pPr>
        <w:pStyle w:val="ListParagraph"/>
        <w:spacing w:after="36"/>
        <w:ind w:left="255" w:hanging="142"/>
        <w:numPr>
          <w:ilvl w:val="0"/>
          <w:numId w:val="61"/>
        </w:numPr>
      </w:pPr>
      <w:r>
        <w:rPr>
          <w:rFonts w:ascii="Times New Roman" w:hAnsi="Times New Roman"/>
          <w:sz w:val="22"/>
        </w:rPr>
        <w:t>Lesser sciatic foramen.</w:t>
      </w:r>
    </w:p>
    <w:p w14:paraId="5A52600C" w14:textId="77777777" w:rsidR="00F52D08" w:rsidRDefault="00000000">
      <w:pPr>
        <w:pStyle w:val="ListParagraph"/>
        <w:spacing w:after="36"/>
        <w:ind w:left="255" w:hanging="142"/>
        <w:numPr>
          <w:ilvl w:val="0"/>
          <w:numId w:val="61"/>
        </w:numPr>
      </w:pPr>
      <w:r>
        <w:rPr>
          <w:rFonts w:ascii="Times New Roman" w:hAnsi="Times New Roman"/>
          <w:sz w:val="22"/>
        </w:rPr>
        <w:t>Alcock’s canal along the ischiopubic ramus.</w:t>
      </w:r>
    </w:p>
    <w:p w14:paraId="253B8839" w14:textId="77777777" w:rsidR="00F52D08" w:rsidRDefault="00000000">
      <w:pPr>
        <w:pStyle w:val="ListParagraph"/>
        <w:spacing w:after="36"/>
        <w:ind w:left="255" w:hanging="142"/>
        <w:numPr>
          <w:ilvl w:val="0"/>
          <w:numId w:val="61"/>
        </w:numPr>
      </w:pPr>
      <w:r>
        <w:rPr>
          <w:rFonts w:ascii="Times New Roman" w:hAnsi="Times New Roman"/>
          <w:sz w:val="22"/>
        </w:rPr>
        <w:t>Perineum and pelvic floor.</w:t>
      </w:r>
    </w:p>
    <w:p w14:paraId="77E5C0B4" w14:textId="77777777" w:rsidR="00F52D08" w:rsidRDefault="00000000">
      <w:r>
        <w:rPr>
          <w:rFonts w:ascii="Times New Roman" w:hAnsi="Times New Roman"/>
          <w:sz w:val="22"/>
          <w:lang w:val="en-US" w:eastAsia="en-US"/>
        </w:rPr>
        <w:t>The pudendal nerve is a somatic sensorimotor pathway. It must be distinguished from the parasympathetic pelvic splanchnic nerves, even though these systems share closely related sacral levels.</w:t>
      </w:r>
    </w:p>
    <w:p w14:paraId="441EBCF7" w14:textId="77777777" w:rsidR="00F52D08" w:rsidRDefault="00000000">
      <w:pPr>
        <w:pStyle w:val="Heading3"/>
        <w:spacing w:before="120" w:after="60"/>
      </w:pPr>
      <w:r>
        <w:rPr>
          <w:rFonts w:ascii="Times New Roman" w:hAnsi="Times New Roman"/>
          <w:b/>
          <w:sz w:val="23"/>
          <w:lang w:val="en-US" w:eastAsia="en-US"/>
        </w:rPr>
        <w:t>8.3.3. Associated muscles and joints</w:t>
      </w:r>
    </w:p>
    <w:p w14:paraId="6A442812" w14:textId="77777777" w:rsidR="00F52D08" w:rsidRDefault="00000000">
      <w:pPr>
        <w:pStyle w:val="ListParagraph"/>
        <w:spacing w:after="36"/>
        <w:ind w:left="255" w:hanging="142"/>
        <w:numPr>
          <w:ilvl w:val="0"/>
          <w:numId w:val="61"/>
        </w:numPr>
      </w:pPr>
      <w:r>
        <w:rPr>
          <w:rFonts w:ascii="Times New Roman" w:hAnsi="Times New Roman"/>
          <w:sz w:val="22"/>
        </w:rPr>
        <w:t>Piriformis.</w:t>
      </w:r>
    </w:p>
    <w:p w14:paraId="53C21A4C" w14:textId="77777777" w:rsidR="00F52D08" w:rsidRDefault="00000000">
      <w:pPr>
        <w:pStyle w:val="ListParagraph"/>
        <w:spacing w:after="36"/>
        <w:ind w:left="255" w:hanging="142"/>
        <w:numPr>
          <w:ilvl w:val="0"/>
          <w:numId w:val="61"/>
        </w:numPr>
      </w:pPr>
      <w:r>
        <w:rPr>
          <w:rFonts w:ascii="Times New Roman" w:hAnsi="Times New Roman"/>
          <w:sz w:val="22"/>
        </w:rPr>
        <w:t>Obturator internus and gemelli muscles.</w:t>
      </w:r>
    </w:p>
    <w:p w14:paraId="5877B4B1" w14:textId="77777777" w:rsidR="00F52D08" w:rsidRDefault="00000000">
      <w:pPr>
        <w:pStyle w:val="ListParagraph"/>
        <w:spacing w:after="36"/>
        <w:ind w:left="255" w:hanging="142"/>
        <w:numPr>
          <w:ilvl w:val="0"/>
          <w:numId w:val="61"/>
        </w:numPr>
      </w:pPr>
      <w:r>
        <w:rPr>
          <w:rFonts w:ascii="Times New Roman" w:hAnsi="Times New Roman"/>
          <w:sz w:val="22"/>
        </w:rPr>
        <w:t>Deep perineal muscles.</w:t>
      </w:r>
    </w:p>
    <w:p w14:paraId="035BD767" w14:textId="77777777" w:rsidR="00F52D08" w:rsidRDefault="00000000">
      <w:pPr>
        <w:pStyle w:val="ListParagraph"/>
        <w:spacing w:after="36"/>
        <w:ind w:left="255" w:hanging="142"/>
        <w:numPr>
          <w:ilvl w:val="0"/>
          <w:numId w:val="61"/>
        </w:numPr>
      </w:pPr>
      <w:r>
        <w:rPr>
          <w:rFonts w:ascii="Times New Roman" w:hAnsi="Times New Roman"/>
          <w:sz w:val="22"/>
        </w:rPr>
        <w:t>Sacrum and coccyx.</w:t>
      </w:r>
    </w:p>
    <w:p w14:paraId="75632983" w14:textId="77777777" w:rsidR="00F52D08" w:rsidRDefault="00000000">
      <w:pPr>
        <w:pStyle w:val="ListParagraph"/>
        <w:spacing w:after="36"/>
        <w:ind w:left="255" w:hanging="142"/>
        <w:numPr>
          <w:ilvl w:val="0"/>
          <w:numId w:val="61"/>
        </w:numPr>
      </w:pPr>
      <w:r>
        <w:rPr>
          <w:rFonts w:ascii="Times New Roman" w:hAnsi="Times New Roman"/>
          <w:sz w:val="22"/>
        </w:rPr>
        <w:t>Sacroiliac joints.</w:t>
      </w:r>
    </w:p>
    <w:p w14:paraId="783C6F09" w14:textId="77777777" w:rsidR="00F52D08" w:rsidRDefault="00000000">
      <w:pPr>
        <w:pStyle w:val="ListParagraph"/>
        <w:spacing w:after="36"/>
        <w:ind w:left="255" w:hanging="142"/>
        <w:numPr>
          <w:ilvl w:val="0"/>
          <w:numId w:val="61"/>
        </w:numPr>
      </w:pPr>
      <w:r>
        <w:rPr>
          <w:rFonts w:ascii="Times New Roman" w:hAnsi="Times New Roman"/>
          <w:sz w:val="22"/>
        </w:rPr>
        <w:t>Hips and the coxofemoral environment when justified by the clinical presentation.</w:t>
      </w:r>
    </w:p>
    <w:p w14:paraId="417CB490" w14:textId="77777777" w:rsidR="00F52D08" w:rsidRDefault="00000000">
      <w:r>
        <w:rPr>
          <w:rFonts w:ascii="Times New Roman" w:hAnsi="Times New Roman"/>
          <w:sz w:val="22"/>
          <w:lang w:val="en-US" w:eastAsia="en-US"/>
        </w:rPr>
        <w:t>These structures constitute the somatic aspect of the pelvis. Their selection depends on symptoms, examination findings, and the functional relationships identified during assessment.</w:t>
      </w:r>
    </w:p>
    <w:p w14:paraId="6827E1BC" w14:textId="77777777" w:rsidR="00F52D08" w:rsidRDefault="00000000">
      <w:pPr>
        <w:pStyle w:val="Heading3"/>
        <w:spacing w:before="120" w:after="60"/>
      </w:pPr>
      <w:r>
        <w:rPr>
          <w:rFonts w:ascii="Times New Roman" w:hAnsi="Times New Roman"/>
          <w:b/>
          <w:sz w:val="23"/>
          <w:lang w:val="en-US" w:eastAsia="en-US"/>
        </w:rPr>
        <w:t>8.3.4. Coccygeal plexus and sacrococcygeal region</w:t>
      </w:r>
    </w:p>
    <w:p w14:paraId="5D0BD8F0" w14:textId="77777777" w:rsidR="00F52D08" w:rsidRDefault="00000000">
      <w:pPr>
        <w:pStyle w:val="ListParagraph"/>
        <w:spacing w:after="36"/>
        <w:ind w:left="255" w:hanging="142"/>
        <w:numPr>
          <w:ilvl w:val="0"/>
          <w:numId w:val="61"/>
        </w:numPr>
      </w:pPr>
      <w:r>
        <w:rPr>
          <w:rFonts w:ascii="Times New Roman" w:hAnsi="Times New Roman"/>
          <w:sz w:val="22"/>
        </w:rPr>
        <w:t>Coccygeal plexus.</w:t>
      </w:r>
    </w:p>
    <w:p w14:paraId="2A8E61C1" w14:textId="77777777" w:rsidR="00F52D08" w:rsidRDefault="00000000">
      <w:pPr>
        <w:pStyle w:val="ListParagraph"/>
        <w:spacing w:after="36"/>
        <w:ind w:left="255" w:hanging="142"/>
        <w:numPr>
          <w:ilvl w:val="0"/>
          <w:numId w:val="61"/>
        </w:numPr>
      </w:pPr>
      <w:r>
        <w:rPr>
          <w:rFonts w:ascii="Times New Roman" w:hAnsi="Times New Roman"/>
          <w:sz w:val="22"/>
        </w:rPr>
        <w:t>Sacrococcygeal joint.</w:t>
      </w:r>
    </w:p>
    <w:p w14:paraId="3348F88A" w14:textId="77777777" w:rsidR="00F52D08" w:rsidRDefault="00000000">
      <w:pPr>
        <w:pStyle w:val="ListParagraph"/>
        <w:spacing w:after="36"/>
        <w:ind w:left="255" w:hanging="142"/>
        <w:numPr>
          <w:ilvl w:val="0"/>
          <w:numId w:val="61"/>
        </w:numPr>
      </w:pPr>
      <w:r>
        <w:rPr>
          <w:rFonts w:ascii="Times New Roman" w:hAnsi="Times New Roman"/>
          <w:sz w:val="22"/>
        </w:rPr>
        <w:t>Coccyx and perineal attachments.</w:t>
      </w:r>
    </w:p>
    <w:p w14:paraId="11738E4B" w14:textId="77777777" w:rsidR="00F52D08" w:rsidRDefault="00000000">
      <w:r>
        <w:rPr>
          <w:rFonts w:ascii="Times New Roman" w:hAnsi="Times New Roman"/>
          <w:sz w:val="22"/>
          <w:lang w:val="en-US" w:eastAsia="en-US"/>
        </w:rPr>
        <w:t>These landmarks may supplement Level 4 when coccydynia, perineal pain, or a history of coccygeal trauma contributes to the clinical presentation.</w:t>
      </w:r>
    </w:p>
    <w:p w14:paraId="75955E2E" w14:textId="77777777" w:rsidR="00F52D08" w:rsidRDefault="00000000">
      <w:pPr>
        <w:pStyle w:val="Heading2"/>
      </w:pPr>
      <w:r>
        <w:rPr>
          <w:rFonts w:ascii="Times New Roman" w:hAnsi="Times New Roman"/>
          <w:sz w:val="26"/>
          <w:lang w:val="en-US" w:eastAsia="en-US"/>
        </w:rPr>
        <w:t>8.4. Cross-references to Levels 1 and 2</w:t>
      </w:r>
    </w:p>
    <w:p w14:paraId="1C708CE7" w14:textId="77777777" w:rsidR="00F52D08" w:rsidRDefault="00000000">
      <w:pPr>
        <w:pStyle w:val="ListParagraph"/>
        <w:spacing w:after="36"/>
        <w:ind w:left="255" w:hanging="142"/>
        <w:numPr>
          <w:ilvl w:val="0"/>
          <w:numId w:val="61"/>
        </w:numPr>
      </w:pPr>
      <w:r>
        <w:rPr>
          <w:rFonts w:ascii="Times New Roman" w:hAnsi="Times New Roman"/>
          <w:sz w:val="22"/>
        </w:rPr>
        <w:t>Level 1: higher centers and the neuromeningeal environment—see Chapter 3, “Central Nervous System.”</w:t>
      </w:r>
    </w:p>
    <w:p w14:paraId="24DA3CAE" w14:textId="77777777" w:rsidR="00F52D08" w:rsidRDefault="00000000">
      <w:pPr>
        <w:pStyle w:val="ListParagraph"/>
        <w:spacing w:after="36"/>
        <w:ind w:left="255" w:hanging="142"/>
        <w:numPr>
          <w:ilvl w:val="0"/>
          <w:numId w:val="61"/>
        </w:numPr>
      </w:pPr>
      <w:r>
        <w:rPr>
          <w:rFonts w:ascii="Times New Roman" w:hAnsi="Times New Roman"/>
          <w:sz w:val="22"/>
        </w:rPr>
        <w:t>Level 2: thoracolumbar sympathetic pathways, S2–S4 pelvic parasympathetic outflow, hypogastric nerves, and inferior hypogastric plexus—see Chapter 4, “Autonomic Nervous System.”</w:t>
      </w:r>
    </w:p>
    <w:p w14:paraId="101D23E0" w14:textId="77777777" w:rsidR="00F52D08" w:rsidRDefault="00000000">
      <w:pPr>
        <w:pStyle w:val="Heading2"/>
      </w:pPr>
      <w:r>
        <w:rPr>
          <w:rFonts w:ascii="Times New Roman" w:hAnsi="Times New Roman"/>
          <w:sz w:val="26"/>
          <w:lang w:val="en-US" w:eastAsia="en-US"/>
        </w:rPr>
        <w:t>8.5. Clinical use of the regional foundation</w:t>
      </w:r>
    </w:p>
    <w:p w14:paraId="48F5EFF0" w14:textId="77777777" w:rsidR="00F52D08" w:rsidRDefault="00000000">
      <w:r>
        <w:rPr>
          <w:rFonts w:ascii="Times New Roman" w:hAnsi="Times New Roman"/>
          <w:sz w:val="22"/>
          <w:lang w:val="en-US" w:eastAsia="en-US"/>
        </w:rPr>
        <w:t>The regional map is not applied as a fixed sequence. Its purpose is to provide a common framework for the different pelvic organs.</w:t>
      </w:r>
    </w:p>
    <w:p w14:paraId="1E02A06F" w14:textId="77777777" w:rsidR="00F52D08" w:rsidRDefault="00000000">
      <w:pPr>
        <w:pStyle w:val="ListParagraph"/>
        <w:spacing w:after="36"/>
        <w:ind w:left="255" w:hanging="142"/>
        <w:numPr>
          <w:ilvl w:val="0"/>
          <w:numId w:val="61"/>
        </w:numPr>
      </w:pPr>
      <w:r>
        <w:rPr>
          <w:rFonts w:ascii="Times New Roman" w:hAnsi="Times New Roman"/>
          <w:sz w:val="22"/>
        </w:rPr>
        <w:t>Bladder symptoms: bladder-specific zone + regional pelvic components selected according to findings.</w:t>
      </w:r>
    </w:p>
    <w:p w14:paraId="65D1786C" w14:textId="77777777" w:rsidR="00F52D08" w:rsidRDefault="00000000">
      <w:pPr>
        <w:pStyle w:val="ListParagraph"/>
        <w:spacing w:after="36"/>
        <w:ind w:left="255" w:hanging="142"/>
        <w:numPr>
          <w:ilvl w:val="0"/>
          <w:numId w:val="61"/>
        </w:numPr>
      </w:pPr>
      <w:r>
        <w:rPr>
          <w:rFonts w:ascii="Times New Roman" w:hAnsi="Times New Roman"/>
          <w:sz w:val="22"/>
        </w:rPr>
        <w:t>Uterine or ovarian symptoms: organ-specific zone + peritoneum, ligaments, walls, or perineum according to context.</w:t>
      </w:r>
    </w:p>
    <w:p w14:paraId="3005A69F" w14:textId="77777777" w:rsidR="00F52D08" w:rsidRDefault="00000000">
      <w:pPr>
        <w:pStyle w:val="ListParagraph"/>
        <w:spacing w:after="36"/>
        <w:ind w:left="255" w:hanging="142"/>
        <w:numPr>
          <w:ilvl w:val="0"/>
          <w:numId w:val="61"/>
        </w:numPr>
      </w:pPr>
      <w:r>
        <w:rPr>
          <w:rFonts w:ascii="Times New Roman" w:hAnsi="Times New Roman"/>
          <w:sz w:val="22"/>
        </w:rPr>
        <w:t>Prostatic or male genital symptoms: specific zone + pelvic compartment, perineum, and relevant somatic interfaces.</w:t>
      </w:r>
    </w:p>
    <w:p w14:paraId="63D5DE01" w14:textId="77777777" w:rsidR="00F52D08" w:rsidRDefault="00000000">
      <w:pPr>
        <w:pStyle w:val="ListParagraph"/>
        <w:spacing w:after="36"/>
        <w:ind w:left="255" w:hanging="142"/>
        <w:numPr>
          <w:ilvl w:val="0"/>
          <w:numId w:val="61"/>
        </w:numPr>
      </w:pPr>
      <w:r>
        <w:rPr>
          <w:rFonts w:ascii="Times New Roman" w:hAnsi="Times New Roman"/>
          <w:sz w:val="22"/>
        </w:rPr>
        <w:t>Perineal pain or pudendal neuralgia syndrome: greater emphasis on Level 4, particularly the pudendal nerve, Alcock’s canal, and neighboring muscles and ligaments.</w:t>
      </w:r>
    </w:p>
    <w:p w14:paraId="1EB2A7B4" w14:textId="77777777" w:rsidR="00F52D08" w:rsidRDefault="00000000">
      <w:pPr>
        <w:pStyle w:val="ListParagraph"/>
        <w:spacing w:after="36"/>
        <w:ind w:left="255" w:hanging="142"/>
        <w:numPr>
          <w:ilvl w:val="0"/>
          <w:numId w:val="61"/>
        </w:numPr>
      </w:pPr>
      <w:r>
        <w:rPr>
          <w:rFonts w:ascii="Times New Roman" w:hAnsi="Times New Roman"/>
          <w:sz w:val="22"/>
        </w:rPr>
        <w:t>Associated lumbopelvic or sciatic pain: if supported by the findings, include the sacral plexus, piriformis, ischiotrochanteric groove, and pelvic joints.</w:t>
      </w:r>
    </w:p>
    <w:sectPr w:rsidR="00F52D08">
      <w:headerReference w:type="default" r:id="rId8"/>
      <w:footerReference w:type="default" r:id="rId9"/>
      <w:pgSz w:w="11909" w:h="16834"/>
      <w:pgMar w:top="1411" w:right="1411" w:bottom="1411" w:left="1411"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6464"/>
        <w:sz w:val="16"/>
      </w:rPr>
      <w:t>CHAPTER 17  |  PELVIC CAVITY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5703"/>
    <w:multiLevelType w:val="hybridMultilevel"/>
    <w:tmpl w:val="C090EE66"/>
    <w:lvl w:ilvl="0" w:tplc="8CC8485A">
      <w:start w:val="3"/>
      <w:numFmt w:val="bullet"/>
      <w:lvlText w:val="-"/>
      <w:lvlJc w:val="left"/>
      <w:pPr>
        <w:ind w:left="2345" w:hanging="360"/>
      </w:pPr>
      <w:rPr>
        <w:rFonts w:ascii="Times New Roman" w:eastAsiaTheme="minorHAnsi" w:hAnsi="Times New Roman" w:cs="Times New Roman" w:hint="default"/>
      </w:rPr>
    </w:lvl>
    <w:lvl w:ilvl="1" w:tplc="040C0003" w:tentative="1">
      <w:start w:val="1"/>
      <w:numFmt w:val="bullet"/>
      <w:lvlText w:val="o"/>
      <w:lvlJc w:val="left"/>
      <w:pPr>
        <w:ind w:left="3065" w:hanging="360"/>
      </w:pPr>
      <w:rPr>
        <w:rFonts w:ascii="Courier New" w:hAnsi="Courier New" w:cs="Courier New" w:hint="default"/>
      </w:rPr>
    </w:lvl>
    <w:lvl w:ilvl="2" w:tplc="040C0005" w:tentative="1">
      <w:start w:val="1"/>
      <w:numFmt w:val="bullet"/>
      <w:lvlText w:val=""/>
      <w:lvlJc w:val="left"/>
      <w:pPr>
        <w:ind w:left="3785" w:hanging="360"/>
      </w:pPr>
      <w:rPr>
        <w:rFonts w:ascii="Wingdings" w:hAnsi="Wingdings" w:hint="default"/>
      </w:rPr>
    </w:lvl>
    <w:lvl w:ilvl="3" w:tplc="040C0001" w:tentative="1">
      <w:start w:val="1"/>
      <w:numFmt w:val="bullet"/>
      <w:lvlText w:val=""/>
      <w:lvlJc w:val="left"/>
      <w:pPr>
        <w:ind w:left="4505" w:hanging="360"/>
      </w:pPr>
      <w:rPr>
        <w:rFonts w:ascii="Symbol" w:hAnsi="Symbol" w:hint="default"/>
      </w:rPr>
    </w:lvl>
    <w:lvl w:ilvl="4" w:tplc="040C0003" w:tentative="1">
      <w:start w:val="1"/>
      <w:numFmt w:val="bullet"/>
      <w:lvlText w:val="o"/>
      <w:lvlJc w:val="left"/>
      <w:pPr>
        <w:ind w:left="5225" w:hanging="360"/>
      </w:pPr>
      <w:rPr>
        <w:rFonts w:ascii="Courier New" w:hAnsi="Courier New" w:cs="Courier New" w:hint="default"/>
      </w:rPr>
    </w:lvl>
    <w:lvl w:ilvl="5" w:tplc="040C0005" w:tentative="1">
      <w:start w:val="1"/>
      <w:numFmt w:val="bullet"/>
      <w:lvlText w:val=""/>
      <w:lvlJc w:val="left"/>
      <w:pPr>
        <w:ind w:left="5945" w:hanging="360"/>
      </w:pPr>
      <w:rPr>
        <w:rFonts w:ascii="Wingdings" w:hAnsi="Wingdings" w:hint="default"/>
      </w:rPr>
    </w:lvl>
    <w:lvl w:ilvl="6" w:tplc="040C0001" w:tentative="1">
      <w:start w:val="1"/>
      <w:numFmt w:val="bullet"/>
      <w:lvlText w:val=""/>
      <w:lvlJc w:val="left"/>
      <w:pPr>
        <w:ind w:left="6665" w:hanging="360"/>
      </w:pPr>
      <w:rPr>
        <w:rFonts w:ascii="Symbol" w:hAnsi="Symbol" w:hint="default"/>
      </w:rPr>
    </w:lvl>
    <w:lvl w:ilvl="7" w:tplc="040C0003" w:tentative="1">
      <w:start w:val="1"/>
      <w:numFmt w:val="bullet"/>
      <w:lvlText w:val="o"/>
      <w:lvlJc w:val="left"/>
      <w:pPr>
        <w:ind w:left="7385" w:hanging="360"/>
      </w:pPr>
      <w:rPr>
        <w:rFonts w:ascii="Courier New" w:hAnsi="Courier New" w:cs="Courier New" w:hint="default"/>
      </w:rPr>
    </w:lvl>
    <w:lvl w:ilvl="8" w:tplc="040C0005" w:tentative="1">
      <w:start w:val="1"/>
      <w:numFmt w:val="bullet"/>
      <w:lvlText w:val=""/>
      <w:lvlJc w:val="left"/>
      <w:pPr>
        <w:ind w:left="8105" w:hanging="360"/>
      </w:pPr>
      <w:rPr>
        <w:rFonts w:ascii="Wingdings" w:hAnsi="Wingdings" w:hint="default"/>
      </w:rPr>
    </w:lvl>
  </w:abstractNum>
  <w:abstractNum w:abstractNumId="1" w15:restartNumberingAfterBreak="0">
    <w:nsid w:val="01787AAB"/>
    <w:multiLevelType w:val="hybridMultilevel"/>
    <w:tmpl w:val="F7808F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18A3A18"/>
    <w:multiLevelType w:val="hybridMultilevel"/>
    <w:tmpl w:val="1812AE38"/>
    <w:lvl w:ilvl="0" w:tplc="8CC8485A">
      <w:start w:val="3"/>
      <w:numFmt w:val="bullet"/>
      <w:lvlText w:val="-"/>
      <w:lvlJc w:val="left"/>
      <w:pPr>
        <w:ind w:left="1776" w:hanging="360"/>
      </w:pPr>
      <w:rPr>
        <w:rFonts w:ascii="Times New Roman" w:eastAsiaTheme="minorHAnsi" w:hAnsi="Times New Roman" w:cs="Times New Roman" w:hint="default"/>
      </w:rPr>
    </w:lvl>
    <w:lvl w:ilvl="1" w:tplc="040C0001">
      <w:start w:val="1"/>
      <w:numFmt w:val="bullet"/>
      <w:lvlText w:val=""/>
      <w:lvlJc w:val="left"/>
      <w:pPr>
        <w:ind w:left="-623" w:hanging="360"/>
      </w:pPr>
      <w:rPr>
        <w:rFonts w:ascii="Symbol" w:hAnsi="Symbol" w:hint="default"/>
      </w:rPr>
    </w:lvl>
    <w:lvl w:ilvl="2" w:tplc="8CC8485A">
      <w:start w:val="3"/>
      <w:numFmt w:val="bullet"/>
      <w:lvlText w:val="-"/>
      <w:lvlJc w:val="left"/>
      <w:pPr>
        <w:ind w:left="751" w:hanging="360"/>
      </w:pPr>
      <w:rPr>
        <w:rFonts w:ascii="Times New Roman" w:eastAsiaTheme="minorHAnsi" w:hAnsi="Times New Roman" w:cs="Times New Roman" w:hint="default"/>
      </w:rPr>
    </w:lvl>
    <w:lvl w:ilvl="3" w:tplc="040C0001">
      <w:start w:val="1"/>
      <w:numFmt w:val="bullet"/>
      <w:lvlText w:val=""/>
      <w:lvlJc w:val="left"/>
      <w:pPr>
        <w:ind w:left="1471" w:hanging="360"/>
      </w:pPr>
      <w:rPr>
        <w:rFonts w:ascii="Symbol" w:hAnsi="Symbol" w:hint="default"/>
      </w:rPr>
    </w:lvl>
    <w:lvl w:ilvl="4" w:tplc="040C0003" w:tentative="1">
      <w:start w:val="1"/>
      <w:numFmt w:val="bullet"/>
      <w:lvlText w:val="o"/>
      <w:lvlJc w:val="left"/>
      <w:pPr>
        <w:ind w:left="2191" w:hanging="360"/>
      </w:pPr>
      <w:rPr>
        <w:rFonts w:ascii="Courier New" w:hAnsi="Courier New" w:cs="Courier New" w:hint="default"/>
      </w:rPr>
    </w:lvl>
    <w:lvl w:ilvl="5" w:tplc="040C0005" w:tentative="1">
      <w:start w:val="1"/>
      <w:numFmt w:val="bullet"/>
      <w:lvlText w:val=""/>
      <w:lvlJc w:val="left"/>
      <w:pPr>
        <w:ind w:left="2911" w:hanging="360"/>
      </w:pPr>
      <w:rPr>
        <w:rFonts w:ascii="Wingdings" w:hAnsi="Wingdings" w:hint="default"/>
      </w:rPr>
    </w:lvl>
    <w:lvl w:ilvl="6" w:tplc="040C0001" w:tentative="1">
      <w:start w:val="1"/>
      <w:numFmt w:val="bullet"/>
      <w:lvlText w:val=""/>
      <w:lvlJc w:val="left"/>
      <w:pPr>
        <w:ind w:left="3631" w:hanging="360"/>
      </w:pPr>
      <w:rPr>
        <w:rFonts w:ascii="Symbol" w:hAnsi="Symbol" w:hint="default"/>
      </w:rPr>
    </w:lvl>
    <w:lvl w:ilvl="7" w:tplc="040C0003" w:tentative="1">
      <w:start w:val="1"/>
      <w:numFmt w:val="bullet"/>
      <w:lvlText w:val="o"/>
      <w:lvlJc w:val="left"/>
      <w:pPr>
        <w:ind w:left="4351" w:hanging="360"/>
      </w:pPr>
      <w:rPr>
        <w:rFonts w:ascii="Courier New" w:hAnsi="Courier New" w:cs="Courier New" w:hint="default"/>
      </w:rPr>
    </w:lvl>
    <w:lvl w:ilvl="8" w:tplc="040C0005" w:tentative="1">
      <w:start w:val="1"/>
      <w:numFmt w:val="bullet"/>
      <w:lvlText w:val=""/>
      <w:lvlJc w:val="left"/>
      <w:pPr>
        <w:ind w:left="5071" w:hanging="360"/>
      </w:pPr>
      <w:rPr>
        <w:rFonts w:ascii="Wingdings" w:hAnsi="Wingdings" w:hint="default"/>
      </w:rPr>
    </w:lvl>
  </w:abstractNum>
  <w:abstractNum w:abstractNumId="3" w15:restartNumberingAfterBreak="0">
    <w:nsid w:val="03AB5B3E"/>
    <w:multiLevelType w:val="hybridMultilevel"/>
    <w:tmpl w:val="1702027A"/>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4" w15:restartNumberingAfterBreak="0">
    <w:nsid w:val="04D8701D"/>
    <w:multiLevelType w:val="hybridMultilevel"/>
    <w:tmpl w:val="F0824442"/>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5" w15:restartNumberingAfterBreak="0">
    <w:nsid w:val="05084027"/>
    <w:multiLevelType w:val="hybridMultilevel"/>
    <w:tmpl w:val="43CC5E28"/>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6" w15:restartNumberingAfterBreak="0">
    <w:nsid w:val="06C97A32"/>
    <w:multiLevelType w:val="hybridMultilevel"/>
    <w:tmpl w:val="3E164486"/>
    <w:lvl w:ilvl="0" w:tplc="040C0003">
      <w:start w:val="1"/>
      <w:numFmt w:val="bullet"/>
      <w:lvlText w:val="o"/>
      <w:lvlJc w:val="left"/>
      <w:pPr>
        <w:ind w:left="1428" w:hanging="360"/>
      </w:pPr>
      <w:rPr>
        <w:rFonts w:ascii="Courier New" w:hAnsi="Courier New" w:cs="Courier New"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7" w15:restartNumberingAfterBreak="0">
    <w:nsid w:val="06F6426B"/>
    <w:multiLevelType w:val="hybridMultilevel"/>
    <w:tmpl w:val="A75871BC"/>
    <w:lvl w:ilvl="0" w:tplc="040C000D">
      <w:start w:val="1"/>
      <w:numFmt w:val="bullet"/>
      <w:lvlText w:val=""/>
      <w:lvlJc w:val="left"/>
      <w:pPr>
        <w:ind w:left="1353" w:hanging="360"/>
      </w:pPr>
      <w:rPr>
        <w:rFonts w:ascii="Wingdings" w:hAnsi="Wingdings"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8" w15:restartNumberingAfterBreak="0">
    <w:nsid w:val="0CCF2508"/>
    <w:multiLevelType w:val="hybridMultilevel"/>
    <w:tmpl w:val="DEBC5BDA"/>
    <w:lvl w:ilvl="0" w:tplc="8CC8485A">
      <w:start w:val="3"/>
      <w:numFmt w:val="bullet"/>
      <w:lvlText w:val="-"/>
      <w:lvlJc w:val="left"/>
      <w:pPr>
        <w:ind w:left="1211"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0D802317"/>
    <w:multiLevelType w:val="hybridMultilevel"/>
    <w:tmpl w:val="996E83F2"/>
    <w:lvl w:ilvl="0" w:tplc="040C000D">
      <w:start w:val="1"/>
      <w:numFmt w:val="bullet"/>
      <w:lvlText w:val=""/>
      <w:lvlJc w:val="left"/>
      <w:pPr>
        <w:ind w:left="1494"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0" w15:restartNumberingAfterBreak="0">
    <w:nsid w:val="0EE35BEC"/>
    <w:multiLevelType w:val="hybridMultilevel"/>
    <w:tmpl w:val="8C1A4D36"/>
    <w:lvl w:ilvl="0" w:tplc="8CC8485A">
      <w:start w:val="3"/>
      <w:numFmt w:val="bullet"/>
      <w:lvlText w:val="-"/>
      <w:lvlJc w:val="left"/>
      <w:pPr>
        <w:ind w:left="1636" w:hanging="360"/>
      </w:pPr>
      <w:rPr>
        <w:rFonts w:ascii="Times New Roman" w:eastAsiaTheme="minorHAnsi" w:hAnsi="Times New Roman" w:cs="Times New Roman"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1" w15:restartNumberingAfterBreak="0">
    <w:nsid w:val="115F16F9"/>
    <w:multiLevelType w:val="hybridMultilevel"/>
    <w:tmpl w:val="B83C7858"/>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2" w15:restartNumberingAfterBreak="0">
    <w:nsid w:val="12B56ADC"/>
    <w:multiLevelType w:val="hybridMultilevel"/>
    <w:tmpl w:val="AF88A434"/>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3" w15:restartNumberingAfterBreak="0">
    <w:nsid w:val="142F7D4A"/>
    <w:multiLevelType w:val="hybridMultilevel"/>
    <w:tmpl w:val="433807B0"/>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4" w15:restartNumberingAfterBreak="0">
    <w:nsid w:val="187A3E61"/>
    <w:multiLevelType w:val="hybridMultilevel"/>
    <w:tmpl w:val="D8FAB0AC"/>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5" w15:restartNumberingAfterBreak="0">
    <w:nsid w:val="18EF2CA1"/>
    <w:multiLevelType w:val="hybridMultilevel"/>
    <w:tmpl w:val="CB4E0BAC"/>
    <w:lvl w:ilvl="0" w:tplc="040C0005">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6" w15:restartNumberingAfterBreak="0">
    <w:nsid w:val="1A5858F2"/>
    <w:multiLevelType w:val="hybridMultilevel"/>
    <w:tmpl w:val="2B92085A"/>
    <w:lvl w:ilvl="0" w:tplc="60924074">
      <w:start w:val="1"/>
      <w:numFmt w:val="bullet"/>
      <w:lvlText w:val="-"/>
      <w:lvlJc w:val="left"/>
      <w:pPr>
        <w:ind w:left="1997" w:hanging="360"/>
      </w:pPr>
      <w:rPr>
        <w:rFonts w:ascii="Times New Roman" w:eastAsiaTheme="minorHAnsi" w:hAnsi="Times New Roman" w:cs="Times New Roman" w:hint="default"/>
      </w:rPr>
    </w:lvl>
    <w:lvl w:ilvl="1" w:tplc="040C0003" w:tentative="1">
      <w:start w:val="1"/>
      <w:numFmt w:val="bullet"/>
      <w:lvlText w:val="o"/>
      <w:lvlJc w:val="left"/>
      <w:pPr>
        <w:ind w:left="4276" w:hanging="360"/>
      </w:pPr>
      <w:rPr>
        <w:rFonts w:ascii="Courier New" w:hAnsi="Courier New" w:cs="Courier New" w:hint="default"/>
      </w:rPr>
    </w:lvl>
    <w:lvl w:ilvl="2" w:tplc="040C0005" w:tentative="1">
      <w:start w:val="1"/>
      <w:numFmt w:val="bullet"/>
      <w:lvlText w:val=""/>
      <w:lvlJc w:val="left"/>
      <w:pPr>
        <w:ind w:left="4996" w:hanging="360"/>
      </w:pPr>
      <w:rPr>
        <w:rFonts w:ascii="Wingdings" w:hAnsi="Wingdings" w:hint="default"/>
      </w:rPr>
    </w:lvl>
    <w:lvl w:ilvl="3" w:tplc="040C0001" w:tentative="1">
      <w:start w:val="1"/>
      <w:numFmt w:val="bullet"/>
      <w:lvlText w:val=""/>
      <w:lvlJc w:val="left"/>
      <w:pPr>
        <w:ind w:left="5716" w:hanging="360"/>
      </w:pPr>
      <w:rPr>
        <w:rFonts w:ascii="Symbol" w:hAnsi="Symbol" w:hint="default"/>
      </w:rPr>
    </w:lvl>
    <w:lvl w:ilvl="4" w:tplc="040C0003" w:tentative="1">
      <w:start w:val="1"/>
      <w:numFmt w:val="bullet"/>
      <w:lvlText w:val="o"/>
      <w:lvlJc w:val="left"/>
      <w:pPr>
        <w:ind w:left="6436" w:hanging="360"/>
      </w:pPr>
      <w:rPr>
        <w:rFonts w:ascii="Courier New" w:hAnsi="Courier New" w:cs="Courier New" w:hint="default"/>
      </w:rPr>
    </w:lvl>
    <w:lvl w:ilvl="5" w:tplc="040C0005" w:tentative="1">
      <w:start w:val="1"/>
      <w:numFmt w:val="bullet"/>
      <w:lvlText w:val=""/>
      <w:lvlJc w:val="left"/>
      <w:pPr>
        <w:ind w:left="7156" w:hanging="360"/>
      </w:pPr>
      <w:rPr>
        <w:rFonts w:ascii="Wingdings" w:hAnsi="Wingdings" w:hint="default"/>
      </w:rPr>
    </w:lvl>
    <w:lvl w:ilvl="6" w:tplc="040C0001" w:tentative="1">
      <w:start w:val="1"/>
      <w:numFmt w:val="bullet"/>
      <w:lvlText w:val=""/>
      <w:lvlJc w:val="left"/>
      <w:pPr>
        <w:ind w:left="7876" w:hanging="360"/>
      </w:pPr>
      <w:rPr>
        <w:rFonts w:ascii="Symbol" w:hAnsi="Symbol" w:hint="default"/>
      </w:rPr>
    </w:lvl>
    <w:lvl w:ilvl="7" w:tplc="040C0003" w:tentative="1">
      <w:start w:val="1"/>
      <w:numFmt w:val="bullet"/>
      <w:lvlText w:val="o"/>
      <w:lvlJc w:val="left"/>
      <w:pPr>
        <w:ind w:left="8596" w:hanging="360"/>
      </w:pPr>
      <w:rPr>
        <w:rFonts w:ascii="Courier New" w:hAnsi="Courier New" w:cs="Courier New" w:hint="default"/>
      </w:rPr>
    </w:lvl>
    <w:lvl w:ilvl="8" w:tplc="040C0005" w:tentative="1">
      <w:start w:val="1"/>
      <w:numFmt w:val="bullet"/>
      <w:lvlText w:val=""/>
      <w:lvlJc w:val="left"/>
      <w:pPr>
        <w:ind w:left="9316" w:hanging="360"/>
      </w:pPr>
      <w:rPr>
        <w:rFonts w:ascii="Wingdings" w:hAnsi="Wingdings" w:hint="default"/>
      </w:rPr>
    </w:lvl>
  </w:abstractNum>
  <w:abstractNum w:abstractNumId="17" w15:restartNumberingAfterBreak="0">
    <w:nsid w:val="1ACA7476"/>
    <w:multiLevelType w:val="hybridMultilevel"/>
    <w:tmpl w:val="2F762E8C"/>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8" w15:restartNumberingAfterBreak="0">
    <w:nsid w:val="1E3A44BF"/>
    <w:multiLevelType w:val="hybridMultilevel"/>
    <w:tmpl w:val="08C249E4"/>
    <w:lvl w:ilvl="0" w:tplc="040C000D">
      <w:start w:val="1"/>
      <w:numFmt w:val="bullet"/>
      <w:lvlText w:val=""/>
      <w:lvlJc w:val="left"/>
      <w:pPr>
        <w:ind w:left="1636" w:hanging="360"/>
      </w:pPr>
      <w:rPr>
        <w:rFonts w:ascii="Wingdings" w:hAnsi="Wingdings"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9" w15:restartNumberingAfterBreak="0">
    <w:nsid w:val="1F011D3B"/>
    <w:multiLevelType w:val="hybridMultilevel"/>
    <w:tmpl w:val="92D448C6"/>
    <w:lvl w:ilvl="0" w:tplc="6C84628E">
      <w:start w:val="1"/>
      <w:numFmt w:val="bullet"/>
      <w:lvlText w:val=""/>
      <w:lvlJc w:val="left"/>
      <w:pPr>
        <w:ind w:left="786"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20" w15:restartNumberingAfterBreak="0">
    <w:nsid w:val="1F577F39"/>
    <w:multiLevelType w:val="hybridMultilevel"/>
    <w:tmpl w:val="FB6E66EE"/>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2638" w:hanging="360"/>
      </w:pPr>
      <w:rPr>
        <w:rFonts w:ascii="Courier New" w:hAnsi="Courier New" w:cs="Courier New" w:hint="default"/>
      </w:rPr>
    </w:lvl>
    <w:lvl w:ilvl="2" w:tplc="040C0005" w:tentative="1">
      <w:start w:val="1"/>
      <w:numFmt w:val="bullet"/>
      <w:lvlText w:val=""/>
      <w:lvlJc w:val="left"/>
      <w:pPr>
        <w:ind w:left="3358" w:hanging="360"/>
      </w:pPr>
      <w:rPr>
        <w:rFonts w:ascii="Wingdings" w:hAnsi="Wingdings" w:hint="default"/>
      </w:rPr>
    </w:lvl>
    <w:lvl w:ilvl="3" w:tplc="040C0001" w:tentative="1">
      <w:start w:val="1"/>
      <w:numFmt w:val="bullet"/>
      <w:lvlText w:val=""/>
      <w:lvlJc w:val="left"/>
      <w:pPr>
        <w:ind w:left="4078" w:hanging="360"/>
      </w:pPr>
      <w:rPr>
        <w:rFonts w:ascii="Symbol" w:hAnsi="Symbol" w:hint="default"/>
      </w:rPr>
    </w:lvl>
    <w:lvl w:ilvl="4" w:tplc="040C0003" w:tentative="1">
      <w:start w:val="1"/>
      <w:numFmt w:val="bullet"/>
      <w:lvlText w:val="o"/>
      <w:lvlJc w:val="left"/>
      <w:pPr>
        <w:ind w:left="4798" w:hanging="360"/>
      </w:pPr>
      <w:rPr>
        <w:rFonts w:ascii="Courier New" w:hAnsi="Courier New" w:cs="Courier New" w:hint="default"/>
      </w:rPr>
    </w:lvl>
    <w:lvl w:ilvl="5" w:tplc="040C0005" w:tentative="1">
      <w:start w:val="1"/>
      <w:numFmt w:val="bullet"/>
      <w:lvlText w:val=""/>
      <w:lvlJc w:val="left"/>
      <w:pPr>
        <w:ind w:left="5518" w:hanging="360"/>
      </w:pPr>
      <w:rPr>
        <w:rFonts w:ascii="Wingdings" w:hAnsi="Wingdings" w:hint="default"/>
      </w:rPr>
    </w:lvl>
    <w:lvl w:ilvl="6" w:tplc="040C0001" w:tentative="1">
      <w:start w:val="1"/>
      <w:numFmt w:val="bullet"/>
      <w:lvlText w:val=""/>
      <w:lvlJc w:val="left"/>
      <w:pPr>
        <w:ind w:left="6238" w:hanging="360"/>
      </w:pPr>
      <w:rPr>
        <w:rFonts w:ascii="Symbol" w:hAnsi="Symbol" w:hint="default"/>
      </w:rPr>
    </w:lvl>
    <w:lvl w:ilvl="7" w:tplc="040C0003" w:tentative="1">
      <w:start w:val="1"/>
      <w:numFmt w:val="bullet"/>
      <w:lvlText w:val="o"/>
      <w:lvlJc w:val="left"/>
      <w:pPr>
        <w:ind w:left="6958" w:hanging="360"/>
      </w:pPr>
      <w:rPr>
        <w:rFonts w:ascii="Courier New" w:hAnsi="Courier New" w:cs="Courier New" w:hint="default"/>
      </w:rPr>
    </w:lvl>
    <w:lvl w:ilvl="8" w:tplc="040C0005" w:tentative="1">
      <w:start w:val="1"/>
      <w:numFmt w:val="bullet"/>
      <w:lvlText w:val=""/>
      <w:lvlJc w:val="left"/>
      <w:pPr>
        <w:ind w:left="7678" w:hanging="360"/>
      </w:pPr>
      <w:rPr>
        <w:rFonts w:ascii="Wingdings" w:hAnsi="Wingdings" w:hint="default"/>
      </w:rPr>
    </w:lvl>
  </w:abstractNum>
  <w:abstractNum w:abstractNumId="21" w15:restartNumberingAfterBreak="0">
    <w:nsid w:val="20675613"/>
    <w:multiLevelType w:val="hybridMultilevel"/>
    <w:tmpl w:val="C60A1FBA"/>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2" w15:restartNumberingAfterBreak="0">
    <w:nsid w:val="20CB3590"/>
    <w:multiLevelType w:val="hybridMultilevel"/>
    <w:tmpl w:val="98D23590"/>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23" w15:restartNumberingAfterBreak="0">
    <w:nsid w:val="267B77BD"/>
    <w:multiLevelType w:val="hybridMultilevel"/>
    <w:tmpl w:val="1DDE1684"/>
    <w:lvl w:ilvl="0" w:tplc="292853BE">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4" w15:restartNumberingAfterBreak="0">
    <w:nsid w:val="271E5497"/>
    <w:multiLevelType w:val="hybridMultilevel"/>
    <w:tmpl w:val="D43CBA92"/>
    <w:lvl w:ilvl="0" w:tplc="040C000D">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5" w15:restartNumberingAfterBreak="0">
    <w:nsid w:val="2B6F7E9E"/>
    <w:multiLevelType w:val="hybridMultilevel"/>
    <w:tmpl w:val="7EDAD420"/>
    <w:lvl w:ilvl="0" w:tplc="040C000D">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6" w15:restartNumberingAfterBreak="0">
    <w:nsid w:val="2BD43232"/>
    <w:multiLevelType w:val="hybridMultilevel"/>
    <w:tmpl w:val="A5DA43B4"/>
    <w:lvl w:ilvl="0" w:tplc="8CC8485A">
      <w:start w:val="3"/>
      <w:numFmt w:val="bullet"/>
      <w:lvlText w:val="-"/>
      <w:lvlJc w:val="left"/>
      <w:pPr>
        <w:ind w:left="1070" w:hanging="360"/>
      </w:pPr>
      <w:rPr>
        <w:rFonts w:ascii="Times New Roman" w:eastAsiaTheme="minorHAnsi" w:hAnsi="Times New Roman" w:cs="Times New Roman"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27" w15:restartNumberingAfterBreak="0">
    <w:nsid w:val="2BFA4865"/>
    <w:multiLevelType w:val="hybridMultilevel"/>
    <w:tmpl w:val="04267A28"/>
    <w:lvl w:ilvl="0" w:tplc="24C60AB0">
      <w:start w:val="8"/>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2E744571"/>
    <w:multiLevelType w:val="hybridMultilevel"/>
    <w:tmpl w:val="4E4C3E60"/>
    <w:lvl w:ilvl="0" w:tplc="040C000D">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9" w15:restartNumberingAfterBreak="0">
    <w:nsid w:val="3193202D"/>
    <w:multiLevelType w:val="hybridMultilevel"/>
    <w:tmpl w:val="23166DCA"/>
    <w:lvl w:ilvl="0" w:tplc="60924074">
      <w:start w:val="1"/>
      <w:numFmt w:val="bullet"/>
      <w:lvlText w:val="-"/>
      <w:lvlJc w:val="left"/>
      <w:pPr>
        <w:ind w:left="1778" w:hanging="360"/>
      </w:pPr>
      <w:rPr>
        <w:rFonts w:ascii="Times New Roman" w:eastAsiaTheme="minorHAnsi" w:hAnsi="Times New Roman" w:cs="Times New Roman"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30" w15:restartNumberingAfterBreak="0">
    <w:nsid w:val="36D8477E"/>
    <w:multiLevelType w:val="hybridMultilevel"/>
    <w:tmpl w:val="B1AE0DD4"/>
    <w:lvl w:ilvl="0" w:tplc="BFD26D4E">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31" w15:restartNumberingAfterBreak="0">
    <w:nsid w:val="397B5160"/>
    <w:multiLevelType w:val="hybridMultilevel"/>
    <w:tmpl w:val="3E9EB7DE"/>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32" w15:restartNumberingAfterBreak="0">
    <w:nsid w:val="39930BB6"/>
    <w:multiLevelType w:val="hybridMultilevel"/>
    <w:tmpl w:val="8C60B0D0"/>
    <w:lvl w:ilvl="0" w:tplc="60924074">
      <w:start w:val="1"/>
      <w:numFmt w:val="bullet"/>
      <w:lvlText w:val="-"/>
      <w:lvlJc w:val="left"/>
      <w:pPr>
        <w:ind w:left="1637" w:hanging="360"/>
      </w:pPr>
      <w:rPr>
        <w:rFonts w:ascii="Times New Roman" w:eastAsiaTheme="minorHAnsi" w:hAnsi="Times New Roman" w:cs="Times New Roman"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33" w15:restartNumberingAfterBreak="0">
    <w:nsid w:val="3CAF5534"/>
    <w:multiLevelType w:val="hybridMultilevel"/>
    <w:tmpl w:val="D460129E"/>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4" w15:restartNumberingAfterBreak="0">
    <w:nsid w:val="3ED10B7F"/>
    <w:multiLevelType w:val="hybridMultilevel"/>
    <w:tmpl w:val="4E08FE22"/>
    <w:lvl w:ilvl="0" w:tplc="8CC8485A">
      <w:start w:val="3"/>
      <w:numFmt w:val="bullet"/>
      <w:lvlText w:val="-"/>
      <w:lvlJc w:val="left"/>
      <w:pPr>
        <w:ind w:left="1067" w:hanging="360"/>
      </w:pPr>
      <w:rPr>
        <w:rFonts w:ascii="Times New Roman" w:eastAsiaTheme="minorHAnsi" w:hAnsi="Times New Roman" w:cs="Times New Roman" w:hint="default"/>
      </w:rPr>
    </w:lvl>
    <w:lvl w:ilvl="1" w:tplc="040C0003" w:tentative="1">
      <w:start w:val="1"/>
      <w:numFmt w:val="bullet"/>
      <w:lvlText w:val="o"/>
      <w:lvlJc w:val="left"/>
      <w:pPr>
        <w:ind w:left="1787" w:hanging="360"/>
      </w:pPr>
      <w:rPr>
        <w:rFonts w:ascii="Courier New" w:hAnsi="Courier New" w:cs="Courier New" w:hint="default"/>
      </w:rPr>
    </w:lvl>
    <w:lvl w:ilvl="2" w:tplc="040C0005" w:tentative="1">
      <w:start w:val="1"/>
      <w:numFmt w:val="bullet"/>
      <w:lvlText w:val=""/>
      <w:lvlJc w:val="left"/>
      <w:pPr>
        <w:ind w:left="2507" w:hanging="360"/>
      </w:pPr>
      <w:rPr>
        <w:rFonts w:ascii="Wingdings" w:hAnsi="Wingdings" w:hint="default"/>
      </w:rPr>
    </w:lvl>
    <w:lvl w:ilvl="3" w:tplc="040C0001" w:tentative="1">
      <w:start w:val="1"/>
      <w:numFmt w:val="bullet"/>
      <w:lvlText w:val=""/>
      <w:lvlJc w:val="left"/>
      <w:pPr>
        <w:ind w:left="3227" w:hanging="360"/>
      </w:pPr>
      <w:rPr>
        <w:rFonts w:ascii="Symbol" w:hAnsi="Symbol" w:hint="default"/>
      </w:rPr>
    </w:lvl>
    <w:lvl w:ilvl="4" w:tplc="040C0003" w:tentative="1">
      <w:start w:val="1"/>
      <w:numFmt w:val="bullet"/>
      <w:lvlText w:val="o"/>
      <w:lvlJc w:val="left"/>
      <w:pPr>
        <w:ind w:left="3947" w:hanging="360"/>
      </w:pPr>
      <w:rPr>
        <w:rFonts w:ascii="Courier New" w:hAnsi="Courier New" w:cs="Courier New" w:hint="default"/>
      </w:rPr>
    </w:lvl>
    <w:lvl w:ilvl="5" w:tplc="040C0005" w:tentative="1">
      <w:start w:val="1"/>
      <w:numFmt w:val="bullet"/>
      <w:lvlText w:val=""/>
      <w:lvlJc w:val="left"/>
      <w:pPr>
        <w:ind w:left="4667" w:hanging="360"/>
      </w:pPr>
      <w:rPr>
        <w:rFonts w:ascii="Wingdings" w:hAnsi="Wingdings" w:hint="default"/>
      </w:rPr>
    </w:lvl>
    <w:lvl w:ilvl="6" w:tplc="040C0001" w:tentative="1">
      <w:start w:val="1"/>
      <w:numFmt w:val="bullet"/>
      <w:lvlText w:val=""/>
      <w:lvlJc w:val="left"/>
      <w:pPr>
        <w:ind w:left="5387" w:hanging="360"/>
      </w:pPr>
      <w:rPr>
        <w:rFonts w:ascii="Symbol" w:hAnsi="Symbol" w:hint="default"/>
      </w:rPr>
    </w:lvl>
    <w:lvl w:ilvl="7" w:tplc="040C0003" w:tentative="1">
      <w:start w:val="1"/>
      <w:numFmt w:val="bullet"/>
      <w:lvlText w:val="o"/>
      <w:lvlJc w:val="left"/>
      <w:pPr>
        <w:ind w:left="6107" w:hanging="360"/>
      </w:pPr>
      <w:rPr>
        <w:rFonts w:ascii="Courier New" w:hAnsi="Courier New" w:cs="Courier New" w:hint="default"/>
      </w:rPr>
    </w:lvl>
    <w:lvl w:ilvl="8" w:tplc="040C0005" w:tentative="1">
      <w:start w:val="1"/>
      <w:numFmt w:val="bullet"/>
      <w:lvlText w:val=""/>
      <w:lvlJc w:val="left"/>
      <w:pPr>
        <w:ind w:left="6827" w:hanging="360"/>
      </w:pPr>
      <w:rPr>
        <w:rFonts w:ascii="Wingdings" w:hAnsi="Wingdings" w:hint="default"/>
      </w:rPr>
    </w:lvl>
  </w:abstractNum>
  <w:abstractNum w:abstractNumId="35" w15:restartNumberingAfterBreak="0">
    <w:nsid w:val="3EE1044B"/>
    <w:multiLevelType w:val="hybridMultilevel"/>
    <w:tmpl w:val="35A68CB4"/>
    <w:lvl w:ilvl="0" w:tplc="040C0003">
      <w:start w:val="1"/>
      <w:numFmt w:val="bullet"/>
      <w:lvlText w:val="o"/>
      <w:lvlJc w:val="left"/>
      <w:pPr>
        <w:ind w:left="1069" w:hanging="360"/>
      </w:pPr>
      <w:rPr>
        <w:rFonts w:ascii="Courier New" w:hAnsi="Courier New" w:cs="Courier New" w:hint="default"/>
      </w:rPr>
    </w:lvl>
    <w:lvl w:ilvl="1" w:tplc="040C0003">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36" w15:restartNumberingAfterBreak="0">
    <w:nsid w:val="409E22DF"/>
    <w:multiLevelType w:val="hybridMultilevel"/>
    <w:tmpl w:val="0D306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41895D68"/>
    <w:multiLevelType w:val="hybridMultilevel"/>
    <w:tmpl w:val="6986B3D8"/>
    <w:lvl w:ilvl="0" w:tplc="1654DC44">
      <w:start w:val="1"/>
      <w:numFmt w:val="decimal"/>
      <w:lvlText w:val="%1."/>
      <w:lvlJc w:val="left"/>
      <w:pPr>
        <w:ind w:left="720" w:hanging="360"/>
      </w:pPr>
      <w:rPr>
        <w:rFonts w:eastAsiaTheme="majorEastAsia"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442D3ABE"/>
    <w:multiLevelType w:val="hybridMultilevel"/>
    <w:tmpl w:val="718CAABA"/>
    <w:lvl w:ilvl="0" w:tplc="040C000D">
      <w:start w:val="1"/>
      <w:numFmt w:val="bullet"/>
      <w:lvlText w:val=""/>
      <w:lvlJc w:val="left"/>
      <w:pPr>
        <w:ind w:left="1353" w:hanging="360"/>
      </w:pPr>
      <w:rPr>
        <w:rFonts w:ascii="Wingdings" w:hAnsi="Wingdings"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39" w15:restartNumberingAfterBreak="0">
    <w:nsid w:val="48220C7D"/>
    <w:multiLevelType w:val="hybridMultilevel"/>
    <w:tmpl w:val="6F881310"/>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40" w15:restartNumberingAfterBreak="0">
    <w:nsid w:val="4B912C69"/>
    <w:multiLevelType w:val="hybridMultilevel"/>
    <w:tmpl w:val="54B4FE46"/>
    <w:lvl w:ilvl="0" w:tplc="040C0003">
      <w:start w:val="1"/>
      <w:numFmt w:val="bullet"/>
      <w:lvlText w:val="o"/>
      <w:lvlJc w:val="left"/>
      <w:pPr>
        <w:ind w:left="786" w:hanging="360"/>
      </w:pPr>
      <w:rPr>
        <w:rFonts w:ascii="Courier New" w:hAnsi="Courier New" w:cs="Courier New" w:hint="default"/>
      </w:rPr>
    </w:lvl>
    <w:lvl w:ilvl="1" w:tplc="040C0003">
      <w:start w:val="1"/>
      <w:numFmt w:val="bullet"/>
      <w:lvlText w:val="o"/>
      <w:lvlJc w:val="left"/>
      <w:pPr>
        <w:ind w:left="78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1" w15:restartNumberingAfterBreak="0">
    <w:nsid w:val="560A7D4D"/>
    <w:multiLevelType w:val="hybridMultilevel"/>
    <w:tmpl w:val="31BE917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927"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562D41CB"/>
    <w:multiLevelType w:val="hybridMultilevel"/>
    <w:tmpl w:val="84DA1902"/>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3" w15:restartNumberingAfterBreak="0">
    <w:nsid w:val="584D399E"/>
    <w:multiLevelType w:val="hybridMultilevel"/>
    <w:tmpl w:val="68AAB9AA"/>
    <w:lvl w:ilvl="0" w:tplc="60924074">
      <w:start w:val="1"/>
      <w:numFmt w:val="bullet"/>
      <w:lvlText w:val="-"/>
      <w:lvlJc w:val="left"/>
      <w:pPr>
        <w:ind w:left="1931" w:hanging="360"/>
      </w:pPr>
      <w:rPr>
        <w:rFonts w:ascii="Times New Roman" w:eastAsiaTheme="minorHAnsi" w:hAnsi="Times New Roman" w:cs="Times New Roman" w:hint="default"/>
      </w:rPr>
    </w:lvl>
    <w:lvl w:ilvl="1" w:tplc="040C0003" w:tentative="1">
      <w:start w:val="1"/>
      <w:numFmt w:val="bullet"/>
      <w:lvlText w:val="o"/>
      <w:lvlJc w:val="left"/>
      <w:pPr>
        <w:ind w:left="2651" w:hanging="360"/>
      </w:pPr>
      <w:rPr>
        <w:rFonts w:ascii="Courier New" w:hAnsi="Courier New" w:cs="Courier New" w:hint="default"/>
      </w:rPr>
    </w:lvl>
    <w:lvl w:ilvl="2" w:tplc="040C0005" w:tentative="1">
      <w:start w:val="1"/>
      <w:numFmt w:val="bullet"/>
      <w:lvlText w:val=""/>
      <w:lvlJc w:val="left"/>
      <w:pPr>
        <w:ind w:left="3371" w:hanging="360"/>
      </w:pPr>
      <w:rPr>
        <w:rFonts w:ascii="Wingdings" w:hAnsi="Wingdings" w:hint="default"/>
      </w:rPr>
    </w:lvl>
    <w:lvl w:ilvl="3" w:tplc="040C0001" w:tentative="1">
      <w:start w:val="1"/>
      <w:numFmt w:val="bullet"/>
      <w:lvlText w:val=""/>
      <w:lvlJc w:val="left"/>
      <w:pPr>
        <w:ind w:left="4091" w:hanging="360"/>
      </w:pPr>
      <w:rPr>
        <w:rFonts w:ascii="Symbol" w:hAnsi="Symbol" w:hint="default"/>
      </w:rPr>
    </w:lvl>
    <w:lvl w:ilvl="4" w:tplc="040C0003" w:tentative="1">
      <w:start w:val="1"/>
      <w:numFmt w:val="bullet"/>
      <w:lvlText w:val="o"/>
      <w:lvlJc w:val="left"/>
      <w:pPr>
        <w:ind w:left="4811" w:hanging="360"/>
      </w:pPr>
      <w:rPr>
        <w:rFonts w:ascii="Courier New" w:hAnsi="Courier New" w:cs="Courier New" w:hint="default"/>
      </w:rPr>
    </w:lvl>
    <w:lvl w:ilvl="5" w:tplc="040C0005" w:tentative="1">
      <w:start w:val="1"/>
      <w:numFmt w:val="bullet"/>
      <w:lvlText w:val=""/>
      <w:lvlJc w:val="left"/>
      <w:pPr>
        <w:ind w:left="5531" w:hanging="360"/>
      </w:pPr>
      <w:rPr>
        <w:rFonts w:ascii="Wingdings" w:hAnsi="Wingdings" w:hint="default"/>
      </w:rPr>
    </w:lvl>
    <w:lvl w:ilvl="6" w:tplc="040C0001" w:tentative="1">
      <w:start w:val="1"/>
      <w:numFmt w:val="bullet"/>
      <w:lvlText w:val=""/>
      <w:lvlJc w:val="left"/>
      <w:pPr>
        <w:ind w:left="6251" w:hanging="360"/>
      </w:pPr>
      <w:rPr>
        <w:rFonts w:ascii="Symbol" w:hAnsi="Symbol" w:hint="default"/>
      </w:rPr>
    </w:lvl>
    <w:lvl w:ilvl="7" w:tplc="040C0003" w:tentative="1">
      <w:start w:val="1"/>
      <w:numFmt w:val="bullet"/>
      <w:lvlText w:val="o"/>
      <w:lvlJc w:val="left"/>
      <w:pPr>
        <w:ind w:left="6971" w:hanging="360"/>
      </w:pPr>
      <w:rPr>
        <w:rFonts w:ascii="Courier New" w:hAnsi="Courier New" w:cs="Courier New" w:hint="default"/>
      </w:rPr>
    </w:lvl>
    <w:lvl w:ilvl="8" w:tplc="040C0005" w:tentative="1">
      <w:start w:val="1"/>
      <w:numFmt w:val="bullet"/>
      <w:lvlText w:val=""/>
      <w:lvlJc w:val="left"/>
      <w:pPr>
        <w:ind w:left="7691" w:hanging="360"/>
      </w:pPr>
      <w:rPr>
        <w:rFonts w:ascii="Wingdings" w:hAnsi="Wingdings" w:hint="default"/>
      </w:rPr>
    </w:lvl>
  </w:abstractNum>
  <w:abstractNum w:abstractNumId="44" w15:restartNumberingAfterBreak="0">
    <w:nsid w:val="59637FCD"/>
    <w:multiLevelType w:val="hybridMultilevel"/>
    <w:tmpl w:val="3CB0B266"/>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45" w15:restartNumberingAfterBreak="0">
    <w:nsid w:val="5F521095"/>
    <w:multiLevelType w:val="hybridMultilevel"/>
    <w:tmpl w:val="A2A406AE"/>
    <w:lvl w:ilvl="0" w:tplc="040C0003">
      <w:start w:val="1"/>
      <w:numFmt w:val="bullet"/>
      <w:lvlText w:val="o"/>
      <w:lvlJc w:val="left"/>
      <w:pPr>
        <w:ind w:left="644" w:hanging="360"/>
      </w:pPr>
      <w:rPr>
        <w:rFonts w:ascii="Courier New" w:hAnsi="Courier New" w:cs="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46" w15:restartNumberingAfterBreak="0">
    <w:nsid w:val="62CA2702"/>
    <w:multiLevelType w:val="hybridMultilevel"/>
    <w:tmpl w:val="06424E84"/>
    <w:lvl w:ilvl="0" w:tplc="FF04E91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64607441"/>
    <w:multiLevelType w:val="hybridMultilevel"/>
    <w:tmpl w:val="5F0CCAB6"/>
    <w:lvl w:ilvl="0" w:tplc="8CC8485A">
      <w:start w:val="3"/>
      <w:numFmt w:val="bullet"/>
      <w:lvlText w:val="-"/>
      <w:lvlJc w:val="left"/>
      <w:pPr>
        <w:ind w:left="1495" w:hanging="360"/>
      </w:pPr>
      <w:rPr>
        <w:rFonts w:ascii="Times New Roman" w:eastAsiaTheme="minorHAnsi" w:hAnsi="Times New Roman" w:cs="Times New Roman" w:hint="default"/>
      </w:rPr>
    </w:lvl>
    <w:lvl w:ilvl="1" w:tplc="040C0003" w:tentative="1">
      <w:start w:val="1"/>
      <w:numFmt w:val="bullet"/>
      <w:lvlText w:val="o"/>
      <w:lvlJc w:val="left"/>
      <w:pPr>
        <w:ind w:left="1583" w:hanging="360"/>
      </w:pPr>
      <w:rPr>
        <w:rFonts w:ascii="Courier New" w:hAnsi="Courier New" w:cs="Courier New" w:hint="default"/>
      </w:rPr>
    </w:lvl>
    <w:lvl w:ilvl="2" w:tplc="040C0005" w:tentative="1">
      <w:start w:val="1"/>
      <w:numFmt w:val="bullet"/>
      <w:lvlText w:val=""/>
      <w:lvlJc w:val="left"/>
      <w:pPr>
        <w:ind w:left="2303" w:hanging="360"/>
      </w:pPr>
      <w:rPr>
        <w:rFonts w:ascii="Wingdings" w:hAnsi="Wingdings" w:hint="default"/>
      </w:rPr>
    </w:lvl>
    <w:lvl w:ilvl="3" w:tplc="040C0001" w:tentative="1">
      <w:start w:val="1"/>
      <w:numFmt w:val="bullet"/>
      <w:lvlText w:val=""/>
      <w:lvlJc w:val="left"/>
      <w:pPr>
        <w:ind w:left="3023" w:hanging="360"/>
      </w:pPr>
      <w:rPr>
        <w:rFonts w:ascii="Symbol" w:hAnsi="Symbol" w:hint="default"/>
      </w:rPr>
    </w:lvl>
    <w:lvl w:ilvl="4" w:tplc="040C0003" w:tentative="1">
      <w:start w:val="1"/>
      <w:numFmt w:val="bullet"/>
      <w:lvlText w:val="o"/>
      <w:lvlJc w:val="left"/>
      <w:pPr>
        <w:ind w:left="3743" w:hanging="360"/>
      </w:pPr>
      <w:rPr>
        <w:rFonts w:ascii="Courier New" w:hAnsi="Courier New" w:cs="Courier New" w:hint="default"/>
      </w:rPr>
    </w:lvl>
    <w:lvl w:ilvl="5" w:tplc="040C0005" w:tentative="1">
      <w:start w:val="1"/>
      <w:numFmt w:val="bullet"/>
      <w:lvlText w:val=""/>
      <w:lvlJc w:val="left"/>
      <w:pPr>
        <w:ind w:left="4463" w:hanging="360"/>
      </w:pPr>
      <w:rPr>
        <w:rFonts w:ascii="Wingdings" w:hAnsi="Wingdings" w:hint="default"/>
      </w:rPr>
    </w:lvl>
    <w:lvl w:ilvl="6" w:tplc="040C0001" w:tentative="1">
      <w:start w:val="1"/>
      <w:numFmt w:val="bullet"/>
      <w:lvlText w:val=""/>
      <w:lvlJc w:val="left"/>
      <w:pPr>
        <w:ind w:left="5183" w:hanging="360"/>
      </w:pPr>
      <w:rPr>
        <w:rFonts w:ascii="Symbol" w:hAnsi="Symbol" w:hint="default"/>
      </w:rPr>
    </w:lvl>
    <w:lvl w:ilvl="7" w:tplc="040C0003" w:tentative="1">
      <w:start w:val="1"/>
      <w:numFmt w:val="bullet"/>
      <w:lvlText w:val="o"/>
      <w:lvlJc w:val="left"/>
      <w:pPr>
        <w:ind w:left="5903" w:hanging="360"/>
      </w:pPr>
      <w:rPr>
        <w:rFonts w:ascii="Courier New" w:hAnsi="Courier New" w:cs="Courier New" w:hint="default"/>
      </w:rPr>
    </w:lvl>
    <w:lvl w:ilvl="8" w:tplc="040C0005" w:tentative="1">
      <w:start w:val="1"/>
      <w:numFmt w:val="bullet"/>
      <w:lvlText w:val=""/>
      <w:lvlJc w:val="left"/>
      <w:pPr>
        <w:ind w:left="6623" w:hanging="360"/>
      </w:pPr>
      <w:rPr>
        <w:rFonts w:ascii="Wingdings" w:hAnsi="Wingdings" w:hint="default"/>
      </w:rPr>
    </w:lvl>
  </w:abstractNum>
  <w:abstractNum w:abstractNumId="48" w15:restartNumberingAfterBreak="0">
    <w:nsid w:val="66A108D2"/>
    <w:multiLevelType w:val="hybridMultilevel"/>
    <w:tmpl w:val="35C8BC7E"/>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49" w15:restartNumberingAfterBreak="0">
    <w:nsid w:val="6B432AB3"/>
    <w:multiLevelType w:val="hybridMultilevel"/>
    <w:tmpl w:val="85360BC0"/>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50" w15:restartNumberingAfterBreak="0">
    <w:nsid w:val="6CB05E30"/>
    <w:multiLevelType w:val="hybridMultilevel"/>
    <w:tmpl w:val="15EC6ECE"/>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51" w15:restartNumberingAfterBreak="0">
    <w:nsid w:val="6D2E4F50"/>
    <w:multiLevelType w:val="hybridMultilevel"/>
    <w:tmpl w:val="313AE6D4"/>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52" w15:restartNumberingAfterBreak="0">
    <w:nsid w:val="7066516C"/>
    <w:multiLevelType w:val="hybridMultilevel"/>
    <w:tmpl w:val="E94A4A84"/>
    <w:lvl w:ilvl="0" w:tplc="8CC8485A">
      <w:start w:val="3"/>
      <w:numFmt w:val="bullet"/>
      <w:lvlText w:val="-"/>
      <w:lvlJc w:val="left"/>
      <w:pPr>
        <w:ind w:left="783" w:hanging="360"/>
      </w:pPr>
      <w:rPr>
        <w:rFonts w:ascii="Times New Roman" w:eastAsiaTheme="minorHAnsi" w:hAnsi="Times New Roman" w:cs="Times New Roman"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53" w15:restartNumberingAfterBreak="0">
    <w:nsid w:val="70EA0821"/>
    <w:multiLevelType w:val="hybridMultilevel"/>
    <w:tmpl w:val="1368E32C"/>
    <w:lvl w:ilvl="0" w:tplc="8CC8485A">
      <w:start w:val="3"/>
      <w:numFmt w:val="bullet"/>
      <w:lvlText w:val="-"/>
      <w:lvlJc w:val="left"/>
      <w:pPr>
        <w:ind w:left="1352" w:hanging="360"/>
      </w:pPr>
      <w:rPr>
        <w:rFonts w:ascii="Times New Roman" w:eastAsiaTheme="minorHAnsi" w:hAnsi="Times New Roman" w:cs="Times New Roman"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54" w15:restartNumberingAfterBreak="0">
    <w:nsid w:val="7220151B"/>
    <w:multiLevelType w:val="hybridMultilevel"/>
    <w:tmpl w:val="BBD67126"/>
    <w:lvl w:ilvl="0" w:tplc="040C000D">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55" w15:restartNumberingAfterBreak="0">
    <w:nsid w:val="72AB58C2"/>
    <w:multiLevelType w:val="hybridMultilevel"/>
    <w:tmpl w:val="252EC724"/>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56" w15:restartNumberingAfterBreak="0">
    <w:nsid w:val="738F014A"/>
    <w:multiLevelType w:val="hybridMultilevel"/>
    <w:tmpl w:val="6C58E7DE"/>
    <w:lvl w:ilvl="0" w:tplc="E8048234">
      <w:start w:val="1"/>
      <w:numFmt w:val="bullet"/>
      <w:lvlText w:val="o"/>
      <w:lvlJc w:val="left"/>
      <w:pPr>
        <w:ind w:left="644" w:hanging="360"/>
      </w:pPr>
      <w:rPr>
        <w:rFonts w:ascii="Courier New" w:hAnsi="Courier New" w:cs="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57" w15:restartNumberingAfterBreak="0">
    <w:nsid w:val="7B0F5455"/>
    <w:multiLevelType w:val="hybridMultilevel"/>
    <w:tmpl w:val="92D0CC5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8" w15:restartNumberingAfterBreak="0">
    <w:nsid w:val="7DF3299C"/>
    <w:multiLevelType w:val="hybridMultilevel"/>
    <w:tmpl w:val="FE1E6670"/>
    <w:lvl w:ilvl="0" w:tplc="5F6AFAD8">
      <w:start w:val="1"/>
      <w:numFmt w:val="bullet"/>
      <w:lvlText w:val=""/>
      <w:lvlJc w:val="left"/>
      <w:pPr>
        <w:ind w:left="644"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59" w15:restartNumberingAfterBreak="0">
    <w:nsid w:val="7EA9606C"/>
    <w:multiLevelType w:val="hybridMultilevel"/>
    <w:tmpl w:val="A682438E"/>
    <w:lvl w:ilvl="0" w:tplc="60924074">
      <w:start w:val="1"/>
      <w:numFmt w:val="bullet"/>
      <w:lvlText w:val="-"/>
      <w:lvlJc w:val="left"/>
      <w:pPr>
        <w:ind w:left="2062" w:hanging="360"/>
      </w:pPr>
      <w:rPr>
        <w:rFonts w:ascii="Times New Roman" w:eastAsiaTheme="minorHAnsi" w:hAnsi="Times New Roman" w:cs="Times New Roman" w:hint="default"/>
      </w:rPr>
    </w:lvl>
    <w:lvl w:ilvl="1" w:tplc="040C0003" w:tentative="1">
      <w:start w:val="1"/>
      <w:numFmt w:val="bullet"/>
      <w:lvlText w:val="o"/>
      <w:lvlJc w:val="left"/>
      <w:pPr>
        <w:ind w:left="2782" w:hanging="360"/>
      </w:pPr>
      <w:rPr>
        <w:rFonts w:ascii="Courier New" w:hAnsi="Courier New" w:cs="Courier New" w:hint="default"/>
      </w:rPr>
    </w:lvl>
    <w:lvl w:ilvl="2" w:tplc="040C0005" w:tentative="1">
      <w:start w:val="1"/>
      <w:numFmt w:val="bullet"/>
      <w:lvlText w:val=""/>
      <w:lvlJc w:val="left"/>
      <w:pPr>
        <w:ind w:left="3502" w:hanging="360"/>
      </w:pPr>
      <w:rPr>
        <w:rFonts w:ascii="Wingdings" w:hAnsi="Wingdings" w:hint="default"/>
      </w:rPr>
    </w:lvl>
    <w:lvl w:ilvl="3" w:tplc="040C0001" w:tentative="1">
      <w:start w:val="1"/>
      <w:numFmt w:val="bullet"/>
      <w:lvlText w:val=""/>
      <w:lvlJc w:val="left"/>
      <w:pPr>
        <w:ind w:left="4222" w:hanging="360"/>
      </w:pPr>
      <w:rPr>
        <w:rFonts w:ascii="Symbol" w:hAnsi="Symbol" w:hint="default"/>
      </w:rPr>
    </w:lvl>
    <w:lvl w:ilvl="4" w:tplc="040C0003" w:tentative="1">
      <w:start w:val="1"/>
      <w:numFmt w:val="bullet"/>
      <w:lvlText w:val="o"/>
      <w:lvlJc w:val="left"/>
      <w:pPr>
        <w:ind w:left="4942" w:hanging="360"/>
      </w:pPr>
      <w:rPr>
        <w:rFonts w:ascii="Courier New" w:hAnsi="Courier New" w:cs="Courier New" w:hint="default"/>
      </w:rPr>
    </w:lvl>
    <w:lvl w:ilvl="5" w:tplc="040C0005" w:tentative="1">
      <w:start w:val="1"/>
      <w:numFmt w:val="bullet"/>
      <w:lvlText w:val=""/>
      <w:lvlJc w:val="left"/>
      <w:pPr>
        <w:ind w:left="5662" w:hanging="360"/>
      </w:pPr>
      <w:rPr>
        <w:rFonts w:ascii="Wingdings" w:hAnsi="Wingdings" w:hint="default"/>
      </w:rPr>
    </w:lvl>
    <w:lvl w:ilvl="6" w:tplc="040C0001" w:tentative="1">
      <w:start w:val="1"/>
      <w:numFmt w:val="bullet"/>
      <w:lvlText w:val=""/>
      <w:lvlJc w:val="left"/>
      <w:pPr>
        <w:ind w:left="6382" w:hanging="360"/>
      </w:pPr>
      <w:rPr>
        <w:rFonts w:ascii="Symbol" w:hAnsi="Symbol" w:hint="default"/>
      </w:rPr>
    </w:lvl>
    <w:lvl w:ilvl="7" w:tplc="040C0003" w:tentative="1">
      <w:start w:val="1"/>
      <w:numFmt w:val="bullet"/>
      <w:lvlText w:val="o"/>
      <w:lvlJc w:val="left"/>
      <w:pPr>
        <w:ind w:left="7102" w:hanging="360"/>
      </w:pPr>
      <w:rPr>
        <w:rFonts w:ascii="Courier New" w:hAnsi="Courier New" w:cs="Courier New" w:hint="default"/>
      </w:rPr>
    </w:lvl>
    <w:lvl w:ilvl="8" w:tplc="040C0005" w:tentative="1">
      <w:start w:val="1"/>
      <w:numFmt w:val="bullet"/>
      <w:lvlText w:val=""/>
      <w:lvlJc w:val="left"/>
      <w:pPr>
        <w:ind w:left="7822" w:hanging="360"/>
      </w:pPr>
      <w:rPr>
        <w:rFonts w:ascii="Wingdings" w:hAnsi="Wingdings" w:hint="default"/>
      </w:rPr>
    </w:lvl>
  </w:abstractNum>
  <w:num w:numId="1" w16cid:durableId="1594508537">
    <w:abstractNumId w:val="33"/>
  </w:num>
  <w:num w:numId="2" w16cid:durableId="1126583562">
    <w:abstractNumId w:val="35"/>
  </w:num>
  <w:num w:numId="3" w16cid:durableId="468284714">
    <w:abstractNumId w:val="2"/>
  </w:num>
  <w:num w:numId="4" w16cid:durableId="1780759256">
    <w:abstractNumId w:val="57"/>
  </w:num>
  <w:num w:numId="5" w16cid:durableId="999427450">
    <w:abstractNumId w:val="41"/>
  </w:num>
  <w:num w:numId="6" w16cid:durableId="1634561946">
    <w:abstractNumId w:val="34"/>
  </w:num>
  <w:num w:numId="7" w16cid:durableId="1923442135">
    <w:abstractNumId w:val="22"/>
  </w:num>
  <w:num w:numId="8" w16cid:durableId="2132701089">
    <w:abstractNumId w:val="1"/>
  </w:num>
  <w:num w:numId="9" w16cid:durableId="1628269579">
    <w:abstractNumId w:val="25"/>
  </w:num>
  <w:num w:numId="10" w16cid:durableId="556401768">
    <w:abstractNumId w:val="20"/>
  </w:num>
  <w:num w:numId="11" w16cid:durableId="1504198291">
    <w:abstractNumId w:val="47"/>
  </w:num>
  <w:num w:numId="12" w16cid:durableId="1170825348">
    <w:abstractNumId w:val="30"/>
  </w:num>
  <w:num w:numId="13" w16cid:durableId="376706393">
    <w:abstractNumId w:val="8"/>
  </w:num>
  <w:num w:numId="14" w16cid:durableId="1801996160">
    <w:abstractNumId w:val="38"/>
  </w:num>
  <w:num w:numId="15" w16cid:durableId="2048485397">
    <w:abstractNumId w:val="54"/>
  </w:num>
  <w:num w:numId="16" w16cid:durableId="914827906">
    <w:abstractNumId w:val="36"/>
  </w:num>
  <w:num w:numId="17" w16cid:durableId="561020287">
    <w:abstractNumId w:val="55"/>
  </w:num>
  <w:num w:numId="18" w16cid:durableId="2019309522">
    <w:abstractNumId w:val="9"/>
  </w:num>
  <w:num w:numId="19" w16cid:durableId="1537497507">
    <w:abstractNumId w:val="39"/>
  </w:num>
  <w:num w:numId="20" w16cid:durableId="702095983">
    <w:abstractNumId w:val="6"/>
  </w:num>
  <w:num w:numId="21" w16cid:durableId="1341927491">
    <w:abstractNumId w:val="58"/>
  </w:num>
  <w:num w:numId="22" w16cid:durableId="151021245">
    <w:abstractNumId w:val="19"/>
  </w:num>
  <w:num w:numId="23" w16cid:durableId="880870328">
    <w:abstractNumId w:val="7"/>
  </w:num>
  <w:num w:numId="24" w16cid:durableId="657074184">
    <w:abstractNumId w:val="56"/>
  </w:num>
  <w:num w:numId="25" w16cid:durableId="1284191870">
    <w:abstractNumId w:val="40"/>
  </w:num>
  <w:num w:numId="26" w16cid:durableId="154298701">
    <w:abstractNumId w:val="51"/>
  </w:num>
  <w:num w:numId="27" w16cid:durableId="1505901286">
    <w:abstractNumId w:val="3"/>
  </w:num>
  <w:num w:numId="28" w16cid:durableId="1346445015">
    <w:abstractNumId w:val="4"/>
  </w:num>
  <w:num w:numId="29" w16cid:durableId="1855420678">
    <w:abstractNumId w:val="28"/>
  </w:num>
  <w:num w:numId="30" w16cid:durableId="1917082104">
    <w:abstractNumId w:val="52"/>
  </w:num>
  <w:num w:numId="31" w16cid:durableId="528181777">
    <w:abstractNumId w:val="50"/>
  </w:num>
  <w:num w:numId="32" w16cid:durableId="266087517">
    <w:abstractNumId w:val="24"/>
  </w:num>
  <w:num w:numId="33" w16cid:durableId="1970281616">
    <w:abstractNumId w:val="11"/>
  </w:num>
  <w:num w:numId="34" w16cid:durableId="1264458909">
    <w:abstractNumId w:val="45"/>
  </w:num>
  <w:num w:numId="35" w16cid:durableId="1969048673">
    <w:abstractNumId w:val="12"/>
  </w:num>
  <w:num w:numId="36" w16cid:durableId="353456375">
    <w:abstractNumId w:val="5"/>
  </w:num>
  <w:num w:numId="37" w16cid:durableId="1741754250">
    <w:abstractNumId w:val="44"/>
  </w:num>
  <w:num w:numId="38" w16cid:durableId="1290667797">
    <w:abstractNumId w:val="10"/>
  </w:num>
  <w:num w:numId="39" w16cid:durableId="1443265297">
    <w:abstractNumId w:val="21"/>
  </w:num>
  <w:num w:numId="40" w16cid:durableId="1035236108">
    <w:abstractNumId w:val="14"/>
  </w:num>
  <w:num w:numId="41" w16cid:durableId="1537696238">
    <w:abstractNumId w:val="23"/>
  </w:num>
  <w:num w:numId="42" w16cid:durableId="1485316798">
    <w:abstractNumId w:val="42"/>
  </w:num>
  <w:num w:numId="43" w16cid:durableId="393436638">
    <w:abstractNumId w:val="18"/>
  </w:num>
  <w:num w:numId="44" w16cid:durableId="1861159595">
    <w:abstractNumId w:val="15"/>
  </w:num>
  <w:num w:numId="45" w16cid:durableId="2026975401">
    <w:abstractNumId w:val="37"/>
  </w:num>
  <w:num w:numId="46" w16cid:durableId="1762216919">
    <w:abstractNumId w:val="46"/>
  </w:num>
  <w:num w:numId="47" w16cid:durableId="231546519">
    <w:abstractNumId w:val="26"/>
  </w:num>
  <w:num w:numId="48" w16cid:durableId="1604680897">
    <w:abstractNumId w:val="53"/>
  </w:num>
  <w:num w:numId="49" w16cid:durableId="937450269">
    <w:abstractNumId w:val="17"/>
  </w:num>
  <w:num w:numId="50" w16cid:durableId="1436435889">
    <w:abstractNumId w:val="0"/>
  </w:num>
  <w:num w:numId="51" w16cid:durableId="698169817">
    <w:abstractNumId w:val="13"/>
  </w:num>
  <w:num w:numId="52" w16cid:durableId="84807145">
    <w:abstractNumId w:val="49"/>
  </w:num>
  <w:num w:numId="53" w16cid:durableId="560556197">
    <w:abstractNumId w:val="16"/>
  </w:num>
  <w:num w:numId="54" w16cid:durableId="1653561222">
    <w:abstractNumId w:val="31"/>
  </w:num>
  <w:num w:numId="55" w16cid:durableId="1734766195">
    <w:abstractNumId w:val="59"/>
  </w:num>
  <w:num w:numId="56" w16cid:durableId="934096762">
    <w:abstractNumId w:val="32"/>
  </w:num>
  <w:num w:numId="57" w16cid:durableId="397364853">
    <w:abstractNumId w:val="48"/>
  </w:num>
  <w:num w:numId="58" w16cid:durableId="1977833893">
    <w:abstractNumId w:val="29"/>
  </w:num>
  <w:num w:numId="59" w16cid:durableId="2005359241">
    <w:abstractNumId w:val="43"/>
  </w:num>
  <w:num w:numId="60" w16cid:durableId="393553627">
    <w:abstractNumId w:val="27"/>
  </w:num>
  <w:numIdMacAtCleanup w:val="60"/>
  <w:abstractNum w:abstractNumId="60">
    <w:multiLevelType w:val="singleLevel"/>
    <w:lvl w:ilvl="0">
      <w:start w:val="1"/>
      <w:numFmt w:val="bullet"/>
      <w:lvlText w:val="•"/>
      <w:lvlJc w:val="left"/>
      <w:pPr>
        <w:tabs>
          <w:tab w:val="num" w:pos="720"/>
        </w:tabs>
        <w:ind w:left="720" w:hanging="360"/>
      </w:pPr>
      <w:rPr>
        <w:rFonts w:ascii="Times New Roman" w:hAnsi="Times New Roman"/>
      </w:rPr>
    </w:lvl>
  </w:abstractNum>
  <w:num w:numId="61">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A248F0"/>
    <w:rsid w:val="00006745"/>
    <w:rsid w:val="00006864"/>
    <w:rsid w:val="00017C1E"/>
    <w:rsid w:val="00021E3D"/>
    <w:rsid w:val="00021F5F"/>
    <w:rsid w:val="0003204E"/>
    <w:rsid w:val="00032FA1"/>
    <w:rsid w:val="00035F08"/>
    <w:rsid w:val="0004360A"/>
    <w:rsid w:val="00045DC5"/>
    <w:rsid w:val="00057253"/>
    <w:rsid w:val="0005777C"/>
    <w:rsid w:val="00064C8C"/>
    <w:rsid w:val="00066C77"/>
    <w:rsid w:val="000679A5"/>
    <w:rsid w:val="00073611"/>
    <w:rsid w:val="000769EF"/>
    <w:rsid w:val="00084496"/>
    <w:rsid w:val="0008507D"/>
    <w:rsid w:val="00097CCF"/>
    <w:rsid w:val="000A4CDD"/>
    <w:rsid w:val="000A64EC"/>
    <w:rsid w:val="000B6487"/>
    <w:rsid w:val="000B6F88"/>
    <w:rsid w:val="000C1A71"/>
    <w:rsid w:val="000C4299"/>
    <w:rsid w:val="000D2411"/>
    <w:rsid w:val="000D768B"/>
    <w:rsid w:val="001069C4"/>
    <w:rsid w:val="00106A6B"/>
    <w:rsid w:val="00113CCF"/>
    <w:rsid w:val="00126EFB"/>
    <w:rsid w:val="001343D3"/>
    <w:rsid w:val="001359DA"/>
    <w:rsid w:val="0013670F"/>
    <w:rsid w:val="00154C92"/>
    <w:rsid w:val="001665F2"/>
    <w:rsid w:val="0017362F"/>
    <w:rsid w:val="00175E4D"/>
    <w:rsid w:val="00182DE8"/>
    <w:rsid w:val="001841C4"/>
    <w:rsid w:val="001A755C"/>
    <w:rsid w:val="001C1A89"/>
    <w:rsid w:val="001C53D5"/>
    <w:rsid w:val="001C5806"/>
    <w:rsid w:val="001D2F21"/>
    <w:rsid w:val="001E5093"/>
    <w:rsid w:val="001F40A8"/>
    <w:rsid w:val="002101D1"/>
    <w:rsid w:val="002136D2"/>
    <w:rsid w:val="00221C5D"/>
    <w:rsid w:val="00222B77"/>
    <w:rsid w:val="00233C89"/>
    <w:rsid w:val="00245516"/>
    <w:rsid w:val="00252FCE"/>
    <w:rsid w:val="0025375A"/>
    <w:rsid w:val="00256607"/>
    <w:rsid w:val="00266D6C"/>
    <w:rsid w:val="002718BD"/>
    <w:rsid w:val="00273132"/>
    <w:rsid w:val="00275A54"/>
    <w:rsid w:val="002A2FB6"/>
    <w:rsid w:val="002A5FD8"/>
    <w:rsid w:val="002B1420"/>
    <w:rsid w:val="002C78EE"/>
    <w:rsid w:val="002D351A"/>
    <w:rsid w:val="002E20BE"/>
    <w:rsid w:val="002E43EA"/>
    <w:rsid w:val="002E55BE"/>
    <w:rsid w:val="002F218B"/>
    <w:rsid w:val="003000E2"/>
    <w:rsid w:val="00303FBE"/>
    <w:rsid w:val="00314498"/>
    <w:rsid w:val="00326E61"/>
    <w:rsid w:val="00332484"/>
    <w:rsid w:val="003328E7"/>
    <w:rsid w:val="00340244"/>
    <w:rsid w:val="00344F09"/>
    <w:rsid w:val="00352B99"/>
    <w:rsid w:val="00362B3B"/>
    <w:rsid w:val="0037063A"/>
    <w:rsid w:val="0037546A"/>
    <w:rsid w:val="00394DCE"/>
    <w:rsid w:val="003A450E"/>
    <w:rsid w:val="003B43C3"/>
    <w:rsid w:val="003B4D10"/>
    <w:rsid w:val="003B7432"/>
    <w:rsid w:val="003C2A7D"/>
    <w:rsid w:val="003C39AF"/>
    <w:rsid w:val="003E39AB"/>
    <w:rsid w:val="00404744"/>
    <w:rsid w:val="00405C3D"/>
    <w:rsid w:val="0041494F"/>
    <w:rsid w:val="004149E5"/>
    <w:rsid w:val="00417A7B"/>
    <w:rsid w:val="004208DD"/>
    <w:rsid w:val="00423649"/>
    <w:rsid w:val="00423BC8"/>
    <w:rsid w:val="0042766F"/>
    <w:rsid w:val="0043334B"/>
    <w:rsid w:val="0043565C"/>
    <w:rsid w:val="00437A52"/>
    <w:rsid w:val="00445AEE"/>
    <w:rsid w:val="00450D93"/>
    <w:rsid w:val="00455044"/>
    <w:rsid w:val="00463236"/>
    <w:rsid w:val="00482940"/>
    <w:rsid w:val="00482974"/>
    <w:rsid w:val="00486E03"/>
    <w:rsid w:val="004950C2"/>
    <w:rsid w:val="004A37FD"/>
    <w:rsid w:val="004A45F0"/>
    <w:rsid w:val="004A5F4C"/>
    <w:rsid w:val="004B40F1"/>
    <w:rsid w:val="004C1A98"/>
    <w:rsid w:val="004C2CD0"/>
    <w:rsid w:val="004D47F1"/>
    <w:rsid w:val="004D488C"/>
    <w:rsid w:val="004E12D6"/>
    <w:rsid w:val="004E7289"/>
    <w:rsid w:val="004F322C"/>
    <w:rsid w:val="004F617E"/>
    <w:rsid w:val="00504DA5"/>
    <w:rsid w:val="0050699B"/>
    <w:rsid w:val="00526051"/>
    <w:rsid w:val="0053338D"/>
    <w:rsid w:val="00534E67"/>
    <w:rsid w:val="0053752D"/>
    <w:rsid w:val="005541E0"/>
    <w:rsid w:val="0056314B"/>
    <w:rsid w:val="0056563D"/>
    <w:rsid w:val="00571C51"/>
    <w:rsid w:val="005721FB"/>
    <w:rsid w:val="00575484"/>
    <w:rsid w:val="00585140"/>
    <w:rsid w:val="005A157B"/>
    <w:rsid w:val="005B508E"/>
    <w:rsid w:val="005C12E2"/>
    <w:rsid w:val="005C5AC7"/>
    <w:rsid w:val="005C770A"/>
    <w:rsid w:val="005E15A4"/>
    <w:rsid w:val="005F0BA4"/>
    <w:rsid w:val="005F296F"/>
    <w:rsid w:val="005F2D16"/>
    <w:rsid w:val="005F35F7"/>
    <w:rsid w:val="006029F3"/>
    <w:rsid w:val="006102BF"/>
    <w:rsid w:val="006114C8"/>
    <w:rsid w:val="0062242A"/>
    <w:rsid w:val="00626994"/>
    <w:rsid w:val="00630EED"/>
    <w:rsid w:val="00634A64"/>
    <w:rsid w:val="00637500"/>
    <w:rsid w:val="0063794E"/>
    <w:rsid w:val="006454CA"/>
    <w:rsid w:val="00646507"/>
    <w:rsid w:val="00660B2E"/>
    <w:rsid w:val="00672139"/>
    <w:rsid w:val="0069399D"/>
    <w:rsid w:val="00697EF7"/>
    <w:rsid w:val="006B4328"/>
    <w:rsid w:val="006B7BC5"/>
    <w:rsid w:val="006C34C5"/>
    <w:rsid w:val="006D1EDF"/>
    <w:rsid w:val="006E1C37"/>
    <w:rsid w:val="006E2BE7"/>
    <w:rsid w:val="006E3352"/>
    <w:rsid w:val="006E41E7"/>
    <w:rsid w:val="006E48CF"/>
    <w:rsid w:val="006F04B3"/>
    <w:rsid w:val="006F1080"/>
    <w:rsid w:val="006F37BD"/>
    <w:rsid w:val="007008C6"/>
    <w:rsid w:val="0070431D"/>
    <w:rsid w:val="007269E5"/>
    <w:rsid w:val="00734F40"/>
    <w:rsid w:val="007426F7"/>
    <w:rsid w:val="00752BB3"/>
    <w:rsid w:val="007545E5"/>
    <w:rsid w:val="007562A8"/>
    <w:rsid w:val="007577A4"/>
    <w:rsid w:val="007603CB"/>
    <w:rsid w:val="0076610F"/>
    <w:rsid w:val="0076642F"/>
    <w:rsid w:val="00766B4E"/>
    <w:rsid w:val="00775028"/>
    <w:rsid w:val="007754FA"/>
    <w:rsid w:val="00777D43"/>
    <w:rsid w:val="007800A4"/>
    <w:rsid w:val="00786E08"/>
    <w:rsid w:val="0079024C"/>
    <w:rsid w:val="007A1CC0"/>
    <w:rsid w:val="007A34C4"/>
    <w:rsid w:val="007B0E51"/>
    <w:rsid w:val="007B452B"/>
    <w:rsid w:val="007C5834"/>
    <w:rsid w:val="007D0376"/>
    <w:rsid w:val="007D2429"/>
    <w:rsid w:val="007E47A8"/>
    <w:rsid w:val="007E7AEA"/>
    <w:rsid w:val="007F1FC9"/>
    <w:rsid w:val="007F2BA3"/>
    <w:rsid w:val="00816484"/>
    <w:rsid w:val="00835FE6"/>
    <w:rsid w:val="00837208"/>
    <w:rsid w:val="00841B79"/>
    <w:rsid w:val="0084215E"/>
    <w:rsid w:val="008428A9"/>
    <w:rsid w:val="0084324D"/>
    <w:rsid w:val="00844D56"/>
    <w:rsid w:val="00867C60"/>
    <w:rsid w:val="0088437E"/>
    <w:rsid w:val="0089049B"/>
    <w:rsid w:val="008917C8"/>
    <w:rsid w:val="0089371A"/>
    <w:rsid w:val="00893DB4"/>
    <w:rsid w:val="008963BD"/>
    <w:rsid w:val="008A38C9"/>
    <w:rsid w:val="008B098A"/>
    <w:rsid w:val="008C0611"/>
    <w:rsid w:val="008C24D0"/>
    <w:rsid w:val="008C6D3A"/>
    <w:rsid w:val="008D6748"/>
    <w:rsid w:val="009079EB"/>
    <w:rsid w:val="0091776B"/>
    <w:rsid w:val="00931C0E"/>
    <w:rsid w:val="00933D83"/>
    <w:rsid w:val="009345DA"/>
    <w:rsid w:val="009409ED"/>
    <w:rsid w:val="00945941"/>
    <w:rsid w:val="00946153"/>
    <w:rsid w:val="00950485"/>
    <w:rsid w:val="00950CFF"/>
    <w:rsid w:val="00961875"/>
    <w:rsid w:val="00964DB1"/>
    <w:rsid w:val="009724D3"/>
    <w:rsid w:val="00984D48"/>
    <w:rsid w:val="00991935"/>
    <w:rsid w:val="0099368E"/>
    <w:rsid w:val="009938E7"/>
    <w:rsid w:val="009A2239"/>
    <w:rsid w:val="009B30F0"/>
    <w:rsid w:val="009D3FED"/>
    <w:rsid w:val="009D63C5"/>
    <w:rsid w:val="009F1E60"/>
    <w:rsid w:val="009F3F04"/>
    <w:rsid w:val="009F4B55"/>
    <w:rsid w:val="009F5DDC"/>
    <w:rsid w:val="009F63DF"/>
    <w:rsid w:val="00A00992"/>
    <w:rsid w:val="00A0193B"/>
    <w:rsid w:val="00A14832"/>
    <w:rsid w:val="00A2130A"/>
    <w:rsid w:val="00A248F0"/>
    <w:rsid w:val="00A35FA8"/>
    <w:rsid w:val="00A606FA"/>
    <w:rsid w:val="00A62B35"/>
    <w:rsid w:val="00A64AA2"/>
    <w:rsid w:val="00AA5244"/>
    <w:rsid w:val="00AB0DF1"/>
    <w:rsid w:val="00AB6448"/>
    <w:rsid w:val="00AB6A85"/>
    <w:rsid w:val="00AC115D"/>
    <w:rsid w:val="00AC31E8"/>
    <w:rsid w:val="00AC3643"/>
    <w:rsid w:val="00AC64A5"/>
    <w:rsid w:val="00AD3D2F"/>
    <w:rsid w:val="00AE2474"/>
    <w:rsid w:val="00AE433E"/>
    <w:rsid w:val="00AF0695"/>
    <w:rsid w:val="00AF63A7"/>
    <w:rsid w:val="00B14FBA"/>
    <w:rsid w:val="00B1550F"/>
    <w:rsid w:val="00B33535"/>
    <w:rsid w:val="00B4095B"/>
    <w:rsid w:val="00B61001"/>
    <w:rsid w:val="00B6191A"/>
    <w:rsid w:val="00B628D9"/>
    <w:rsid w:val="00B62997"/>
    <w:rsid w:val="00B639D1"/>
    <w:rsid w:val="00B6628D"/>
    <w:rsid w:val="00B678AF"/>
    <w:rsid w:val="00B67B43"/>
    <w:rsid w:val="00B72DAB"/>
    <w:rsid w:val="00B7636B"/>
    <w:rsid w:val="00B81905"/>
    <w:rsid w:val="00BA20BC"/>
    <w:rsid w:val="00BB0DF8"/>
    <w:rsid w:val="00BD4982"/>
    <w:rsid w:val="00BE52CD"/>
    <w:rsid w:val="00C05B2C"/>
    <w:rsid w:val="00C14A22"/>
    <w:rsid w:val="00C1719A"/>
    <w:rsid w:val="00C2025B"/>
    <w:rsid w:val="00C247BF"/>
    <w:rsid w:val="00C35CBA"/>
    <w:rsid w:val="00C4626E"/>
    <w:rsid w:val="00C46D5C"/>
    <w:rsid w:val="00C53CA2"/>
    <w:rsid w:val="00C56F47"/>
    <w:rsid w:val="00C86DAD"/>
    <w:rsid w:val="00C86E74"/>
    <w:rsid w:val="00C917B4"/>
    <w:rsid w:val="00CB4AC1"/>
    <w:rsid w:val="00CC057F"/>
    <w:rsid w:val="00CC7A29"/>
    <w:rsid w:val="00CE17CC"/>
    <w:rsid w:val="00CE6119"/>
    <w:rsid w:val="00CF31EA"/>
    <w:rsid w:val="00CF6D5A"/>
    <w:rsid w:val="00D05229"/>
    <w:rsid w:val="00D0599C"/>
    <w:rsid w:val="00D07326"/>
    <w:rsid w:val="00D13329"/>
    <w:rsid w:val="00D2066E"/>
    <w:rsid w:val="00D30292"/>
    <w:rsid w:val="00D33523"/>
    <w:rsid w:val="00D34266"/>
    <w:rsid w:val="00D3498E"/>
    <w:rsid w:val="00D46999"/>
    <w:rsid w:val="00D553FC"/>
    <w:rsid w:val="00D56F59"/>
    <w:rsid w:val="00D67344"/>
    <w:rsid w:val="00D775C5"/>
    <w:rsid w:val="00DA1314"/>
    <w:rsid w:val="00DA40A7"/>
    <w:rsid w:val="00DB36DC"/>
    <w:rsid w:val="00DC0EB6"/>
    <w:rsid w:val="00DC1FB3"/>
    <w:rsid w:val="00DC55A2"/>
    <w:rsid w:val="00DC5C80"/>
    <w:rsid w:val="00DD0CF5"/>
    <w:rsid w:val="00DD0DEB"/>
    <w:rsid w:val="00DE40B0"/>
    <w:rsid w:val="00E045DC"/>
    <w:rsid w:val="00E049BE"/>
    <w:rsid w:val="00E1454D"/>
    <w:rsid w:val="00E16C01"/>
    <w:rsid w:val="00E258FB"/>
    <w:rsid w:val="00E338BA"/>
    <w:rsid w:val="00E40BF8"/>
    <w:rsid w:val="00E41572"/>
    <w:rsid w:val="00E4201C"/>
    <w:rsid w:val="00E45674"/>
    <w:rsid w:val="00E47160"/>
    <w:rsid w:val="00E513AB"/>
    <w:rsid w:val="00E51471"/>
    <w:rsid w:val="00E60F84"/>
    <w:rsid w:val="00E62BAC"/>
    <w:rsid w:val="00E7403D"/>
    <w:rsid w:val="00E80415"/>
    <w:rsid w:val="00E82B41"/>
    <w:rsid w:val="00E85F2E"/>
    <w:rsid w:val="00E865A3"/>
    <w:rsid w:val="00E92710"/>
    <w:rsid w:val="00E933C6"/>
    <w:rsid w:val="00EA1E9B"/>
    <w:rsid w:val="00EA5FE8"/>
    <w:rsid w:val="00EB01A2"/>
    <w:rsid w:val="00EC01E9"/>
    <w:rsid w:val="00EC3A23"/>
    <w:rsid w:val="00EC72AF"/>
    <w:rsid w:val="00EE495D"/>
    <w:rsid w:val="00EE520F"/>
    <w:rsid w:val="00EE5A60"/>
    <w:rsid w:val="00EE5F48"/>
    <w:rsid w:val="00EF5341"/>
    <w:rsid w:val="00F1237F"/>
    <w:rsid w:val="00F23456"/>
    <w:rsid w:val="00F41421"/>
    <w:rsid w:val="00F46A27"/>
    <w:rsid w:val="00F46DEF"/>
    <w:rsid w:val="00F52D08"/>
    <w:rsid w:val="00F56926"/>
    <w:rsid w:val="00F600F4"/>
    <w:rsid w:val="00F615A9"/>
    <w:rsid w:val="00F71F75"/>
    <w:rsid w:val="00F72608"/>
    <w:rsid w:val="00F727DC"/>
    <w:rsid w:val="00F84109"/>
    <w:rsid w:val="00FA42F3"/>
    <w:rsid w:val="00FA7C7D"/>
    <w:rsid w:val="00FB7242"/>
    <w:rsid w:val="00FC4C3B"/>
    <w:rsid w:val="00FD2BD8"/>
    <w:rsid w:val="00FD5147"/>
    <w:rsid w:val="00FE57EC"/>
    <w:rsid w:val="00FE6C9C"/>
    <w:rsid w:val="00FF63D9"/>
    <w:rsid w:val="00FF78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B5E22"/>
  <w15:docId w15:val="{716F1CFD-3AAC-4546-A630-719989D54B7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28D"/>
    <w:pPr>
      <w:spacing w:after="100" w:line="276" w:lineRule="auto" w:before="0"/>
    </w:pPr>
    <w:rPr>
      <w:rFonts w:ascii="Times New Roman" w:hAnsi="Times New Roman"/>
      <w:sz w:val="22"/>
    </w:rPr>
  </w:style>
  <w:style w:type="paragraph" w:styleId="Heading1">
    <w:name w:val="heading 1"/>
    <w:basedOn w:val="Normal"/>
    <w:next w:val="Normal"/>
    <w:link w:val="Heading1Char"/>
    <w:uiPriority w:val="9"/>
    <w:qFormat/>
    <w:rsid w:val="00A248F0"/>
    <w:pPr>
      <w:keepNext/>
      <w:keepLines/>
      <w:spacing w:before="280" w:after="14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084496"/>
    <w:pPr>
      <w:keepNext/>
      <w:keepLines/>
      <w:spacing w:before="220" w:after="100"/>
      <w:outlineLvl w:val="1"/>
    </w:pPr>
    <w:rPr>
      <w:rFonts w:asciiTheme="majorHAnsi" w:eastAsiaTheme="majorEastAsia" w:hAnsiTheme="majorHAnsi" w:cstheme="majorBidi" w:ascii="Times New Roman" w:hAnsi="Times New Roman"/>
      <w:b/>
      <w:bCs/>
      <w:color w:val="2E74B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248F0"/>
    <w:pPr>
      <w:keepNext/>
      <w:pBdr>
        <w:bottom w:val="single" w:sz="8" w:space="4" w:color="4F81BD" w:themeColor="accent1"/>
      </w:pBdr>
      <w:spacing w:after="280" w:line="240" w:lineRule="auto" w:before="0"/>
      <w:contextualSpacing/>
    </w:pPr>
    <w:rPr>
      <w:rFonts w:asciiTheme="majorHAnsi" w:eastAsiaTheme="majorEastAsia" w:hAnsiTheme="majorHAnsi" w:cstheme="majorBidi" w:ascii="Times New Roman" w:hAnsi="Times New Roman"/>
      <w:b/>
      <w:color w:val="1F4E79"/>
      <w:spacing w:val="5"/>
      <w:kern w:val="28"/>
      <w:sz w:val="44"/>
      <w:szCs w:val="52"/>
    </w:rPr>
  </w:style>
  <w:style w:type="character" w:customStyle="1" w:styleId="TitleChar">
    <w:name w:val="Title Char"/>
    <w:basedOn w:val="DefaultParagraphFont"/>
    <w:link w:val="Title"/>
    <w:uiPriority w:val="10"/>
    <w:rsid w:val="00A248F0"/>
    <w:rPr>
      <w:rFonts w:asciiTheme="majorHAnsi" w:eastAsiaTheme="majorEastAsia" w:hAnsiTheme="majorHAnsi" w:cstheme="majorBidi"/>
      <w:spacing w:val="5"/>
      <w:kern w:val="28"/>
      <w:sz w:val="52"/>
      <w:szCs w:val="52"/>
    </w:rPr>
  </w:style>
  <w:style w:type="character" w:customStyle="1" w:styleId="Heading1Char">
    <w:name w:val="Heading 1 Char"/>
    <w:basedOn w:val="DefaultParagraphFont"/>
    <w:link w:val="Heading1"/>
    <w:uiPriority w:val="9"/>
    <w:rsid w:val="00A248F0"/>
    <w:rPr>
      <w:rFonts w:asciiTheme="majorHAnsi" w:eastAsiaTheme="majorEastAsia" w:hAnsiTheme="majorHAnsi" w:cstheme="majorBidi"/>
      <w:b/>
      <w:bCs/>
      <w:sz w:val="28"/>
      <w:szCs w:val="28"/>
    </w:rPr>
  </w:style>
  <w:style w:type="paragraph" w:styleId="ListParagraph">
    <w:name w:val="List Paragraph"/>
    <w:basedOn w:val="Normal"/>
    <w:uiPriority w:val="34"/>
    <w:qFormat/>
    <w:rsid w:val="00D07326"/>
    <w:pPr>
      <w:spacing w:before="0" w:after="100" w:line="276" w:lineRule="auto"/>
      <w:ind w:left="720"/>
      <w:contextualSpacing/>
    </w:pPr>
    <w:rPr>
      <w:rFonts w:ascii="Times New Roman" w:hAnsi="Times New Roman"/>
      <w:sz w:val="22"/>
    </w:rPr>
  </w:style>
  <w:style w:type="character" w:customStyle="1" w:styleId="Heading2Char">
    <w:name w:val="Heading 2 Char"/>
    <w:basedOn w:val="DefaultParagraphFont"/>
    <w:link w:val="Heading2"/>
    <w:uiPriority w:val="9"/>
    <w:rsid w:val="00084496"/>
    <w:rPr>
      <w:rFonts w:asciiTheme="majorHAnsi" w:eastAsiaTheme="majorEastAsia" w:hAnsiTheme="majorHAnsi" w:cstheme="majorBidi"/>
      <w:b/>
      <w:bCs/>
      <w:sz w:val="26"/>
      <w:szCs w:val="26"/>
    </w:rPr>
  </w:style>
  <w:style w:type="paragraph" w:styleId="NoSpacing">
    <w:name w:val="No Spacing"/>
    <w:uiPriority w:val="1"/>
    <w:qFormat/>
    <w:rsid w:val="00486E03"/>
    <w:pPr>
      <w:spacing w:after="100" w:line="276" w:lineRule="auto" w:before="0"/>
    </w:pPr>
    <w:rPr>
      <w:rFonts w:ascii="Times New Roman" w:hAnsi="Times New Roman"/>
      <w:sz w:val="22"/>
    </w:rPr>
  </w:style>
  <w:style w:type="paragraph" w:customStyle="1" w:styleId="DecimalAligned">
    <w:name w:val="Decimal Aligned"/>
    <w:basedOn w:val="Normal"/>
    <w:uiPriority w:val="40"/>
    <w:qFormat/>
    <w:rsid w:val="004D47F1"/>
    <w:pPr>
      <w:tabs>
        <w:tab w:val="decimal" w:pos="360"/>
      </w:tabs>
    </w:pPr>
    <w:rPr>
      <w:rFonts w:eastAsiaTheme="minorEastAsia"/>
    </w:rPr>
  </w:style>
  <w:style w:type="paragraph" w:styleId="FootnoteText">
    <w:name w:val="footnote text"/>
    <w:basedOn w:val="Normal"/>
    <w:link w:val="FootnoteTextChar"/>
    <w:uiPriority w:val="99"/>
    <w:unhideWhenUsed/>
    <w:rsid w:val="004D47F1"/>
    <w:pPr>
      <w:spacing w:after="0" w:line="240" w:lineRule="auto"/>
    </w:pPr>
    <w:rPr>
      <w:rFonts w:eastAsiaTheme="minorEastAsia"/>
      <w:szCs w:val="20"/>
    </w:rPr>
  </w:style>
  <w:style w:type="character" w:customStyle="1" w:styleId="FootnoteTextChar">
    <w:name w:val="Footnote Text Char"/>
    <w:basedOn w:val="DefaultParagraphFont"/>
    <w:link w:val="FootnoteText"/>
    <w:uiPriority w:val="99"/>
    <w:rsid w:val="004D47F1"/>
    <w:rPr>
      <w:rFonts w:eastAsiaTheme="minorEastAsia"/>
      <w:sz w:val="20"/>
      <w:szCs w:val="20"/>
    </w:rPr>
  </w:style>
  <w:style w:type="character" w:styleId="SubtleEmphasis">
    <w:name w:val="Subtle Emphasis"/>
    <w:basedOn w:val="DefaultParagraphFont"/>
    <w:uiPriority w:val="19"/>
    <w:qFormat/>
    <w:rsid w:val="004D47F1"/>
    <w:rPr>
      <w:rFonts w:eastAsiaTheme="minorEastAsia" w:cstheme="minorBidi"/>
      <w:bCs w:val="0"/>
      <w:i/>
      <w:iCs/>
      <w:szCs w:val="22"/>
      <w:lang w:val="fr-FR"/>
    </w:rPr>
  </w:style>
  <w:style w:type="table" w:styleId="MediumShading2-Accent5">
    <w:name w:val="Medium Shading 2 Accent 5"/>
    <w:basedOn w:val="TableNormal"/>
    <w:uiPriority w:val="64"/>
    <w:rsid w:val="004D47F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tcPr>
    </w:tblStylePr>
    <w:tblStylePr w:type="firstCol">
      <w:rPr>
        <w:b/>
        <w:bCs/>
      </w:rPr>
      <w:tblPr/>
      <w:tcPr>
        <w:tcBorders>
          <w:top w:val="nil"/>
          <w:left w:val="nil"/>
          <w:bottom w:val="single" w:sz="18" w:space="0" w:color="auto"/>
          <w:right w:val="nil"/>
          <w:insideH w:val="nil"/>
          <w:insideV w:val="nil"/>
        </w:tcBorders>
      </w:tcPr>
    </w:tblStylePr>
    <w:tblStylePr w:type="lastCol">
      <w:rPr>
        <w:b/>
        <w:bCs/>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paragraph" w:customStyle="1" w:styleId="Heading31">
    <w:name w:val="Heading 31"/>
    <w:basedOn w:val="Heading2"/>
    <w:rPr>
      <w:rFonts w:ascii="Arial" w:hAnsi="Arial"/>
      <w:sz w:val="22"/>
    </w:rPr>
  </w:style>
  <w:style w:type="paragraph" w:customStyle="1" w:styleId="Heading3">
    <w:name w:val="heading 3"/>
    <w:basedOn w:val="Normal"/>
    <w:pPr>
      <w:keepNext/>
      <w:spacing w:before="160" w:after="80"/>
    </w:pPr>
    <w:rPr>
      <w:rFonts w:ascii="Times New Roman" w:hAnsi="Times New Roman"/>
      <w:b/>
      <w:color w:val="1F4E79"/>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170CFD-C308-40FA-9839-93F046788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4479</TotalTime>
  <Pages>10</Pages>
  <Words>3282</Words>
  <Characters>18712</Characters>
  <Application>Microsoft Office Word</Application>
  <DocSecurity>0</DocSecurity>
  <Lines>155</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17 — Pelvic Cavity</dc:title>
  <dc:subject>Occipito-Podal Reflex Therapy — English translation, CodexTranslationV2</dc:subject>
  <dc:creator/>
  <cp:keywords/>
  <dc:description>Revised English translation prepared from the French source; not yet published.</dc:description>
  <cp:lastModifiedBy>Nicolas Boitout</cp:lastModifiedBy>
  <cp:revision>110</cp:revision>
  <cp:lastPrinted>2026-02-03T13:48:00Z</cp:lastPrinted>
  <dcterms:created xsi:type="dcterms:W3CDTF">2025-06-01T17:14:00Z</dcterms:created>
  <dcterms:modified xsi:type="dcterms:W3CDTF">2026-08-13T09:21:00Z</dcterms:modified>
</cp:coreProperties>
</file>