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E451" w14:textId="77777777" w:rsidR="0094235B" w:rsidRDefault="00000000">
      <w:pPr>
        <w:pStyle w:val="Title"/>
        <w:keepNext/>
        <w:jc w:val="center"/>
      </w:pPr>
      <w:r>
        <w:rPr w:lang="en-US"/>
        <w:t>Chapter 21 — Erectile System</w:t>
      </w:r>
    </w:p>
    <w:p w14:paraId="3318B8FD" w14:textId="77777777" w:rsidR="0094235B" w:rsidRDefault="00000000">
      <w:pPr>
        <w:pStyle w:val="Title"/>
        <w:keepNext/>
        <w:jc w:val="center"/>
      </w:pPr>
      <w:r>
        <w:rPr w:lang="en-US"/>
        <w:t>Male and Female</w:t>
      </w:r>
    </w:p>
    <w:p w14:paraId="567D9947" w14:textId="77777777" w:rsidR="0094235B" w:rsidRDefault="00000000">
      <w:pPr>
        <w:pStyle w:val="Heading1"/>
        <w:keepNext/>
        <w:rPr>
          <w:color w:val="auto"/>
          <w:szCs w:val="24"/>
        </w:rPr>
      </w:pPr>
      <w:r>
        <w:rPr w:lang="en-US"/>
        <w:t>1. Overview</w:t>
      </w:r>
    </w:p>
    <w:p w14:paraId="2B6E0AB1" w14:textId="77777777" w:rsidR="0094235B" w:rsidRDefault="00000000">
      <w:pPr>
        <w:ind w:left="360"/>
        <w:rPr>
          <w:rFonts w:ascii="Times New Roman" w:hAnsi="Times New Roman" w:cs="Times New Roman"/>
          <w:sz w:val="24"/>
          <w:szCs w:val="24"/>
        </w:rPr>
      </w:pPr>
      <w:r>
        <w:rPr w:lang="en-US"/>
        <w:t>Sexual arousal induces erection of the erectile organs—the clitoris and penis—and vaginal lubrication, thereby facilitating sexual intercourse.</w:t>
      </w:r>
    </w:p>
    <w:p w14:paraId="379CF03C" w14:textId="77777777" w:rsidR="0094235B" w:rsidRDefault="00000000">
      <w:pPr>
        <w:pStyle w:val="Heading1"/>
        <w:keepNext/>
        <w:rPr>
          <w:rFonts w:ascii="Times New Roman" w:hAnsi="Times New Roman" w:cs="Times New Roman"/>
          <w:color w:val="auto"/>
          <w:sz w:val="24"/>
          <w:szCs w:val="24"/>
        </w:rPr>
      </w:pPr>
      <w:r>
        <w:rPr w:lang="en-US"/>
        <w:t>2. Location</w:t>
      </w:r>
    </w:p>
    <w:p w14:paraId="1AB8EFA9" w14:textId="77777777" w:rsidR="0094235B" w:rsidRDefault="00000000">
      <w:pPr>
        <w:pStyle w:val="ListParagraph"/>
        <w:widowControl/>
        <w:ind w:left="360"/>
        <w:jc w:val="both"/>
        <w:rPr>
          <w:rFonts w:ascii="Times New Roman" w:hAnsi="Times New Roman" w:cs="Times New Roman"/>
          <w:sz w:val="24"/>
          <w:szCs w:val="24"/>
        </w:rPr>
      </w:pPr>
      <w:r>
        <w:rPr w:lang="en-US"/>
        <w:t>In both men and women, the external genitalia are attached to the inferior surface of the urogenital triangle of the perineum, with which they are intimately connected.</w:t>
      </w:r>
    </w:p>
    <w:p w14:paraId="43CEF345" w14:textId="77777777" w:rsidR="0094235B" w:rsidRDefault="0094235B">
      <w:pPr>
        <w:pStyle w:val="ListParagraph"/>
        <w:widowControl/>
        <w:jc w:val="both"/>
        <w:rPr>
          <w:rFonts w:ascii="Times New Roman" w:hAnsi="Times New Roman" w:cs="Times New Roman"/>
          <w:sz w:val="24"/>
          <w:szCs w:val="24"/>
        </w:rPr>
      </w:pPr>
    </w:p>
    <w:p w14:paraId="755785D7" w14:textId="77777777" w:rsidR="0094235B" w:rsidRDefault="00000000">
      <w:pPr>
        <w:pStyle w:val="Heading1"/>
        <w:keepNext/>
        <w:rPr>
          <w:color w:val="auto"/>
        </w:rPr>
      </w:pPr>
      <w:r>
        <w:rPr w:lang="en-US"/>
        <w:t>3. Anatomy</w:t>
      </w:r>
    </w:p>
    <w:p w14:paraId="39B678E6" w14:textId="77777777" w:rsidR="0094235B" w:rsidRDefault="00000000">
      <w:pPr>
        <w:pStyle w:val="Heading2"/>
        <w:keepNext/>
        <w:jc w:val="both"/>
        <w:rPr>
          <w:rFonts w:ascii="Times New Roman" w:hAnsi="Times New Roman" w:cs="Times New Roman"/>
          <w:color w:val="FF0000"/>
          <w:sz w:val="24"/>
          <w:szCs w:val="24"/>
        </w:rPr>
      </w:pPr>
      <w:r>
        <w:rPr w:lang="en-US"/>
        <w:t>3.1. Erectile organs</w:t>
      </w:r>
    </w:p>
    <w:p w14:paraId="2848E9B2" w14:textId="77777777" w:rsidR="0094235B" w:rsidRDefault="00000000">
      <w:pPr>
        <w:pStyle w:val="ListParagraph"/>
        <w:widowControl/>
        <w:numPr>
          <w:ilvl w:val="0"/>
          <w:numId w:val="3"/>
        </w:numPr>
        <w:jc w:val="both"/>
        <w:rPr>
          <w:rFonts w:ascii="Times New Roman" w:hAnsi="Times New Roman" w:cs="Times New Roman"/>
          <w:sz w:val="24"/>
          <w:szCs w:val="24"/>
        </w:rPr>
      </w:pPr>
      <w:r>
        <w:rPr>
          <w:b/>
        </w:rPr>
        <w:t>Corpora cavernosa:</w:t>
      </w:r>
      <w:r>
        <w:t xml:space="preserve"> These paired erectile structures are attached proximally to the pubic arch. Their proximal portions are known as the crura of the clitoris or penis. Distally, they converge to form the body of the clitoris in women and the dorsal erectile bodies of the penis in men.</w:t>
      </w:r>
    </w:p>
    <w:p w14:paraId="103A18D9" w14:textId="77777777" w:rsidR="0094235B" w:rsidRDefault="00000000">
      <w:pPr>
        <w:pStyle w:val="ListParagraph"/>
        <w:widowControl/>
        <w:numPr>
          <w:ilvl w:val="0"/>
          <w:numId w:val="3"/>
        </w:numPr>
        <w:jc w:val="both"/>
        <w:rPr>
          <w:rFonts w:ascii="Times New Roman" w:hAnsi="Times New Roman" w:cs="Times New Roman"/>
          <w:sz w:val="24"/>
          <w:szCs w:val="24"/>
        </w:rPr>
      </w:pPr>
      <w:r>
        <w:rPr>
          <w:b/>
        </w:rPr>
        <w:t>Vestibular bulbs:</w:t>
      </w:r>
      <w:r>
        <w:t xml:space="preserve"> In women, these are paired erectile structures located on either side of the vaginal opening. They contribute to erectile engorgement of the vulva and are homologous to the male corpus spongiosum, but do not directly form the glans clitoris.</w:t>
      </w:r>
    </w:p>
    <w:p w14:paraId="1FD805BD" w14:textId="77777777" w:rsidR="0094235B" w:rsidRDefault="00000000">
      <w:pPr>
        <w:pStyle w:val="ListParagraph"/>
        <w:widowControl/>
        <w:numPr>
          <w:ilvl w:val="0"/>
          <w:numId w:val="3"/>
        </w:numPr>
        <w:jc w:val="both"/>
        <w:rPr>
          <w:rFonts w:ascii="Times New Roman" w:hAnsi="Times New Roman" w:cs="Times New Roman"/>
          <w:sz w:val="24"/>
          <w:szCs w:val="24"/>
        </w:rPr>
      </w:pPr>
      <w:r>
        <w:rPr>
          <w:b/>
        </w:rPr>
        <w:t>Corpus spongiosum:</w:t>
      </w:r>
      <w:r>
        <w:t xml:space="preserve"> In men, this is an unpaired midline structure that begins as an expansion—the bulb of the penis—attached to the perineal membrane. It terminates in the glans and surrounds the urethra. It contributes to expelling urethral contents during urination and semen during ejaculation.</w:t>
      </w:r>
    </w:p>
    <w:p w14:paraId="3D60F362" w14:textId="77777777" w:rsidR="0094235B" w:rsidRDefault="0094235B">
      <w:pPr>
        <w:pStyle w:val="ListParagraph"/>
        <w:widowControl/>
        <w:ind w:left="1353"/>
        <w:jc w:val="both"/>
        <w:rPr>
          <w:rFonts w:ascii="Times New Roman" w:hAnsi="Times New Roman" w:cs="Times New Roman"/>
          <w:sz w:val="24"/>
          <w:szCs w:val="24"/>
        </w:rPr>
      </w:pPr>
    </w:p>
    <w:p w14:paraId="4B65DAA1" w14:textId="77777777" w:rsidR="0094235B" w:rsidRDefault="00000000">
      <w:pPr>
        <w:pStyle w:val="Heading2"/>
        <w:keepNext/>
        <w:jc w:val="both"/>
        <w:rPr>
          <w:rFonts w:ascii="Times New Roman" w:hAnsi="Times New Roman" w:cs="Times New Roman"/>
          <w:sz w:val="24"/>
          <w:szCs w:val="24"/>
        </w:rPr>
      </w:pPr>
      <w:r>
        <w:rPr w:lang="en-US"/>
        <w:t>3.2. Muscles of the erectile organs</w:t>
      </w:r>
    </w:p>
    <w:p w14:paraId="1D813F23" w14:textId="77777777" w:rsidR="0094235B" w:rsidRDefault="00000000">
      <w:pPr>
        <w:pStyle w:val="ListParagraph"/>
        <w:widowControl/>
        <w:numPr>
          <w:ilvl w:val="0"/>
          <w:numId w:val="4"/>
        </w:numPr>
        <w:jc w:val="both"/>
        <w:rPr>
          <w:rFonts w:ascii="Times New Roman" w:hAnsi="Times New Roman" w:cs="Times New Roman"/>
          <w:sz w:val="24"/>
          <w:szCs w:val="24"/>
        </w:rPr>
      </w:pPr>
      <w:r>
        <w:rPr>
          <w:b/>
        </w:rPr>
        <w:t>Ischiocavernosus muscles:</w:t>
      </w:r>
      <w:r>
        <w:t xml:space="preserve"> These paired muscles attach to the medial borders of the ischiopubic rami and to the crura of the clitoris or penis. Their contraction propels blood from the crura toward the body of the penis or clitoris.</w:t>
      </w:r>
    </w:p>
    <w:p w14:paraId="025FE3BB" w14:textId="77777777" w:rsidR="0094235B" w:rsidRDefault="00000000">
      <w:pPr>
        <w:pStyle w:val="ListParagraph"/>
        <w:widowControl/>
        <w:numPr>
          <w:ilvl w:val="0"/>
          <w:numId w:val="4"/>
        </w:numPr>
        <w:jc w:val="both"/>
        <w:rPr>
          <w:rFonts w:ascii="Times New Roman" w:hAnsi="Times New Roman" w:cs="Times New Roman"/>
          <w:sz w:val="24"/>
          <w:szCs w:val="24"/>
        </w:rPr>
      </w:pPr>
      <w:r>
        <w:rPr>
          <w:b/>
        </w:rPr>
        <w:t>Bulbospongiosus muscles:</w:t>
      </w:r>
      <w:r>
        <w:t xml:space="preserve"> These paired muscles attach to the perineum and to the vestibular bulbs in women or the corpus spongiosum in men. Their contraction propels blood toward the penis or clitoris. In men, their reflex contractions facilitate emptying of the urethra after urination and expulsion of semen during ejaculation.</w:t>
      </w:r>
    </w:p>
    <w:p w14:paraId="33B03162" w14:textId="77777777" w:rsidR="0094235B" w:rsidRDefault="00000000">
      <w:pPr>
        <w:pStyle w:val="Heading2"/>
        <w:keepNext/>
        <w:jc w:val="both"/>
        <w:rPr>
          <w:rFonts w:ascii="Times New Roman" w:hAnsi="Times New Roman" w:cs="Times New Roman"/>
          <w:sz w:val="24"/>
          <w:szCs w:val="24"/>
        </w:rPr>
      </w:pPr>
      <w:r>
        <w:rPr w:lang="en-US"/>
        <w:t>3.3. Ligaments of the penis</w:t>
      </w:r>
    </w:p>
    <w:p w14:paraId="09635C24" w14:textId="77777777" w:rsidR="0094235B" w:rsidRDefault="00000000">
      <w:pPr>
        <w:keepNext/>
      </w:pPr>
      <w:r>
        <w:rPr w:lang="en-US"/>
        <w:t>The penis is attached by two ligaments:</w:t>
      </w:r>
    </w:p>
    <w:p w14:paraId="43D28BE6" w14:textId="77777777" w:rsidR="0094235B" w:rsidRDefault="00000000">
      <w:pPr>
        <w:pStyle w:val="ListParagraph"/>
        <w:widowControl/>
        <w:numPr>
          <w:ilvl w:val="0"/>
          <w:numId w:val="16"/>
        </w:numPr>
        <w:jc w:val="both"/>
        <w:rPr>
          <w:rFonts w:ascii="Times New Roman" w:hAnsi="Times New Roman" w:cs="Times New Roman"/>
          <w:sz w:val="24"/>
          <w:szCs w:val="24"/>
        </w:rPr>
      </w:pPr>
      <w:r>
        <w:rPr>
          <w:b/>
        </w:rPr>
        <w:t>Suspensory ligament:</w:t>
      </w:r>
      <w:r>
        <w:t xml:space="preserve"> Superiorly, it attaches to the pubic symphysis and the linea alba of the anterior abdominal wall;</w:t>
      </w:r>
    </w:p>
    <w:p w14:paraId="7F4DC095" w14:textId="77777777" w:rsidR="0094235B" w:rsidRDefault="00000000">
      <w:pPr>
        <w:pStyle w:val="ListParagraph"/>
        <w:widowControl/>
        <w:numPr>
          <w:ilvl w:val="0"/>
          <w:numId w:val="16"/>
        </w:numPr>
        <w:jc w:val="both"/>
        <w:rPr>
          <w:rFonts w:ascii="Times New Roman" w:hAnsi="Times New Roman" w:cs="Times New Roman"/>
          <w:sz w:val="24"/>
          <w:szCs w:val="24"/>
        </w:rPr>
      </w:pPr>
      <w:r>
        <w:rPr>
          <w:b/>
        </w:rPr>
        <w:t>Fundiform ligament:</w:t>
      </w:r>
      <w:r>
        <w:t xml:space="preserve"> It attaches to the linea alba.</w:t>
      </w:r>
    </w:p>
    <w:p w14:paraId="64E1FFA6" w14:textId="77777777" w:rsidR="0094235B" w:rsidRDefault="00000000">
      <w:pPr>
        <w:pStyle w:val="Heading2"/>
        <w:keepNext/>
        <w:jc w:val="both"/>
        <w:rPr>
          <w:rFonts w:ascii="Times New Roman" w:hAnsi="Times New Roman" w:cs="Times New Roman"/>
          <w:sz w:val="24"/>
          <w:szCs w:val="24"/>
        </w:rPr>
      </w:pPr>
      <w:r>
        <w:rPr w:lang="en-US"/>
        <w:t>3.4. Greater vestibular glands (Bartholin glands)</w:t>
      </w:r>
    </w:p>
    <w:p w14:paraId="4D197652" w14:textId="77777777" w:rsidR="0094235B" w:rsidRDefault="00000000">
      <w:proofErr w:type="gramStart"/>
      <w:r>
        <w:rPr w:lang="en-US"/>
        <w:t>In women, these glands lie within the perineum, posterior to the vestibular bulbs. They contribute to lubrication of the vaginal introitus. Vaginal lubrication also results from vascular transudation through the vaginal wall during sexual arousal.</w:t>
      </w:r>
      <w:proofErr w:type="gramEnd"/>
      <w:r>
        <w:rPr w:lang="en-US"/>
      </w:r>
    </w:p>
    <w:p w14:paraId="64DCFAA8" w14:textId="77777777" w:rsidR="0094235B" w:rsidRDefault="00000000">
      <w:pPr>
        <w:pStyle w:val="Heading2"/>
        <w:keepNext/>
        <w:jc w:val="both"/>
        <w:rPr>
          <w:rFonts w:ascii="Times New Roman" w:hAnsi="Times New Roman" w:cs="Times New Roman"/>
          <w:sz w:val="24"/>
          <w:szCs w:val="24"/>
        </w:rPr>
      </w:pPr>
      <w:r>
        <w:rPr w:lang="en-US"/>
        <w:t>3.5. Bulbourethral glands (Cowper glands)</w:t>
      </w:r>
    </w:p>
    <w:p w14:paraId="0C88FB31" w14:textId="77777777" w:rsidR="0094235B" w:rsidRDefault="00000000">
      <w:r>
        <w:t>In men, these glands are located in the perineum. They secrete an alkaline fluid that helps protect spermatozoa as they pass through the urethra and vagina during sexual arousal.</w:t>
      </w:r>
    </w:p>
    <w:p w14:paraId="7E193973" w14:textId="77777777" w:rsidR="0094235B" w:rsidRDefault="00000000">
      <w:pPr>
        <w:pStyle w:val="Heading1"/>
        <w:keepNext/>
        <w:rPr>
          <w:color w:val="auto"/>
        </w:rPr>
      </w:pPr>
      <w:r>
        <w:rPr w:lang="en-US"/>
        <w:t>4. Vascular Supply</w:t>
      </w:r>
    </w:p>
    <w:p w14:paraId="28BDE8E4" w14:textId="77777777" w:rsidR="0094235B" w:rsidRDefault="00000000">
      <w:pPr>
        <w:pStyle w:val="Heading2"/>
        <w:keepNext/>
        <w:jc w:val="both"/>
        <w:rPr>
          <w:rFonts w:ascii="Times New Roman" w:hAnsi="Times New Roman" w:cs="Times New Roman"/>
          <w:sz w:val="24"/>
          <w:szCs w:val="24"/>
        </w:rPr>
      </w:pPr>
      <w:r>
        <w:rPr w:lang="en-US"/>
        <w:t>4.1. Arterial supply</w:t>
      </w:r>
    </w:p>
    <w:p w14:paraId="189C2CE6" w14:textId="77777777" w:rsidR="0094235B" w:rsidRDefault="00000000">
      <w:proofErr w:type="gramStart"/>
      <w:r>
        <w:rPr w:lang="en-US"/>
        <w:t>The arterial supply is provided by terminal branches of the internal pudendal arteries, themselves anterior branches of the internal iliac arteries.</w:t>
      </w:r>
      <w:proofErr w:type="gramEnd"/>
      <w:r>
        <w:rPr w:lang="en-US"/>
      </w:r>
      <w:proofErr w:type="gramStart"/>
      <w:r>
        <w:rPr w:lang="en-US"/>
      </w:r>
      <w:proofErr w:type="gramEnd"/>
      <w:r>
        <w:rPr w:lang="en-US"/>
      </w:r>
    </w:p>
    <w:p w14:paraId="3A7344A1" w14:textId="77777777" w:rsidR="0094235B" w:rsidRDefault="00000000">
      <w:pPr>
        <w:pStyle w:val="Heading2"/>
        <w:keepNext/>
        <w:jc w:val="both"/>
        <w:rPr>
          <w:rFonts w:ascii="Times New Roman" w:hAnsi="Times New Roman" w:cs="Times New Roman"/>
          <w:sz w:val="24"/>
          <w:szCs w:val="24"/>
        </w:rPr>
      </w:pPr>
      <w:r>
        <w:rPr w:lang="en-US"/>
        <w:t>4.2. Venous drainage</w:t>
      </w:r>
    </w:p>
    <w:p w14:paraId="731C9C7E" w14:textId="77777777" w:rsidR="0094235B" w:rsidRDefault="00000000">
      <w:proofErr w:type="gramStart"/>
      <w:r>
        <w:rPr w:lang="en-US"/>
        <w:t>The internal pudendal veins accompany the internal pudendal arteries and drain primarily into the internal iliac venous system. In ROP clinical assessment, pelvic venous congestion may be taken into account; however, venous drainage of the erectile organs should not be directly equated with the hepatic portal system.</w:t>
      </w:r>
      <w:proofErr w:type="gramEnd"/>
      <w:r>
        <w:rPr w:lang="en-US"/>
      </w:r>
    </w:p>
    <w:p w14:paraId="2BAC7CF8" w14:textId="77777777" w:rsidR="0094235B" w:rsidRDefault="00000000">
      <w:pPr>
        <w:pStyle w:val="Heading1"/>
        <w:keepNext/>
        <w:rPr>
          <w:color w:val="auto"/>
        </w:rPr>
      </w:pPr>
      <w:r>
        <w:rPr w:lang="en-US"/>
        <w:t>5. Innervation</w:t>
      </w:r>
    </w:p>
    <w:p w14:paraId="1342FEDA" w14:textId="77777777" w:rsidR="0094235B" w:rsidRDefault="00000000">
      <w:pPr>
        <w:pStyle w:val="Heading2"/>
        <w:keepNext/>
        <w:jc w:val="both"/>
        <w:rPr>
          <w:rFonts w:ascii="Times New Roman" w:hAnsi="Times New Roman" w:cs="Times New Roman"/>
          <w:color w:val="FF0000"/>
          <w:sz w:val="24"/>
          <w:szCs w:val="24"/>
        </w:rPr>
      </w:pPr>
      <w:r>
        <w:rPr w:lang="en-US"/>
        <w:t>5.1. Somatic innervation</w:t>
      </w:r>
    </w:p>
    <w:p w14:paraId="0C37B2FC" w14:textId="77777777" w:rsidR="0094235B" w:rsidRDefault="00000000">
      <w:proofErr w:type="gramStart"/>
      <w:r>
        <w:rPr w:lang="en-US"/>
        <w:t>The pudendal nerve is the principal nerve of the perineum. It provides sensation to the external genitalia and somatic motor control of the striated perineal muscles, particularly the bulbospongiosus and ischiocavernosus muscles.</w:t>
      </w:r>
      <w:proofErr w:type="gramEnd"/>
      <w:r>
        <w:rPr w:lang="en-US"/>
      </w:r>
      <w:proofErr w:type="spellStart"/>
      <w:r>
        <w:rPr w:lang="en-US"/>
      </w:r>
      <w:proofErr w:type="spellEnd"/>
      <w:r>
        <w:rPr w:lang="en-US"/>
      </w:r>
      <w:proofErr w:type="spellStart"/>
      <w:r>
        <w:rPr w:lang="en-US"/>
      </w:r>
      <w:proofErr w:type="spellEnd"/>
      <w:r>
        <w:rPr w:lang="en-US"/>
      </w:r>
    </w:p>
    <w:p w14:paraId="4FDA3374" w14:textId="77777777" w:rsidR="0094235B" w:rsidRDefault="00000000">
      <w:pPr>
        <w:pStyle w:val="Heading2"/>
        <w:keepNext/>
        <w:jc w:val="both"/>
        <w:rPr>
          <w:rFonts w:ascii="Times New Roman" w:hAnsi="Times New Roman" w:cs="Times New Roman"/>
          <w:color w:val="FF0000"/>
          <w:sz w:val="24"/>
          <w:szCs w:val="24"/>
        </w:rPr>
      </w:pPr>
      <w:r>
        <w:rPr w:lang="en-US"/>
        <w:t>5.2. Autonomic innervation</w:t>
      </w:r>
    </w:p>
    <w:p w14:paraId="00F4D50B" w14:textId="77777777" w:rsidR="0094235B" w:rsidRDefault="00000000">
      <w:r>
        <w:rPr w:lang="en-US"/>
        <w:t>(Figures 4.26 and 21.5)</w:t>
      </w:r>
      <w:proofErr w:type="gramStart"/>
      <w:r>
        <w:rPr w:lang="en-US"/>
      </w:r>
      <w:proofErr w:type="gramEnd"/>
      <w:r>
        <w:rPr w:lang="en-US"/>
      </w:r>
    </w:p>
    <w:p w14:paraId="4B9DA9B0" w14:textId="77777777" w:rsidR="0094235B" w:rsidRDefault="00000000">
      <w:pPr>
        <w:pStyle w:val="Heading2"/>
        <w:keepNext/>
        <w:jc w:val="both"/>
        <w:rPr>
          <w:rFonts w:ascii="Times New Roman" w:hAnsi="Times New Roman" w:cs="Times New Roman"/>
          <w:sz w:val="24"/>
          <w:szCs w:val="24"/>
        </w:rPr>
      </w:pPr>
      <w:r>
        <w:rPr w:lang="en-US"/>
        <w:t>5.2.1. Sacral parasympathetic system (S2–S4)</w:t>
      </w:r>
    </w:p>
    <w:p w14:paraId="7A83A299" w14:textId="77777777" w:rsidR="0094235B" w:rsidRDefault="00000000">
      <w:proofErr w:type="gramStart"/>
      <w:r>
        <w:rPr w:lang="en-US"/>
        <w:t>It contributes to vasodilation and filling of the erectile tissues;</w:t>
      </w:r>
      <w:proofErr w:type="gramEnd"/>
      <w:r>
        <w:rPr w:lang="en-US"/>
      </w:r>
    </w:p>
    <w:p w14:paraId="2701AED6" w14:textId="77777777" w:rsidR="0094235B" w:rsidRDefault="00000000">
      <w:pPr>
        <w:pStyle w:val="Heading2"/>
        <w:keepNext/>
        <w:jc w:val="both"/>
        <w:rPr>
          <w:rFonts w:ascii="Times New Roman" w:hAnsi="Times New Roman" w:cs="Times New Roman"/>
          <w:sz w:val="24"/>
          <w:szCs w:val="24"/>
        </w:rPr>
      </w:pPr>
      <w:r>
        <w:rPr w:lang="en-US"/>
        <w:t>5.2.2. Thoracolumbar sympathetic system (L1–L3)</w:t>
      </w:r>
    </w:p>
    <w:p w14:paraId="069D06E9" w14:textId="77777777" w:rsidR="0094235B" w:rsidRDefault="00000000">
      <w:proofErr w:type="gramStart"/>
      <w:r>
        <w:rPr w:lang="en-US"/>
        <w:t>It is involved particularly in the emission phase of ejaculation.</w:t>
      </w:r>
      <w:proofErr w:type="gramEnd"/>
      <w:r>
        <w:rPr w:lang="en-US"/>
      </w:r>
    </w:p>
    <w:p w14:paraId="511ED0D7" w14:textId="77777777" w:rsidR="0094235B" w:rsidRDefault="00000000">
      <w:pPr>
        <w:pStyle w:val="Heading1"/>
        <w:keepNext/>
        <w:rPr>
          <w:color w:val="auto"/>
        </w:rPr>
      </w:pPr>
      <w:r>
        <w:rPr w:lang="en-US"/>
        <w:t>6. Physiology</w:t>
      </w:r>
    </w:p>
    <w:p w14:paraId="263EAACA" w14:textId="77777777" w:rsidR="0094235B" w:rsidRDefault="00000000">
      <w:pPr>
        <w:pStyle w:val="Heading2"/>
        <w:keepNext/>
        <w:rPr>
          <w:rFonts w:ascii="Times New Roman" w:hAnsi="Times New Roman" w:cs="Times New Roman"/>
          <w:sz w:val="24"/>
          <w:szCs w:val="24"/>
        </w:rPr>
      </w:pPr>
      <w:r>
        <w:rPr w:lang="en-US"/>
        <w:t>6.1. Erection</w:t>
      </w:r>
    </w:p>
    <w:p w14:paraId="4D2AC353" w14:textId="77777777" w:rsidR="0094235B" w:rsidRDefault="00000000">
      <w:proofErr w:type="gramStart"/>
      <w:r>
        <w:rPr w:lang="en-US"/>
        <w:t>Under the influence of the sacral parasympathetic outflow from S2–S4, vasodilation of the internal pudendal arteries and their branches increases blood flow to the erectile tissues of the penis and clitoris. In women, sexual arousal is also accompanied by vulvovaginal congestion and vaginal lubrication.</w:t>
      </w:r>
      <w:proofErr w:type="gramEnd"/>
      <w:r>
        <w:rPr w:lang="en-US"/>
      </w:r>
    </w:p>
    <w:p w14:paraId="7C942CFA" w14:textId="77777777" w:rsidR="0094235B" w:rsidRDefault="00000000">
      <w:pPr>
        <w:pStyle w:val="Heading2"/>
        <w:keepNext/>
        <w:rPr>
          <w:rFonts w:ascii="Times New Roman" w:hAnsi="Times New Roman" w:cs="Times New Roman"/>
          <w:sz w:val="24"/>
          <w:szCs w:val="24"/>
        </w:rPr>
      </w:pPr>
      <w:r>
        <w:rPr w:lang="en-US"/>
        <w:t>6.2. Ejaculation</w:t>
      </w:r>
    </w:p>
    <w:p w14:paraId="5B8E6D40" w14:textId="77777777" w:rsidR="0094235B" w:rsidRDefault="00000000">
      <w:proofErr w:type="gramStart"/>
      <w:r>
        <w:rPr w:lang="en-US"/>
        <w:t>Ejaculation comprises an emission phase, mediated predominantly by the sympathetic nervous system, during which secretions from the genital tract advance toward the prostatic urethra, followed by an expulsion phase involving rhythmic contraction of the bulbospongiosus muscles under pudendal somatic control.</w:t>
      </w:r>
      <w:proofErr w:type="gramEnd"/>
      <w:r>
        <w:rPr w:lang="en-US"/>
      </w:r>
      <w:proofErr w:type="spellStart"/>
      <w:r>
        <w:rPr w:lang="en-US"/>
      </w:r>
      <w:proofErr w:type="spellEnd"/>
      <w:r>
        <w:rPr w:lang="en-US"/>
      </w:r>
    </w:p>
    <w:p w14:paraId="020228F7" w14:textId="77777777" w:rsidR="0094235B" w:rsidRDefault="00000000">
      <w:pPr>
        <w:pStyle w:val="Heading2"/>
        <w:keepNext/>
        <w:rPr>
          <w:rFonts w:ascii="Times New Roman" w:hAnsi="Times New Roman" w:cs="Times New Roman"/>
          <w:sz w:val="24"/>
          <w:szCs w:val="24"/>
        </w:rPr>
      </w:pPr>
      <w:r>
        <w:rPr w:lang="en-US"/>
        <w:t>6.3. Orgasm</w:t>
      </w:r>
    </w:p>
    <w:p w14:paraId="27EA30BF" w14:textId="77777777" w:rsidR="0094235B" w:rsidRDefault="00000000">
      <w:proofErr w:type="gramStart"/>
      <w:r>
        <w:rPr w:lang="en-US"/>
        <w:t>Orgasm involves sympathetic activity in both women and men.</w:t>
      </w:r>
      <w:proofErr w:type="gramEnd"/>
      <w:r>
        <w:rPr w:lang="en-US"/>
      </w:r>
    </w:p>
    <w:p w14:paraId="5E5CDEE3" w14:textId="77777777" w:rsidR="0094235B" w:rsidRDefault="00000000">
      <w:pPr>
        <w:pStyle w:val="Heading1"/>
        <w:keepNext/>
        <w:rPr>
          <w:color w:val="auto"/>
        </w:rPr>
      </w:pPr>
      <w:r>
        <w:rPr w:lang="en-US"/>
        <w:t>7. Common Disorders</w:t>
      </w:r>
    </w:p>
    <w:p w14:paraId="2BDF9098" w14:textId="77777777" w:rsidR="0094235B" w:rsidRDefault="00000000">
      <w:pPr>
        <w:pStyle w:val="Heading2"/>
        <w:keepNext/>
        <w:rPr>
          <w:rFonts w:ascii="Times New Roman" w:hAnsi="Times New Roman" w:cs="Times New Roman"/>
          <w:sz w:val="24"/>
          <w:szCs w:val="24"/>
        </w:rPr>
      </w:pPr>
      <w:r>
        <w:rPr w:lang="en-US"/>
        <w:t>7.1. Gonadal insufficiency</w:t>
      </w:r>
    </w:p>
    <w:p w14:paraId="3ABAE0CD" w14:textId="77777777" w:rsidR="0094235B" w:rsidRDefault="00000000">
      <w:r>
        <w:t>Reduced fertility, decreased libido, dysmenorrhea, premature menopause, and early androgen deficiency in men. (See Chapter 5—Stress Mechanisms.)</w:t>
      </w:r>
    </w:p>
    <w:p w14:paraId="2E4EDA30" w14:textId="77777777" w:rsidR="0094235B" w:rsidRDefault="00000000">
      <w:pPr>
        <w:pStyle w:val="Heading2"/>
        <w:keepNext/>
        <w:rPr>
          <w:rFonts w:ascii="Times New Roman" w:hAnsi="Times New Roman" w:cs="Times New Roman"/>
          <w:color w:val="FF0000"/>
          <w:sz w:val="24"/>
          <w:szCs w:val="24"/>
        </w:rPr>
      </w:pPr>
      <w:r>
        <w:rPr w:lang="en-US"/>
        <w:t>7.2. Male sexual dysfunction</w:t>
      </w:r>
    </w:p>
    <w:p w14:paraId="22152261" w14:textId="77777777" w:rsidR="0094235B" w:rsidRDefault="00000000">
      <w:proofErr w:type="gramStart"/>
      <w:r>
        <w:rPr w:lang="en-US"/>
        <w:t>Sexual dysfunction is varied and common: loss of libido, episodic sexual performance difficulties, erectile dysfunction, premature ejaculation, inability to ejaculate, and pain during intercourse. (See Chapter 16—Kidneys, Venous Supply, Left Kidney.)</w:t>
      </w:r>
      <w:proofErr w:type="gramEnd"/>
      <w:r>
        <w:rPr w:lang="en-US"/>
      </w:r>
    </w:p>
    <w:p w14:paraId="1FD4ACE5" w14:textId="77777777" w:rsidR="0094235B" w:rsidRDefault="00000000">
      <w:pPr>
        <w:pStyle w:val="Heading2"/>
        <w:keepNext/>
        <w:rPr>
          <w:rFonts w:ascii="Times New Roman" w:hAnsi="Times New Roman" w:cs="Times New Roman"/>
          <w:sz w:val="24"/>
          <w:szCs w:val="24"/>
        </w:rPr>
      </w:pPr>
      <w:r>
        <w:rPr w:lang="en-US"/>
        <w:t>7.3. Female sexual dysfunction</w:t>
      </w:r>
    </w:p>
    <w:p w14:paraId="3CF995DF" w14:textId="77777777" w:rsidR="0094235B" w:rsidRDefault="00000000">
      <w:proofErr w:type="gramStart"/>
      <w:r>
        <w:rPr w:lang="en-US"/>
        <w:t>Sexual dysfunction is likewise varied and common: lack of sexual interest (low libido), vaginal dryness, pain during intercourse, vaginismus (painful spasms of the vaginal muscles), and anorgasmia.</w:t>
      </w:r>
      <w:proofErr w:type="gramEnd"/>
      <w:r>
        <w:rPr w:lang="en-US"/>
      </w:r>
    </w:p>
    <w:p w14:paraId="4DF76D31" w14:textId="77777777" w:rsidR="0094235B" w:rsidRDefault="00000000">
      <w:pPr>
        <w:pStyle w:val="Heading2"/>
        <w:keepNext/>
        <w:rPr>
          <w:rFonts w:ascii="Times New Roman" w:hAnsi="Times New Roman" w:cs="Times New Roman"/>
          <w:sz w:val="24"/>
          <w:szCs w:val="24"/>
        </w:rPr>
      </w:pPr>
      <w:r>
        <w:rPr w:lang="en-US"/>
        <w:t>7.4. Organic causes</w:t>
      </w:r>
    </w:p>
    <w:p w14:paraId="2824E132" w14:textId="77777777" w:rsidR="0094235B" w:rsidRDefault="00000000">
      <w:proofErr w:type="gramStart"/>
      <w:r>
        <w:rPr w:lang="en-US"/>
        <w:t>Diabetes mellitus, hyperlipidemia, hypertension, coronary artery disease, stroke, and obesity.</w:t>
      </w:r>
      <w:proofErr w:type="gramEnd"/>
      <w:r>
        <w:rPr w:lang="en-US"/>
      </w:r>
      <w:proofErr w:type="gramStart"/>
      <w:r>
        <w:rPr w:lang="en-US"/>
      </w:r>
      <w:proofErr w:type="gramEnd"/>
      <w:r>
        <w:rPr w:lang="en-US"/>
      </w:r>
    </w:p>
    <w:p w14:paraId="29E00053" w14:textId="77777777" w:rsidR="0094235B" w:rsidRDefault="00000000">
      <w:pPr>
        <w:pStyle w:val="Heading2"/>
        <w:keepNext/>
        <w:rPr>
          <w:rFonts w:ascii="Times New Roman" w:hAnsi="Times New Roman" w:cs="Times New Roman"/>
          <w:color w:val="FF0000"/>
          <w:sz w:val="24"/>
          <w:szCs w:val="24"/>
        </w:rPr>
      </w:pPr>
      <w:r>
        <w:rPr w:lang="en-US"/>
        <w:t>7.5. Psycho-emotional causes</w:t>
      </w:r>
    </w:p>
    <w:p w14:paraId="11793CBB" w14:textId="77777777" w:rsidR="0094235B" w:rsidRDefault="00000000">
      <w:r>
        <w:rPr w:lang="en-US"/>
        <w:t>Psycho-emotional factors are discussed in Section 9, “Viscero-emotional Relationships.”</w:t>
      </w:r>
    </w:p>
    <w:p w14:paraId="731B9DD5" w14:textId="77777777" w:rsidR="0094235B" w:rsidRDefault="00000000">
      <w:pPr>
        <w:pStyle w:val="Heading1"/>
        <w:keepNext/>
        <w:rPr>
          <w:rFonts w:ascii="Times New Roman" w:hAnsi="Times New Roman" w:cs="Times New Roman"/>
          <w:sz w:val="24"/>
          <w:szCs w:val="24"/>
        </w:rPr>
      </w:pPr>
      <w:r>
        <w:rPr w:lang="en-US"/>
        <w:t>8. Viscerosomatic Relationships</w:t>
      </w:r>
    </w:p>
    <w:p w14:paraId="0582F4A9" w14:textId="77777777" w:rsidR="0094235B" w:rsidRDefault="00000000">
      <w:pPr>
        <w:pStyle w:val="ListParagraph"/>
        <w:widowControl/>
        <w:numPr>
          <w:ilvl w:val="0"/>
          <w:numId w:val="9"/>
        </w:numPr>
        <w:rPr>
          <w:rFonts w:ascii="Times New Roman" w:hAnsi="Times New Roman" w:cs="Times New Roman"/>
          <w:sz w:val="24"/>
          <w:szCs w:val="24"/>
        </w:rPr>
      </w:pPr>
      <w:r>
        <w:rPr w:lang="en-US"/>
        <w:t>Sacrum, coccyx</w:t>
      </w:r>
    </w:p>
    <w:p w14:paraId="0BF0A9AD" w14:textId="77777777" w:rsidR="0094235B" w:rsidRDefault="00000000">
      <w:pPr>
        <w:pStyle w:val="Heading1"/>
        <w:keepNext/>
        <w:rPr>
          <w:rFonts w:ascii="Times New Roman" w:hAnsi="Times New Roman" w:cs="Times New Roman"/>
          <w:color w:val="FF0000"/>
          <w:sz w:val="24"/>
          <w:szCs w:val="24"/>
        </w:rPr>
      </w:pPr>
      <w:r>
        <w:rPr w:lang="en-US"/>
        <w:t>9. Viscero-emotional Relationships</w:t>
      </w:r>
    </w:p>
    <w:p w14:paraId="2AAA00C1" w14:textId="77777777" w:rsidR="0094235B" w:rsidRDefault="00000000">
      <w:pPr>
        <w:ind w:left="708"/>
        <w:rPr>
          <w:rFonts w:ascii="Times New Roman" w:eastAsiaTheme="majorEastAsia" w:hAnsi="Times New Roman" w:cs="Times New Roman"/>
          <w:bCs/>
          <w:sz w:val="24"/>
          <w:szCs w:val="24"/>
        </w:rPr>
      </w:pPr>
      <w:r>
        <w:rPr w:lang="en-US"/>
        <w:t>Distinguishing physical from psycho-emotional causes is not always straightforward; the latter are numerous and common in both sexes.</w:t>
      </w:r>
    </w:p>
    <w:p w14:paraId="56EBBAB6" w14:textId="77777777" w:rsidR="0094235B" w:rsidRDefault="00000000">
      <w:pPr>
        <w:ind w:left="708"/>
        <w:rPr>
          <w:rFonts w:ascii="Times New Roman" w:hAnsi="Times New Roman" w:cs="Times New Roman"/>
          <w:sz w:val="24"/>
          <w:szCs w:val="24"/>
        </w:rPr>
      </w:pPr>
      <w:r>
        <w:t>In men, and even more so in women, sexuality engages the mind and emotions as much as the body. Psycho-emotional stressors may hinder a fulfilling sexual life: low self-esteem, anxiety, stress, performance anxiety, depression, relationship conflict, religious or educational taboos, and past sexual trauma (incest, rape, unwanted sexual touching, etc.).</w:t>
      </w:r>
    </w:p>
    <w:p w14:paraId="2C66C6B6" w14:textId="77777777" w:rsidR="0094235B" w:rsidRDefault="0094235B"/>
    <w:p w14:paraId="7DE211D9" w14:textId="77777777" w:rsidR="00547C3F" w:rsidRDefault="00000000">
      <w:pPr>
        <w:pStyle w:val="Heading1"/>
        <w:keepNext/>
      </w:pPr>
      <w:r>
        <w:rPr w:lang="en-US"/>
        <w:t>10. ROP Reflex Zones</w:t>
      </w:r>
    </w:p>
    <w:p w14:paraId="64D3BAF3" w14:textId="591DC342" w:rsidR="00547C3F" w:rsidRDefault="00000000">
      <w:r>
        <w:rPr w:lang="en-US"/>
        <w:t>The locations described below form part of the ROP clinical map. Their selection depends on the history, examination findings, palpatory responses, and the functional disorder under consideration.</w:t>
      </w:r>
      <w:r w:rsidR="00A75DC5">
        <w:rPr w:lang="en-US"/>
      </w:r>
      <w:r>
        <w:rPr w:lang="en-US"/>
      </w:r>
    </w:p>
    <w:p w14:paraId="29B7E5B4" w14:textId="77777777" w:rsidR="00547C3F" w:rsidRDefault="00000000">
      <w:r>
        <w:rPr w:lang="en-US"/>
        <w:t>For the erectile system, reflex-zone assessment may be organized according to the four levels of the ROP protocol. Distinguishing autonomic pathways, somatic innervation, erectile structures, and central integration helps prevent mechanisms of differing natures from being conflated.</w:t>
      </w:r>
    </w:p>
    <w:p w14:paraId="0EF3F3AC" w14:textId="77777777" w:rsidR="00547C3F" w:rsidRDefault="00000000">
      <w:pPr>
        <w:pStyle w:val="Heading2"/>
        <w:keepNext/>
      </w:pPr>
      <w:r>
        <w:rPr w:lang="en-US"/>
        <w:t>10.1. Level 1—Regulation by Higher Centers</w:t>
      </w:r>
    </w:p>
    <w:p w14:paraId="4216B8FC" w14:textId="77777777" w:rsidR="00A75DC5" w:rsidRDefault="00A75DC5">
      <w:pPr>
        <w:pStyle w:val="ListParagraph"/>
        <w:widowControl/>
      </w:pPr>
    </w:p>
    <w:p w14:paraId="56C7045C" w14:textId="65D89D48" w:rsidR="00547C3F" w:rsidRDefault="00000000">
      <w:pPr>
        <w:pStyle w:val="ListParagraph"/>
        <w:widowControl/>
        <w:numPr>
          <w:ilvl w:val="0"/>
          <w:numId w:val="9"/>
        </w:numPr>
      </w:pPr>
      <w:r>
        <w:t>Occipital reflex zones.</w:t>
      </w:r>
    </w:p>
    <w:p w14:paraId="2BFF2BF1" w14:textId="77777777" w:rsidR="00547C3F" w:rsidRDefault="00000000">
      <w:pPr>
        <w:pStyle w:val="ListParagraph"/>
        <w:widowControl/>
        <w:numPr>
          <w:ilvl w:val="0"/>
          <w:numId w:val="9"/>
        </w:numPr>
      </w:pPr>
      <w:r>
        <w:t>Diencephalon, particularly the hypothalamus, in neuroendocrine and autonomic regulation.</w:t>
      </w:r>
    </w:p>
    <w:p w14:paraId="77459351" w14:textId="77777777" w:rsidR="00547C3F" w:rsidRDefault="00000000">
      <w:pPr>
        <w:pStyle w:val="ListParagraph"/>
        <w:widowControl/>
        <w:numPr>
          <w:ilvl w:val="0"/>
          <w:numId w:val="9"/>
        </w:numPr>
      </w:pPr>
      <w:r>
        <w:t>Central and corticolimbic networks involved in perception, motivation, and emotional context.</w:t>
      </w:r>
    </w:p>
    <w:p w14:paraId="4331714D" w14:textId="77777777" w:rsidR="00547C3F" w:rsidRDefault="00000000">
      <w:r>
        <w:rPr w:lang="en-US"/>
        <w:t>See Chapter 3—Central Nervous System, Level 1: Regulation by Higher Centers.</w:t>
      </w:r>
    </w:p>
    <w:p w14:paraId="5AD47FF2" w14:textId="77777777" w:rsidR="00547C3F" w:rsidRDefault="00000000">
      <w:pPr>
        <w:pStyle w:val="Heading2"/>
        <w:keepNext/>
      </w:pPr>
      <w:r>
        <w:rPr w:lang="en-US"/>
        <w:t>10.2. Level 2—Autonomic Regulation and Adaptation</w:t>
      </w:r>
    </w:p>
    <w:p w14:paraId="253D531D" w14:textId="77777777" w:rsidR="00547C3F" w:rsidRDefault="00000000">
      <w:r>
        <w:rPr w:lang="en-US"/>
        <w:t>Level 2 is essential to erectile function because erection and certain phases of the sexual response depend on coordination between parasympathetic and sympathetic pathways.</w:t>
      </w:r>
    </w:p>
    <w:p w14:paraId="3CAA3E1A" w14:textId="77777777" w:rsidR="00547C3F" w:rsidRDefault="00000000">
      <w:pPr>
        <w:pStyle w:val="ListParagraph"/>
        <w:widowControl/>
        <w:numPr>
          <w:ilvl w:val="0"/>
          <w:numId w:val="9"/>
        </w:numPr>
      </w:pPr>
      <w:r>
        <w:t>Pelvic parasympathetic outflow (S2–S4): associated with vasodilation and filling of erectile tissues.</w:t>
      </w:r>
    </w:p>
    <w:p w14:paraId="6A1D389F" w14:textId="77777777" w:rsidR="00547C3F" w:rsidRDefault="00000000">
      <w:pPr>
        <w:pStyle w:val="ListParagraph"/>
        <w:widowControl/>
        <w:numPr>
          <w:ilvl w:val="0"/>
          <w:numId w:val="9"/>
        </w:numPr>
      </w:pPr>
      <w:r>
        <w:t>Thoracolumbar sympathetic outflow: described in this chapter around L1–L3 and involved particularly in the ejaculatory phase.</w:t>
      </w:r>
    </w:p>
    <w:p w14:paraId="7E12090B" w14:textId="77777777" w:rsidR="00547C3F" w:rsidRDefault="00000000">
      <w:pPr>
        <w:pStyle w:val="ListParagraph"/>
        <w:widowControl/>
        <w:numPr>
          <w:ilvl w:val="0"/>
          <w:numId w:val="9"/>
        </w:numPr>
      </w:pPr>
      <w:r>
        <w:t>Inferior hypogastric plexus and pelvic autonomic networks: a functional crossroads between the sympathetic and parasympathetic pathways supplying the pelvic organs.</w:t>
      </w:r>
    </w:p>
    <w:p w14:paraId="14F1F0AC" w14:textId="77777777" w:rsidR="00547C3F" w:rsidRDefault="00000000">
      <w:pPr>
        <w:pStyle w:val="ListParagraph"/>
        <w:widowControl/>
        <w:numPr>
          <w:ilvl w:val="0"/>
          <w:numId w:val="9"/>
        </w:numPr>
      </w:pPr>
      <w:r>
        <w:t>Autonomic coordination: a functional interpretation of the arousal–erection–emission sequence should be favored over isolated stimulation of either the sympathetic or parasympathetic system.</w:t>
      </w:r>
    </w:p>
    <w:p w14:paraId="20AAABC3" w14:textId="77777777" w:rsidR="00547C3F" w:rsidRDefault="00000000">
      <w:r>
        <w:rPr w:lang="en-US"/>
        <w:t>See Chapter 4—Autonomic Nervous System, particularly the sections on the pelvic parasympathetic outflow, thoracolumbar sympathetic outflow, and pelvic previsceral plexus.</w:t>
      </w:r>
      <w:proofErr w:type="spellStart"/>
      <w:r>
        <w:rPr w:lang="en-US"/>
      </w:r>
      <w:proofErr w:type="spellEnd"/>
      <w:r>
        <w:rPr w:lang="en-US"/>
      </w:r>
    </w:p>
    <w:p w14:paraId="4E8C10EF" w14:textId="77777777" w:rsidR="00547C3F" w:rsidRDefault="00000000">
      <w:pPr>
        <w:pStyle w:val="Heading2"/>
        <w:keepNext/>
      </w:pPr>
      <w:r>
        <w:rPr w:lang="en-US"/>
        <w:t>10.3. Level 3—Local and Regional Visceral Regulation</w:t>
      </w:r>
    </w:p>
    <w:p w14:paraId="6E728A65" w14:textId="7CC36F9D" w:rsidR="00547C3F" w:rsidRDefault="00000000">
      <w:r>
        <w:rPr w:lang="en-US"/>
        <w:t>Level 3 encompasses the erectile structures and their immediate pelvic environment.</w:t>
      </w:r>
    </w:p>
    <w:p w14:paraId="3B344246" w14:textId="77777777" w:rsidR="00547C3F" w:rsidRDefault="00000000">
      <w:pPr>
        <w:pStyle w:val="Heading3"/>
        <w:keepNext/>
      </w:pPr>
      <w:r>
        <w:t>Key foot landmarks</w:t>
      </w:r>
    </w:p>
    <w:p w14:paraId="5EDF3B63" w14:textId="77777777" w:rsidR="00547C3F" w:rsidRDefault="00000000">
      <w:pPr>
        <w:pStyle w:val="ListParagraph"/>
        <w:widowControl/>
        <w:numPr>
          <w:ilvl w:val="0"/>
          <w:numId w:val="9"/>
        </w:numPr>
      </w:pPr>
      <w:r>
        <w:t>Pudendal nerve (S2–S4): lateral aspect of the heel, corresponding on the ROP map to the sacral plexus and ischial spine region.</w:t>
      </w:r>
    </w:p>
    <w:p w14:paraId="34F63B81" w14:textId="77777777" w:rsidR="00547C3F" w:rsidRDefault="00000000">
      <w:pPr>
        <w:pStyle w:val="ListParagraph"/>
        <w:widowControl/>
        <w:numPr>
          <w:ilvl w:val="0"/>
          <w:numId w:val="9"/>
        </w:numPr>
      </w:pPr>
      <w:r>
        <w:t>Continuation of the pudendal pathway: plantar aspect of the heel, then the medial border of the ischiopubic ramus.</w:t>
      </w:r>
    </w:p>
    <w:p w14:paraId="655584F9" w14:textId="77777777" w:rsidR="00547C3F" w:rsidRDefault="00000000">
      <w:pPr>
        <w:pStyle w:val="ListParagraph"/>
        <w:widowControl/>
        <w:numPr>
          <w:ilvl w:val="0"/>
          <w:numId w:val="9"/>
        </w:numPr>
      </w:pPr>
      <w:r>
        <w:t>Corpora cavernosa and ischiocavernosus muscles: medial border of the ischiopubic rami.</w:t>
      </w:r>
    </w:p>
    <w:p w14:paraId="1CDB3EBE" w14:textId="77777777" w:rsidR="00547C3F" w:rsidRDefault="00000000">
      <w:pPr>
        <w:pStyle w:val="ListParagraph"/>
        <w:widowControl/>
        <w:numPr>
          <w:ilvl w:val="0"/>
          <w:numId w:val="9"/>
        </w:numPr>
      </w:pPr>
      <w:r>
        <w:t>Erectile organs: medial end of the iliopubic ramus, at the anterior border of the heel.</w:t>
      </w:r>
    </w:p>
    <w:p w14:paraId="2202C349" w14:textId="77777777" w:rsidR="00547C3F" w:rsidRDefault="00000000">
      <w:pPr>
        <w:pStyle w:val="ListParagraph"/>
        <w:widowControl/>
        <w:numPr>
          <w:ilvl w:val="0"/>
          <w:numId w:val="9"/>
        </w:numPr>
      </w:pPr>
      <w:r>
        <w:t>Sacrotuberous and sacrospinous ligaments: posterior border of the heels.</w:t>
      </w:r>
    </w:p>
    <w:p w14:paraId="5F0A8D34" w14:textId="77777777" w:rsidR="00547C3F" w:rsidRDefault="00000000">
      <w:r>
        <w:rPr w:lang="en-US"/>
        <w:t>These locations constitute ROP clinical landmarks. They are subsequently prioritized according to the predominant mechanism and clinical context.</w:t>
      </w:r>
    </w:p>
    <w:p w14:paraId="32D7DAE2" w14:textId="77777777" w:rsidR="00547C3F" w:rsidRDefault="00000000">
      <w:r>
        <w:rPr w:lang="en-US"/>
        <w:t>The pudendal nerve is a somatic pathway distinct from the pelvic autonomic pathways. It provides sensation to the external genitalia and contributes to motor control of the striated perineal muscles.</w:t>
      </w:r>
    </w:p>
    <w:p w14:paraId="1DF4E586" w14:textId="77777777" w:rsidR="00547C3F" w:rsidRDefault="00000000">
      <w:pPr>
        <w:pStyle w:val="ListParagraph"/>
        <w:widowControl/>
        <w:numPr>
          <w:ilvl w:val="0"/>
          <w:numId w:val="9"/>
        </w:numPr>
      </w:pPr>
      <w:r>
        <w:t>Inguinal ligament and inguinal canal.</w:t>
      </w:r>
    </w:p>
    <w:p w14:paraId="5715FBDA" w14:textId="77777777" w:rsidR="00547C3F" w:rsidRDefault="00000000">
      <w:r>
        <w:rPr w:lang="en-US"/>
        <w:t>See Chapter 17—Pelvic Cavity; see Chapter 19—Female Genital Organs; see Chapter 20—Male Genital Organs.</w:t>
      </w:r>
    </w:p>
    <w:p w14:paraId="016BC08D" w14:textId="7DAEB47B" w:rsidR="00547C3F" w:rsidRDefault="00000000">
      <w:pPr>
        <w:pStyle w:val="Heading2"/>
        <w:keepNext/>
      </w:pPr>
      <w:r>
        <w:rPr w:lang="en-US"/>
        <w:t>10.4. Level 4—Viscerosomatic and Viscero-emotional Integration</w:t>
      </w:r>
      <w:r w:rsidR="00A75DC5">
        <w:rPr w:lang="en-US"/>
      </w:r>
      <w:r>
        <w:rPr w:lang="en-US"/>
      </w:r>
    </w:p>
    <w:p w14:paraId="1DC69959" w14:textId="77777777" w:rsidR="00547C3F" w:rsidRDefault="00000000">
      <w:r>
        <w:rPr w:lang="en-US"/>
        <w:t>The erectile system has a major somatic component mediated by the pudendal nerve and perineal muscles, together with strong integration of bodily, relational, and emotional experience.</w:t>
      </w:r>
    </w:p>
    <w:p w14:paraId="66F5A0AE" w14:textId="77777777" w:rsidR="00547C3F" w:rsidRDefault="00000000">
      <w:pPr>
        <w:pStyle w:val="Heading3"/>
        <w:keepNext/>
      </w:pPr>
      <w:r>
        <w:rPr w:lang="en-US"/>
        <w:t>10.4.1. Viscerosomatic integration</w:t>
      </w:r>
    </w:p>
    <w:p w14:paraId="78222523" w14:textId="77777777" w:rsidR="00547C3F" w:rsidRDefault="00000000">
      <w:pPr>
        <w:pStyle w:val="ListParagraph"/>
        <w:widowControl/>
        <w:numPr>
          <w:ilvl w:val="0"/>
          <w:numId w:val="9"/>
        </w:numPr>
      </w:pPr>
      <w:r>
        <w:t>Pelvic floor.</w:t>
      </w:r>
    </w:p>
    <w:p w14:paraId="50F7A3DA" w14:textId="77777777" w:rsidR="00547C3F" w:rsidRDefault="00000000">
      <w:pPr>
        <w:pStyle w:val="ListParagraph"/>
        <w:widowControl/>
        <w:numPr>
          <w:ilvl w:val="0"/>
          <w:numId w:val="9"/>
        </w:numPr>
      </w:pPr>
      <w:r>
        <w:t>Sacrum and coccyx.</w:t>
      </w:r>
    </w:p>
    <w:p w14:paraId="4755D104" w14:textId="77777777" w:rsidR="00547C3F" w:rsidRDefault="00000000">
      <w:pPr>
        <w:pStyle w:val="ListParagraph"/>
        <w:widowControl/>
        <w:numPr>
          <w:ilvl w:val="0"/>
          <w:numId w:val="9"/>
        </w:numPr>
      </w:pPr>
      <w:r>
        <w:t>Ischial spine and ischiopubic rami.</w:t>
      </w:r>
    </w:p>
    <w:p w14:paraId="424052BB" w14:textId="77777777" w:rsidR="00547C3F" w:rsidRDefault="00000000">
      <w:pPr>
        <w:pStyle w:val="ListParagraph"/>
        <w:widowControl/>
        <w:numPr>
          <w:ilvl w:val="0"/>
          <w:numId w:val="9"/>
        </w:numPr>
      </w:pPr>
      <w:r>
        <w:t>Sacrotuberous and sacrospinous ligaments: posterior border of the heels.</w:t>
      </w:r>
    </w:p>
    <w:p w14:paraId="38B2A654" w14:textId="77777777" w:rsidR="00547C3F" w:rsidRDefault="00000000">
      <w:pPr>
        <w:pStyle w:val="ListParagraph"/>
        <w:widowControl/>
        <w:numPr>
          <w:ilvl w:val="0"/>
          <w:numId w:val="9"/>
        </w:numPr>
      </w:pPr>
      <w:r>
        <w:t>Greater sciatic foramen, piriformis muscle, sacral plexus, and pudendal nerve.</w:t>
      </w:r>
    </w:p>
    <w:p w14:paraId="38A3A88D" w14:textId="77777777" w:rsidR="00547C3F" w:rsidRDefault="00000000">
      <w:pPr>
        <w:pStyle w:val="ListParagraph"/>
        <w:widowControl/>
        <w:numPr>
          <w:ilvl w:val="0"/>
          <w:numId w:val="9"/>
        </w:numPr>
      </w:pPr>
      <w:r>
        <w:t>Lesser sciatic foramen, obturator muscles, and gemelli muscles.</w:t>
      </w:r>
    </w:p>
    <w:p w14:paraId="7986005C" w14:textId="77777777" w:rsidR="00547C3F" w:rsidRDefault="00000000">
      <w:pPr>
        <w:pStyle w:val="Heading3"/>
        <w:keepNext/>
      </w:pPr>
      <w:r>
        <w:rPr w:lang="en-US"/>
        <w:t>10.4.2. Viscero-emotional balance</w:t>
      </w:r>
    </w:p>
    <w:p w14:paraId="24C8D324" w14:textId="77777777" w:rsidR="00547C3F" w:rsidRDefault="00000000">
      <w:r>
        <w:rPr w:lang="en-US"/>
        <w:t>It is not always possible to distinguish the respective contributions of physical and psycho-emotional factors to sexual dysfunction in either women or men.</w:t>
      </w:r>
    </w:p>
    <w:p w14:paraId="4758E086" w14:textId="77777777" w:rsidR="00547C3F" w:rsidRDefault="00000000">
      <w:r>
        <w:rPr w:lang="en-US"/>
        <w:t>Sexuality encompasses cognitive, emotional, and bodily dimensions. Factors such as stress, low self-esteem, anxiety or performance anxiety, depression, relationship conflict, religious or educational taboos, and a history of sexual trauma may be associated with sexual difficulties and may modulate the individual’s experience, without necessarily establishing a psychological cause for the disorder.</w:t>
      </w:r>
    </w:p>
    <w:p w14:paraId="37AA435B" w14:textId="77777777" w:rsidR="00547C3F" w:rsidRDefault="00000000">
      <w:pPr>
        <w:pStyle w:val="ListParagraph"/>
        <w:widowControl/>
        <w:numPr>
          <w:ilvl w:val="0"/>
          <w:numId w:val="9"/>
        </w:numPr>
      </w:pPr>
      <w:r>
        <w:t>Limbic system.</w:t>
      </w:r>
    </w:p>
    <w:p w14:paraId="19E6C943" w14:textId="77777777" w:rsidR="00547C3F" w:rsidRDefault="00000000">
      <w:pPr>
        <w:pStyle w:val="ListParagraph"/>
        <w:widowControl/>
        <w:numPr>
          <w:ilvl w:val="0"/>
          <w:numId w:val="9"/>
        </w:numPr>
      </w:pPr>
      <w:r>
        <w:t>Olfactory nerve (CN I): an associated sensory landmark on the ROP map.</w:t>
      </w:r>
    </w:p>
    <w:p w14:paraId="45C3C297" w14:textId="77777777" w:rsidR="00547C3F" w:rsidRDefault="00000000">
      <w:r>
        <w:rPr w:lang="en-US"/>
        <w:t>See Chapter 3—Central Nervous System, for the central and corticolimbic networks; see Section 9, “Viscero-emotional Relationships,” in this chapter.</w:t>
      </w:r>
    </w:p>
    <w:p w14:paraId="4778924D" w14:textId="77777777" w:rsidR="00547C3F" w:rsidRDefault="00000000">
      <w:pPr>
        <w:pStyle w:val="Heading2"/>
        <w:keepNext/>
      </w:pPr>
      <w:r>
        <w:rPr w:lang="en-US"/>
        <w:t>10.5. Clinical Interpretation According to the Disorder</w:t>
      </w:r>
    </w:p>
    <w:p w14:paraId="77916113" w14:textId="77777777" w:rsidR="00547C3F" w:rsidRDefault="00000000">
      <w:r>
        <w:rPr w:lang="en-US"/>
        <w:t>The hierarchy of levels varies with the presenting complaint and should not be applied as a rigid sequence.</w:t>
      </w:r>
    </w:p>
    <w:p w14:paraId="1F46033A" w14:textId="77777777" w:rsidR="00547C3F" w:rsidRDefault="00000000">
      <w:pPr>
        <w:pStyle w:val="ListParagraph"/>
        <w:widowControl/>
        <w:numPr>
          <w:ilvl w:val="0"/>
          <w:numId w:val="9"/>
        </w:numPr>
      </w:pPr>
      <w:r>
        <w:t>Erectile dysfunction: Levels 2, 3, and 4 are frequently important, together with Level 1 when desire, anticipation, or anxiety contributes to the clinical presentation.</w:t>
      </w:r>
    </w:p>
    <w:p w14:paraId="5BF67C25" w14:textId="77777777" w:rsidR="00547C3F" w:rsidRDefault="00000000">
      <w:pPr>
        <w:pStyle w:val="ListParagraph"/>
        <w:widowControl/>
        <w:numPr>
          <w:ilvl w:val="0"/>
          <w:numId w:val="9"/>
        </w:numPr>
      </w:pPr>
      <w:r>
        <w:t>Disorders of arousal or lubrication in women: integration of Levels 2 and 3, with Level 4 when pain, stress, or relationship factors are present.</w:t>
      </w:r>
    </w:p>
    <w:p w14:paraId="1A057A80" w14:textId="77777777" w:rsidR="00547C3F" w:rsidRDefault="00000000">
      <w:pPr>
        <w:pStyle w:val="ListParagraph"/>
        <w:widowControl/>
        <w:numPr>
          <w:ilvl w:val="0"/>
          <w:numId w:val="9"/>
        </w:numPr>
      </w:pPr>
      <w:r>
        <w:t>Premature ejaculation or difficulty ejaculating: an assessment combining autonomic regulation, pudendal innervation, and the central or emotional context.</w:t>
      </w:r>
    </w:p>
    <w:p w14:paraId="5F3938EB" w14:textId="77777777" w:rsidR="00547C3F" w:rsidRDefault="00000000">
      <w:pPr>
        <w:pStyle w:val="ListParagraph"/>
        <w:widowControl/>
        <w:numPr>
          <w:ilvl w:val="0"/>
          <w:numId w:val="9"/>
        </w:numPr>
      </w:pPr>
      <w:r>
        <w:t>Anorgasmia or orgasmic difficulties: an integrated assessment of somatic, autonomic, central, and relational components should be favored, without reducing orgasm to a single branch of the autonomic nervous system.</w:t>
      </w:r>
    </w:p>
    <w:p w14:paraId="314986F5" w14:textId="77777777" w:rsidR="00547C3F" w:rsidRDefault="00000000">
      <w:pPr>
        <w:pStyle w:val="ListParagraph"/>
        <w:widowControl/>
        <w:numPr>
          <w:ilvl w:val="0"/>
          <w:numId w:val="9"/>
        </w:numPr>
      </w:pPr>
      <w:r>
        <w:t>Sexual or perineal pain: organic causes should first be excluded, followed by integrated assessment of the pelvis, pelvic floor, pudendal nerve, and relevant genital structures.</w:t>
      </w:r>
    </w:p>
    <w:p w14:paraId="6CCB3AF2" w14:textId="77777777" w:rsidR="00547C3F" w:rsidRDefault="00000000">
      <w:r>
        <w:rPr w:lang="en-US">
          <w:b/>
        </w:rPr>
        <w:t>Safety principle. Erectile, lubrication, ejaculatory, or orgasmic dysfunction, as well as sexual pain, may have a vascular, neurologic, endocrine, medication-related, gynecologic, urologic, or psychological cause. ROP does not replace diagnostic evaluation or medical or sexological management when indicated.</w:t>
      </w:r>
      <w:r>
        <w:rPr w:lang="en-US">
          <w:b/>
        </w:rPr>
      </w:r>
    </w:p>
    <w:sectPr w:rsidR="00547C3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4AD"/>
    <w:multiLevelType w:val="hybridMultilevel"/>
    <w:tmpl w:val="90C66370"/>
    <w:lvl w:ilvl="0" w:tplc="040C0003">
      <w:start w:val="1"/>
      <w:numFmt w:val="bullet"/>
      <w:lvlText w:val="o"/>
      <w:lvlJc w:val="left"/>
      <w:pPr>
        <w:ind w:left="1931" w:hanging="360"/>
      </w:pPr>
      <w:rPr>
        <w:rFonts w:ascii="Courier New" w:hAnsi="Courier New" w:cs="Courier New"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 w15:restartNumberingAfterBreak="0">
    <w:nsid w:val="00DD4228"/>
    <w:multiLevelType w:val="hybridMultilevel"/>
    <w:tmpl w:val="60727A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CD2668"/>
    <w:multiLevelType w:val="hybridMultilevel"/>
    <w:tmpl w:val="3E4C37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F65632"/>
    <w:multiLevelType w:val="hybridMultilevel"/>
    <w:tmpl w:val="16EE30E2"/>
    <w:lvl w:ilvl="0" w:tplc="C2A4AEBC">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F25842"/>
    <w:multiLevelType w:val="hybridMultilevel"/>
    <w:tmpl w:val="73FC1FF6"/>
    <w:lvl w:ilvl="0" w:tplc="040C0001">
      <w:start w:val="1"/>
      <w:numFmt w:val="bullet"/>
      <w:lvlText w:val=""/>
      <w:lvlJc w:val="left"/>
      <w:pPr>
        <w:ind w:left="1211" w:hanging="360"/>
      </w:pPr>
      <w:rPr>
        <w:rFonts w:ascii="Symbol" w:hAnsi="Symbol" w:hint="default"/>
        <w:color w:val="auto"/>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15:restartNumberingAfterBreak="0">
    <w:nsid w:val="13461850"/>
    <w:multiLevelType w:val="hybridMultilevel"/>
    <w:tmpl w:val="E6ACD75C"/>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15:restartNumberingAfterBreak="0">
    <w:nsid w:val="19DC44A8"/>
    <w:multiLevelType w:val="hybridMultilevel"/>
    <w:tmpl w:val="4DA2D282"/>
    <w:lvl w:ilvl="0" w:tplc="508A3A8A">
      <w:start w:val="7"/>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565431"/>
    <w:multiLevelType w:val="hybridMultilevel"/>
    <w:tmpl w:val="6352DD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3E17992"/>
    <w:multiLevelType w:val="hybridMultilevel"/>
    <w:tmpl w:val="409C1D0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491635D"/>
    <w:multiLevelType w:val="hybridMultilevel"/>
    <w:tmpl w:val="9D8EF184"/>
    <w:lvl w:ilvl="0" w:tplc="040C0003">
      <w:start w:val="1"/>
      <w:numFmt w:val="bullet"/>
      <w:lvlText w:val="o"/>
      <w:lvlJc w:val="left"/>
      <w:pPr>
        <w:ind w:left="1494"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15:restartNumberingAfterBreak="0">
    <w:nsid w:val="3C887900"/>
    <w:multiLevelType w:val="hybridMultilevel"/>
    <w:tmpl w:val="E85CBF86"/>
    <w:lvl w:ilvl="0" w:tplc="040C0001">
      <w:start w:val="1"/>
      <w:numFmt w:val="bullet"/>
      <w:lvlText w:val=""/>
      <w:lvlJc w:val="left"/>
      <w:pPr>
        <w:ind w:left="1069"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1" w15:restartNumberingAfterBreak="0">
    <w:nsid w:val="3CF372C7"/>
    <w:multiLevelType w:val="hybridMultilevel"/>
    <w:tmpl w:val="2E642ECA"/>
    <w:lvl w:ilvl="0" w:tplc="CBEEEDB4">
      <w:start w:val="5"/>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0565DF2"/>
    <w:multiLevelType w:val="hybridMultilevel"/>
    <w:tmpl w:val="B0A055BE"/>
    <w:lvl w:ilvl="0" w:tplc="2EB8949A">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3044049"/>
    <w:multiLevelType w:val="hybridMultilevel"/>
    <w:tmpl w:val="D292B79C"/>
    <w:lvl w:ilvl="0" w:tplc="4EBCF212">
      <w:numFmt w:val="bullet"/>
      <w:lvlText w:val="-"/>
      <w:lvlJc w:val="left"/>
      <w:pPr>
        <w:ind w:left="1494" w:hanging="360"/>
      </w:pPr>
      <w:rPr>
        <w:rFonts w:ascii="Times New Roman" w:eastAsiaTheme="minorHAnsi" w:hAnsi="Times New Roman" w:cs="Times New Roman" w:hint="default"/>
      </w:rPr>
    </w:lvl>
    <w:lvl w:ilvl="1" w:tplc="040C0003">
      <w:start w:val="1"/>
      <w:numFmt w:val="decimal"/>
      <w:lvlText w:val="%2."/>
      <w:lvlJc w:val="left"/>
      <w:pPr>
        <w:tabs>
          <w:tab w:val="num" w:pos="1145"/>
        </w:tabs>
        <w:ind w:left="1145" w:hanging="360"/>
      </w:pPr>
    </w:lvl>
    <w:lvl w:ilvl="2" w:tplc="040C0005">
      <w:start w:val="1"/>
      <w:numFmt w:val="decimal"/>
      <w:lvlText w:val="%3."/>
      <w:lvlJc w:val="left"/>
      <w:pPr>
        <w:tabs>
          <w:tab w:val="num" w:pos="1865"/>
        </w:tabs>
        <w:ind w:left="1865" w:hanging="360"/>
      </w:pPr>
    </w:lvl>
    <w:lvl w:ilvl="3" w:tplc="040C0001">
      <w:start w:val="1"/>
      <w:numFmt w:val="decimal"/>
      <w:lvlText w:val="%4."/>
      <w:lvlJc w:val="left"/>
      <w:pPr>
        <w:tabs>
          <w:tab w:val="num" w:pos="2585"/>
        </w:tabs>
        <w:ind w:left="2585" w:hanging="360"/>
      </w:pPr>
    </w:lvl>
    <w:lvl w:ilvl="4" w:tplc="040C0003">
      <w:start w:val="1"/>
      <w:numFmt w:val="decimal"/>
      <w:lvlText w:val="%5."/>
      <w:lvlJc w:val="left"/>
      <w:pPr>
        <w:tabs>
          <w:tab w:val="num" w:pos="3305"/>
        </w:tabs>
        <w:ind w:left="3305" w:hanging="360"/>
      </w:pPr>
    </w:lvl>
    <w:lvl w:ilvl="5" w:tplc="040C0005">
      <w:start w:val="1"/>
      <w:numFmt w:val="decimal"/>
      <w:lvlText w:val="%6."/>
      <w:lvlJc w:val="left"/>
      <w:pPr>
        <w:tabs>
          <w:tab w:val="num" w:pos="4025"/>
        </w:tabs>
        <w:ind w:left="4025" w:hanging="360"/>
      </w:pPr>
    </w:lvl>
    <w:lvl w:ilvl="6" w:tplc="040C0001">
      <w:start w:val="1"/>
      <w:numFmt w:val="decimal"/>
      <w:lvlText w:val="%7."/>
      <w:lvlJc w:val="left"/>
      <w:pPr>
        <w:tabs>
          <w:tab w:val="num" w:pos="4745"/>
        </w:tabs>
        <w:ind w:left="4745" w:hanging="360"/>
      </w:pPr>
    </w:lvl>
    <w:lvl w:ilvl="7" w:tplc="040C0003">
      <w:start w:val="1"/>
      <w:numFmt w:val="decimal"/>
      <w:lvlText w:val="%8."/>
      <w:lvlJc w:val="left"/>
      <w:pPr>
        <w:tabs>
          <w:tab w:val="num" w:pos="5465"/>
        </w:tabs>
        <w:ind w:left="5465" w:hanging="360"/>
      </w:pPr>
    </w:lvl>
    <w:lvl w:ilvl="8" w:tplc="040C0005">
      <w:start w:val="1"/>
      <w:numFmt w:val="decimal"/>
      <w:lvlText w:val="%9."/>
      <w:lvlJc w:val="left"/>
      <w:pPr>
        <w:tabs>
          <w:tab w:val="num" w:pos="6185"/>
        </w:tabs>
        <w:ind w:left="6185" w:hanging="360"/>
      </w:pPr>
    </w:lvl>
  </w:abstractNum>
  <w:abstractNum w:abstractNumId="14" w15:restartNumberingAfterBreak="0">
    <w:nsid w:val="43930E2A"/>
    <w:multiLevelType w:val="hybridMultilevel"/>
    <w:tmpl w:val="C81EACB2"/>
    <w:lvl w:ilvl="0" w:tplc="C79AE874">
      <w:start w:val="1"/>
      <w:numFmt w:val="decimal"/>
      <w:lvlText w:val="%1."/>
      <w:lvlJc w:val="left"/>
      <w:pPr>
        <w:ind w:left="720" w:hanging="360"/>
      </w:pPr>
      <w:rPr>
        <w:b/>
        <w:sz w:val="28"/>
        <w:szCs w:val="28"/>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15:restartNumberingAfterBreak="0">
    <w:nsid w:val="47CE6425"/>
    <w:multiLevelType w:val="hybridMultilevel"/>
    <w:tmpl w:val="53622F34"/>
    <w:lvl w:ilvl="0" w:tplc="040C0003">
      <w:start w:val="1"/>
      <w:numFmt w:val="bullet"/>
      <w:lvlText w:val="o"/>
      <w:lvlJc w:val="left"/>
      <w:pPr>
        <w:ind w:left="1855" w:hanging="360"/>
      </w:pPr>
      <w:rPr>
        <w:rFonts w:ascii="Courier New" w:hAnsi="Courier New" w:cs="Courier New" w:hint="default"/>
      </w:rPr>
    </w:lvl>
    <w:lvl w:ilvl="1" w:tplc="040C0003" w:tentative="1">
      <w:start w:val="1"/>
      <w:numFmt w:val="bullet"/>
      <w:lvlText w:val="o"/>
      <w:lvlJc w:val="left"/>
      <w:pPr>
        <w:ind w:left="2575" w:hanging="360"/>
      </w:pPr>
      <w:rPr>
        <w:rFonts w:ascii="Courier New" w:hAnsi="Courier New" w:cs="Courier New" w:hint="default"/>
      </w:rPr>
    </w:lvl>
    <w:lvl w:ilvl="2" w:tplc="040C0005" w:tentative="1">
      <w:start w:val="1"/>
      <w:numFmt w:val="bullet"/>
      <w:lvlText w:val=""/>
      <w:lvlJc w:val="left"/>
      <w:pPr>
        <w:ind w:left="3295" w:hanging="360"/>
      </w:pPr>
      <w:rPr>
        <w:rFonts w:ascii="Wingdings" w:hAnsi="Wingdings" w:hint="default"/>
      </w:rPr>
    </w:lvl>
    <w:lvl w:ilvl="3" w:tplc="040C0001" w:tentative="1">
      <w:start w:val="1"/>
      <w:numFmt w:val="bullet"/>
      <w:lvlText w:val=""/>
      <w:lvlJc w:val="left"/>
      <w:pPr>
        <w:ind w:left="4015" w:hanging="360"/>
      </w:pPr>
      <w:rPr>
        <w:rFonts w:ascii="Symbol" w:hAnsi="Symbol" w:hint="default"/>
      </w:rPr>
    </w:lvl>
    <w:lvl w:ilvl="4" w:tplc="040C0003" w:tentative="1">
      <w:start w:val="1"/>
      <w:numFmt w:val="bullet"/>
      <w:lvlText w:val="o"/>
      <w:lvlJc w:val="left"/>
      <w:pPr>
        <w:ind w:left="4735" w:hanging="360"/>
      </w:pPr>
      <w:rPr>
        <w:rFonts w:ascii="Courier New" w:hAnsi="Courier New" w:cs="Courier New" w:hint="default"/>
      </w:rPr>
    </w:lvl>
    <w:lvl w:ilvl="5" w:tplc="040C0005" w:tentative="1">
      <w:start w:val="1"/>
      <w:numFmt w:val="bullet"/>
      <w:lvlText w:val=""/>
      <w:lvlJc w:val="left"/>
      <w:pPr>
        <w:ind w:left="5455" w:hanging="360"/>
      </w:pPr>
      <w:rPr>
        <w:rFonts w:ascii="Wingdings" w:hAnsi="Wingdings" w:hint="default"/>
      </w:rPr>
    </w:lvl>
    <w:lvl w:ilvl="6" w:tplc="040C0001" w:tentative="1">
      <w:start w:val="1"/>
      <w:numFmt w:val="bullet"/>
      <w:lvlText w:val=""/>
      <w:lvlJc w:val="left"/>
      <w:pPr>
        <w:ind w:left="6175" w:hanging="360"/>
      </w:pPr>
      <w:rPr>
        <w:rFonts w:ascii="Symbol" w:hAnsi="Symbol" w:hint="default"/>
      </w:rPr>
    </w:lvl>
    <w:lvl w:ilvl="7" w:tplc="040C0003" w:tentative="1">
      <w:start w:val="1"/>
      <w:numFmt w:val="bullet"/>
      <w:lvlText w:val="o"/>
      <w:lvlJc w:val="left"/>
      <w:pPr>
        <w:ind w:left="6895" w:hanging="360"/>
      </w:pPr>
      <w:rPr>
        <w:rFonts w:ascii="Courier New" w:hAnsi="Courier New" w:cs="Courier New" w:hint="default"/>
      </w:rPr>
    </w:lvl>
    <w:lvl w:ilvl="8" w:tplc="040C0005" w:tentative="1">
      <w:start w:val="1"/>
      <w:numFmt w:val="bullet"/>
      <w:lvlText w:val=""/>
      <w:lvlJc w:val="left"/>
      <w:pPr>
        <w:ind w:left="7615" w:hanging="360"/>
      </w:pPr>
      <w:rPr>
        <w:rFonts w:ascii="Wingdings" w:hAnsi="Wingdings" w:hint="default"/>
      </w:rPr>
    </w:lvl>
  </w:abstractNum>
  <w:abstractNum w:abstractNumId="16" w15:restartNumberingAfterBreak="0">
    <w:nsid w:val="4B8A3E84"/>
    <w:multiLevelType w:val="hybridMultilevel"/>
    <w:tmpl w:val="7F821E7E"/>
    <w:lvl w:ilvl="0" w:tplc="16064FAE">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4D207738"/>
    <w:multiLevelType w:val="hybridMultilevel"/>
    <w:tmpl w:val="C48E112C"/>
    <w:lvl w:ilvl="0" w:tplc="040C0003">
      <w:start w:val="1"/>
      <w:numFmt w:val="bullet"/>
      <w:lvlText w:val="o"/>
      <w:lvlJc w:val="left"/>
      <w:pPr>
        <w:ind w:left="1353"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15:restartNumberingAfterBreak="0">
    <w:nsid w:val="4D3352B0"/>
    <w:multiLevelType w:val="hybridMultilevel"/>
    <w:tmpl w:val="CFD496B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15:restartNumberingAfterBreak="0">
    <w:nsid w:val="4FD844CF"/>
    <w:multiLevelType w:val="hybridMultilevel"/>
    <w:tmpl w:val="F22AD2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4FDC7B26"/>
    <w:multiLevelType w:val="hybridMultilevel"/>
    <w:tmpl w:val="D008504A"/>
    <w:lvl w:ilvl="0" w:tplc="040C0005">
      <w:start w:val="1"/>
      <w:numFmt w:val="bullet"/>
      <w:lvlText w:val=""/>
      <w:lvlJc w:val="left"/>
      <w:pPr>
        <w:ind w:left="1069" w:hanging="360"/>
      </w:pPr>
      <w:rPr>
        <w:rFonts w:ascii="Wingdings" w:hAnsi="Wingdings" w:hint="default"/>
      </w:rPr>
    </w:lvl>
    <w:lvl w:ilvl="1" w:tplc="040C0003">
      <w:start w:val="1"/>
      <w:numFmt w:val="decimal"/>
      <w:lvlText w:val="%2."/>
      <w:lvlJc w:val="left"/>
      <w:pPr>
        <w:tabs>
          <w:tab w:val="num" w:pos="1440"/>
        </w:tabs>
        <w:ind w:left="1440" w:hanging="360"/>
      </w:pPr>
    </w:lvl>
    <w:lvl w:ilvl="2" w:tplc="B8F4D64C">
      <w:start w:val="1"/>
      <w:numFmt w:val="bullet"/>
      <w:lvlText w:val=""/>
      <w:lvlJc w:val="left"/>
      <w:pPr>
        <w:tabs>
          <w:tab w:val="num" w:pos="1069"/>
        </w:tabs>
        <w:ind w:left="1069" w:hanging="360"/>
      </w:pPr>
      <w:rPr>
        <w:rFonts w:ascii="Wingdings" w:hAnsi="Wingdings" w:hint="default"/>
        <w:color w:val="auto"/>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584D5A2C"/>
    <w:multiLevelType w:val="hybridMultilevel"/>
    <w:tmpl w:val="589A8120"/>
    <w:lvl w:ilvl="0" w:tplc="040C000F">
      <w:start w:val="1"/>
      <w:numFmt w:val="decimal"/>
      <w:lvlText w:val="%1."/>
      <w:lvlJc w:val="left"/>
      <w:pPr>
        <w:ind w:left="786"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1E1342"/>
    <w:multiLevelType w:val="hybridMultilevel"/>
    <w:tmpl w:val="FDA89A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AA8191B"/>
    <w:multiLevelType w:val="hybridMultilevel"/>
    <w:tmpl w:val="CD4A05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5BFC095F"/>
    <w:multiLevelType w:val="hybridMultilevel"/>
    <w:tmpl w:val="7F58DC0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15:restartNumberingAfterBreak="0">
    <w:nsid w:val="5CE75EA7"/>
    <w:multiLevelType w:val="hybridMultilevel"/>
    <w:tmpl w:val="514AE6A0"/>
    <w:lvl w:ilvl="0" w:tplc="16B6901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15:restartNumberingAfterBreak="0">
    <w:nsid w:val="5F7442E2"/>
    <w:multiLevelType w:val="hybridMultilevel"/>
    <w:tmpl w:val="0D8E7734"/>
    <w:lvl w:ilvl="0" w:tplc="7AC0A880">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15:restartNumberingAfterBreak="0">
    <w:nsid w:val="678B021B"/>
    <w:multiLevelType w:val="hybridMultilevel"/>
    <w:tmpl w:val="F278ABCC"/>
    <w:lvl w:ilvl="0" w:tplc="040C0003">
      <w:start w:val="1"/>
      <w:numFmt w:val="bullet"/>
      <w:lvlText w:val="o"/>
      <w:lvlJc w:val="left"/>
      <w:pPr>
        <w:ind w:left="1069" w:hanging="360"/>
      </w:pPr>
      <w:rPr>
        <w:rFonts w:ascii="Courier New" w:hAnsi="Courier New" w:cs="Courier New" w:hint="default"/>
        <w:b/>
        <w:i/>
        <w:color w:val="auto"/>
      </w:rPr>
    </w:lvl>
    <w:lvl w:ilvl="1" w:tplc="040C0003">
      <w:start w:val="1"/>
      <w:numFmt w:val="bullet"/>
      <w:lvlText w:val="o"/>
      <w:lvlJc w:val="left"/>
      <w:pPr>
        <w:ind w:left="1069"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6B3F2019"/>
    <w:multiLevelType w:val="hybridMultilevel"/>
    <w:tmpl w:val="093471DC"/>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9" w15:restartNumberingAfterBreak="0">
    <w:nsid w:val="6D6A3CD5"/>
    <w:multiLevelType w:val="hybridMultilevel"/>
    <w:tmpl w:val="CB309842"/>
    <w:lvl w:ilvl="0" w:tplc="930A64BE">
      <w:start w:val="1"/>
      <w:numFmt w:val="decimal"/>
      <w:lvlText w:val="%1."/>
      <w:lvlJc w:val="left"/>
      <w:pPr>
        <w:ind w:left="1861" w:hanging="360"/>
      </w:pPr>
      <w:rPr>
        <w:color w:val="auto"/>
      </w:rPr>
    </w:lvl>
    <w:lvl w:ilvl="1" w:tplc="040C0019" w:tentative="1">
      <w:start w:val="1"/>
      <w:numFmt w:val="lowerLetter"/>
      <w:lvlText w:val="%2."/>
      <w:lvlJc w:val="left"/>
      <w:pPr>
        <w:ind w:left="2581" w:hanging="360"/>
      </w:pPr>
    </w:lvl>
    <w:lvl w:ilvl="2" w:tplc="040C001B" w:tentative="1">
      <w:start w:val="1"/>
      <w:numFmt w:val="lowerRoman"/>
      <w:lvlText w:val="%3."/>
      <w:lvlJc w:val="right"/>
      <w:pPr>
        <w:ind w:left="3301" w:hanging="180"/>
      </w:pPr>
    </w:lvl>
    <w:lvl w:ilvl="3" w:tplc="040C000F" w:tentative="1">
      <w:start w:val="1"/>
      <w:numFmt w:val="decimal"/>
      <w:lvlText w:val="%4."/>
      <w:lvlJc w:val="left"/>
      <w:pPr>
        <w:ind w:left="4021" w:hanging="360"/>
      </w:pPr>
    </w:lvl>
    <w:lvl w:ilvl="4" w:tplc="040C0019" w:tentative="1">
      <w:start w:val="1"/>
      <w:numFmt w:val="lowerLetter"/>
      <w:lvlText w:val="%5."/>
      <w:lvlJc w:val="left"/>
      <w:pPr>
        <w:ind w:left="4741" w:hanging="360"/>
      </w:pPr>
    </w:lvl>
    <w:lvl w:ilvl="5" w:tplc="040C001B" w:tentative="1">
      <w:start w:val="1"/>
      <w:numFmt w:val="lowerRoman"/>
      <w:lvlText w:val="%6."/>
      <w:lvlJc w:val="right"/>
      <w:pPr>
        <w:ind w:left="5461" w:hanging="180"/>
      </w:pPr>
    </w:lvl>
    <w:lvl w:ilvl="6" w:tplc="040C000F" w:tentative="1">
      <w:start w:val="1"/>
      <w:numFmt w:val="decimal"/>
      <w:lvlText w:val="%7."/>
      <w:lvlJc w:val="left"/>
      <w:pPr>
        <w:ind w:left="6181" w:hanging="360"/>
      </w:pPr>
    </w:lvl>
    <w:lvl w:ilvl="7" w:tplc="040C0019" w:tentative="1">
      <w:start w:val="1"/>
      <w:numFmt w:val="lowerLetter"/>
      <w:lvlText w:val="%8."/>
      <w:lvlJc w:val="left"/>
      <w:pPr>
        <w:ind w:left="6901" w:hanging="360"/>
      </w:pPr>
    </w:lvl>
    <w:lvl w:ilvl="8" w:tplc="040C001B" w:tentative="1">
      <w:start w:val="1"/>
      <w:numFmt w:val="lowerRoman"/>
      <w:lvlText w:val="%9."/>
      <w:lvlJc w:val="right"/>
      <w:pPr>
        <w:ind w:left="7621" w:hanging="180"/>
      </w:pPr>
    </w:lvl>
  </w:abstractNum>
  <w:abstractNum w:abstractNumId="30" w15:restartNumberingAfterBreak="0">
    <w:nsid w:val="6DF21A3A"/>
    <w:multiLevelType w:val="hybridMultilevel"/>
    <w:tmpl w:val="6D4094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C72B45"/>
    <w:multiLevelType w:val="hybridMultilevel"/>
    <w:tmpl w:val="BEF69F68"/>
    <w:lvl w:ilvl="0" w:tplc="2998F2A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B05538B"/>
    <w:multiLevelType w:val="hybridMultilevel"/>
    <w:tmpl w:val="640CC0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B7870EB"/>
    <w:multiLevelType w:val="hybridMultilevel"/>
    <w:tmpl w:val="838C06F2"/>
    <w:lvl w:ilvl="0" w:tplc="FBEE5E9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093868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8095566">
    <w:abstractNumId w:val="16"/>
  </w:num>
  <w:num w:numId="3" w16cid:durableId="154078108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8699893">
    <w:abstractNumId w:val="9"/>
  </w:num>
  <w:num w:numId="5" w16cid:durableId="189608793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8079987">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8369380">
    <w:abstractNumId w:val="20"/>
  </w:num>
  <w:num w:numId="8" w16cid:durableId="73755734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370059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4802657">
    <w:abstractNumId w:val="9"/>
  </w:num>
  <w:num w:numId="11" w16cid:durableId="1185173342">
    <w:abstractNumId w:val="14"/>
  </w:num>
  <w:num w:numId="12" w16cid:durableId="55207074">
    <w:abstractNumId w:val="25"/>
  </w:num>
  <w:num w:numId="13" w16cid:durableId="219755770">
    <w:abstractNumId w:val="22"/>
  </w:num>
  <w:num w:numId="14" w16cid:durableId="1672103589">
    <w:abstractNumId w:val="31"/>
  </w:num>
  <w:num w:numId="15" w16cid:durableId="1832212250">
    <w:abstractNumId w:val="21"/>
  </w:num>
  <w:num w:numId="16" w16cid:durableId="983778876">
    <w:abstractNumId w:val="15"/>
  </w:num>
  <w:num w:numId="17" w16cid:durableId="273248166">
    <w:abstractNumId w:val="8"/>
  </w:num>
  <w:num w:numId="18" w16cid:durableId="1544170470">
    <w:abstractNumId w:val="29"/>
  </w:num>
  <w:num w:numId="19" w16cid:durableId="774131317">
    <w:abstractNumId w:val="4"/>
  </w:num>
  <w:num w:numId="20" w16cid:durableId="347875246">
    <w:abstractNumId w:val="0"/>
  </w:num>
  <w:num w:numId="21" w16cid:durableId="2081324275">
    <w:abstractNumId w:val="24"/>
  </w:num>
  <w:num w:numId="22" w16cid:durableId="1921912452">
    <w:abstractNumId w:val="28"/>
  </w:num>
  <w:num w:numId="23" w16cid:durableId="780564147">
    <w:abstractNumId w:val="27"/>
  </w:num>
  <w:num w:numId="24" w16cid:durableId="522060131">
    <w:abstractNumId w:val="18"/>
  </w:num>
  <w:num w:numId="25" w16cid:durableId="574049093">
    <w:abstractNumId w:val="19"/>
  </w:num>
  <w:num w:numId="26" w16cid:durableId="413168169">
    <w:abstractNumId w:val="3"/>
  </w:num>
  <w:num w:numId="27" w16cid:durableId="694117612">
    <w:abstractNumId w:val="33"/>
  </w:num>
  <w:num w:numId="28" w16cid:durableId="1352998021">
    <w:abstractNumId w:val="7"/>
  </w:num>
  <w:num w:numId="29" w16cid:durableId="1257786130">
    <w:abstractNumId w:val="30"/>
  </w:num>
  <w:num w:numId="30" w16cid:durableId="1355568716">
    <w:abstractNumId w:val="1"/>
  </w:num>
  <w:num w:numId="31" w16cid:durableId="374426165">
    <w:abstractNumId w:val="2"/>
  </w:num>
  <w:num w:numId="32" w16cid:durableId="990209932">
    <w:abstractNumId w:val="32"/>
  </w:num>
  <w:num w:numId="33" w16cid:durableId="1113206988">
    <w:abstractNumId w:val="11"/>
  </w:num>
  <w:num w:numId="34" w16cid:durableId="1048341951">
    <w:abstractNumId w:val="12"/>
  </w:num>
  <w:num w:numId="35" w16cid:durableId="1207060690">
    <w:abstractNumId w:val="33"/>
    <w:lvlOverride w:ilvl="0">
      <w:lvl w:ilvl="0" w:tplc="FBEE5E96">
        <w:start w:val="1"/>
        <w:numFmt w:val="decimal"/>
        <w:lvlText w:val="%1."/>
        <w:lvlJc w:val="left"/>
        <w:pPr>
          <w:ind w:left="720" w:hanging="360"/>
        </w:pPr>
        <w:rPr>
          <w:rFonts w:hint="default"/>
        </w:r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B" w:tentative="1">
        <w:start w:val="1"/>
        <w:numFmt w:val="lowerRoman"/>
        <w:lvlText w:val="%9."/>
        <w:lvlJc w:val="right"/>
        <w:pPr>
          <w:ind w:left="6480" w:hanging="180"/>
        </w:pPr>
      </w:lvl>
    </w:lvlOverride>
  </w:num>
  <w:num w:numId="36" w16cid:durableId="538779729">
    <w:abstractNumId w:val="5"/>
  </w:num>
  <w:num w:numId="37" w16cid:durableId="2003661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A36B5"/>
    <w:rsid w:val="000701FF"/>
    <w:rsid w:val="000C394C"/>
    <w:rsid w:val="000F62C0"/>
    <w:rsid w:val="00103157"/>
    <w:rsid w:val="00113807"/>
    <w:rsid w:val="00115C40"/>
    <w:rsid w:val="001210F1"/>
    <w:rsid w:val="00122440"/>
    <w:rsid w:val="001662A6"/>
    <w:rsid w:val="001A2019"/>
    <w:rsid w:val="001A499A"/>
    <w:rsid w:val="001C14D2"/>
    <w:rsid w:val="001D6E2C"/>
    <w:rsid w:val="001F40A8"/>
    <w:rsid w:val="001F792F"/>
    <w:rsid w:val="00212E0A"/>
    <w:rsid w:val="00260C95"/>
    <w:rsid w:val="002938AA"/>
    <w:rsid w:val="002B28D5"/>
    <w:rsid w:val="0031003B"/>
    <w:rsid w:val="00340F22"/>
    <w:rsid w:val="00341983"/>
    <w:rsid w:val="00386B64"/>
    <w:rsid w:val="00404D3B"/>
    <w:rsid w:val="00424EF6"/>
    <w:rsid w:val="00432C55"/>
    <w:rsid w:val="00474E91"/>
    <w:rsid w:val="004C5791"/>
    <w:rsid w:val="004F1269"/>
    <w:rsid w:val="004F2FB8"/>
    <w:rsid w:val="0051022E"/>
    <w:rsid w:val="0054716C"/>
    <w:rsid w:val="00547C3F"/>
    <w:rsid w:val="00596E62"/>
    <w:rsid w:val="005A0E13"/>
    <w:rsid w:val="005C000C"/>
    <w:rsid w:val="005F1AAD"/>
    <w:rsid w:val="00612AFD"/>
    <w:rsid w:val="0064450A"/>
    <w:rsid w:val="00684652"/>
    <w:rsid w:val="006917D2"/>
    <w:rsid w:val="006A10C6"/>
    <w:rsid w:val="006C0A6C"/>
    <w:rsid w:val="006D2CBE"/>
    <w:rsid w:val="00706E2E"/>
    <w:rsid w:val="007372DD"/>
    <w:rsid w:val="0076227A"/>
    <w:rsid w:val="007B78B1"/>
    <w:rsid w:val="007C0777"/>
    <w:rsid w:val="007C11F1"/>
    <w:rsid w:val="0082317F"/>
    <w:rsid w:val="00852230"/>
    <w:rsid w:val="008533C9"/>
    <w:rsid w:val="00864032"/>
    <w:rsid w:val="00865174"/>
    <w:rsid w:val="008A36B5"/>
    <w:rsid w:val="008B4E97"/>
    <w:rsid w:val="008E5E06"/>
    <w:rsid w:val="008F7E1D"/>
    <w:rsid w:val="00915E40"/>
    <w:rsid w:val="0094235B"/>
    <w:rsid w:val="00973106"/>
    <w:rsid w:val="00A23667"/>
    <w:rsid w:val="00A43226"/>
    <w:rsid w:val="00A75DC5"/>
    <w:rsid w:val="00B21475"/>
    <w:rsid w:val="00BA3885"/>
    <w:rsid w:val="00BD0A80"/>
    <w:rsid w:val="00BD2045"/>
    <w:rsid w:val="00BE0C1A"/>
    <w:rsid w:val="00BF3985"/>
    <w:rsid w:val="00C4366C"/>
    <w:rsid w:val="00C90D6A"/>
    <w:rsid w:val="00CB289E"/>
    <w:rsid w:val="00CB2910"/>
    <w:rsid w:val="00CB7F63"/>
    <w:rsid w:val="00CF21C2"/>
    <w:rsid w:val="00D06C80"/>
    <w:rsid w:val="00D20546"/>
    <w:rsid w:val="00D249A8"/>
    <w:rsid w:val="00D67B23"/>
    <w:rsid w:val="00D832AC"/>
    <w:rsid w:val="00DE6494"/>
    <w:rsid w:val="00E04E73"/>
    <w:rsid w:val="00E30C5D"/>
    <w:rsid w:val="00EB3271"/>
    <w:rsid w:val="00EC128C"/>
    <w:rsid w:val="00EE236A"/>
    <w:rsid w:val="00F21877"/>
    <w:rsid w:val="00F2269B"/>
    <w:rsid w:val="00F460E3"/>
    <w:rsid w:val="00F852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99A3"/>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6B5"/>
    <w:pPr>
      <w:spacing w:after="120" w:line="269" w:lineRule="auto"/>
    </w:pPr>
    <w:rPr>
      <w:rFonts w:ascii="Arial" w:hAnsi="Arial"/>
      <w:sz w:val="22"/>
    </w:rPr>
  </w:style>
  <w:style w:type="paragraph" w:styleId="Heading1">
    <w:name w:val="heading 1"/>
    <w:basedOn w:val="Normal"/>
    <w:next w:val="Normal"/>
    <w:link w:val="Heading1Char"/>
    <w:uiPriority w:val="9"/>
    <w:qFormat/>
    <w:rsid w:val="008A36B5"/>
    <w:pPr>
      <w:keepNext/>
      <w:keepLines/>
      <w:spacing w:before="300" w:after="140"/>
      <w:outlineLvl w:val="0"/>
    </w:pPr>
    <w:rPr>
      <w:rFonts w:asciiTheme="majorHAnsi" w:eastAsiaTheme="majorEastAsia" w:hAnsiTheme="majorHAnsi" w:cstheme="majorBidi" w:ascii="Georgia" w:hAnsi="Georgia"/>
      <w:b/>
      <w:bCs/>
      <w:color w:val="2F5597"/>
      <w:sz w:val="32"/>
      <w:szCs w:val="28"/>
    </w:rPr>
  </w:style>
  <w:style w:type="paragraph" w:styleId="Heading2">
    <w:name w:val="heading 2"/>
    <w:basedOn w:val="Normal"/>
    <w:next w:val="Normal"/>
    <w:link w:val="Heading2Char"/>
    <w:uiPriority w:val="9"/>
    <w:semiHidden/>
    <w:unhideWhenUsed/>
    <w:qFormat/>
    <w:rsid w:val="008A36B5"/>
    <w:pPr>
      <w:keepNext/>
      <w:keepLines/>
      <w:spacing w:before="220" w:after="100"/>
      <w:outlineLvl w:val="1"/>
    </w:pPr>
    <w:rPr>
      <w:rFonts w:asciiTheme="majorHAnsi" w:eastAsiaTheme="majorEastAsia" w:hAnsiTheme="majorHAnsi" w:cstheme="majorBidi" w:ascii="Georgia" w:hAnsi="Georgia"/>
      <w:b/>
      <w:bCs/>
      <w:color w:val="4472C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6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A36B5"/>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8A36B5"/>
    <w:pPr>
      <w:keepNext/>
      <w:pBdr>
        <w:bottom w:val="single" w:sz="8" w:space="4" w:color="4F81BD" w:themeColor="accent1"/>
      </w:pBdr>
      <w:spacing w:after="120" w:line="240" w:lineRule="auto" w:before="0"/>
      <w:contextualSpacing/>
    </w:pPr>
    <w:rPr>
      <w:rFonts w:asciiTheme="majorHAnsi" w:eastAsiaTheme="majorEastAsia" w:hAnsiTheme="majorHAnsi" w:cstheme="majorBidi" w:ascii="Georgia" w:hAnsi="Georgia"/>
      <w:b/>
      <w:color w:val="17365D"/>
      <w:spacing w:val="5"/>
      <w:kern w:val="28"/>
      <w:sz w:val="50"/>
      <w:szCs w:val="52"/>
    </w:rPr>
  </w:style>
  <w:style w:type="character" w:customStyle="1" w:styleId="TitleChar">
    <w:name w:val="Title Char"/>
    <w:basedOn w:val="DefaultParagraphFont"/>
    <w:link w:val="Title"/>
    <w:uiPriority w:val="10"/>
    <w:rsid w:val="008A36B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A36B5"/>
    <w:pPr>
      <w:spacing w:after="60" w:line="259" w:lineRule="auto"/>
      <w:ind w:left="648" w:hanging="317"/>
      <w:contextualSpacing/>
    </w:pPr>
    <w:rPr>
      <w:rFonts w:ascii="Arial" w:hAnsi="Arial"/>
      <w:sz w:val="22"/>
    </w:rPr>
  </w:style>
  <w:style w:type="paragraph" w:customStyle="1" w:styleId="DecimalAligned">
    <w:name w:val="Decimal Aligned"/>
    <w:basedOn w:val="Normal"/>
    <w:uiPriority w:val="40"/>
    <w:qFormat/>
    <w:rsid w:val="001A499A"/>
    <w:pPr>
      <w:tabs>
        <w:tab w:val="decimal" w:pos="360"/>
      </w:tabs>
    </w:pPr>
    <w:rPr>
      <w:rFonts w:eastAsiaTheme="minorEastAsia"/>
    </w:rPr>
  </w:style>
  <w:style w:type="character" w:styleId="SubtleEmphasis">
    <w:name w:val="Subtle Emphasis"/>
    <w:basedOn w:val="DefaultParagraphFont"/>
    <w:uiPriority w:val="19"/>
    <w:qFormat/>
    <w:rsid w:val="001A499A"/>
    <w:rPr>
      <w:rFonts w:eastAsiaTheme="minorEastAsia" w:cstheme="minorBidi"/>
      <w:bCs w:val="0"/>
      <w:i/>
      <w:iCs/>
      <w:color w:val="808080" w:themeColor="text1" w:themeTint="7F"/>
      <w:szCs w:val="22"/>
      <w:lang w:val="fr-FR"/>
    </w:rPr>
  </w:style>
  <w:style w:type="table" w:styleId="MediumShading2-Accent5">
    <w:name w:val="Medium Shading 2 Accent 5"/>
    <w:basedOn w:val="TableNormal"/>
    <w:uiPriority w:val="64"/>
    <w:rsid w:val="001A499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3">
    <w:name w:val="heading 3"/>
    <w:basedOn w:val="Heading2"/>
    <w:next w:val="Normal"/>
    <w:pPr>
      <w:keepNext/>
      <w:spacing w:before="160" w:after="80"/>
    </w:pPr>
    <w:rPr>
      <w:rFonts w:ascii="Georgia" w:hAnsi="Georgia"/>
      <w:b/>
      <w:color w:val="1F1F1F"/>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64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1058</TotalTime>
  <Pages>6</Pages>
  <Words>1801</Words>
  <Characters>10270</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21 — Erectile System: Male and Female</dc:title>
  <dc:subject>Occipito-Podal Reflexotherapy — English edition</dc:subject>
  <dc:creator/>
  <cp:keywords/>
  <dc:description/>
  <cp:lastModifiedBy/>
  <cp:revision>42</cp:revision>
  <cp:lastPrinted>2026-02-05T18:15:00Z</cp:lastPrinted>
  <dcterms:created xsi:type="dcterms:W3CDTF">2025-07-19T20:47:00Z</dcterms:created>
  <dcterms:modified xsi:type="dcterms:W3CDTF">2026-08-18T05:16:00Z</dcterms:modified>
</cp:coreProperties>
</file>