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EB9E" w14:textId="77777777" w:rsidR="0046526E" w:rsidRPr="000F3383" w:rsidRDefault="0046526E" w:rsidP="0046526E">
      <w:pPr>
        <w:pStyle w:val="Heading1"/>
        <w:rPr>
          <w:lang w:val="fr-FR"/>
        </w:rPr>
      </w:pPr>
      <w:r w:rsidRPr="000F3383">
        <w:rPr>
          <w:lang w:val="fr-FR"/>
        </w:rPr>
        <w:t>Introduction</w:t>
      </w:r>
    </w:p>
    <w:p w14:paraId="56C2E9FC" w14:textId="77777777" w:rsidR="0046526E" w:rsidRPr="000F3383" w:rsidRDefault="0046526E" w:rsidP="0046526E">
      <w:pPr>
        <w:rPr>
          <w:lang w:val="fr-FR"/>
        </w:rPr>
      </w:pPr>
      <w:r w:rsidRPr="000F3383">
        <w:rPr>
          <w:lang w:val="fr-FR"/>
        </w:rPr>
        <w:t>Ce troisième volume de Réflexothérapie occipito-podale prolonge naturellement les deux précédents : après le système ostéo-musculo-articulaire (tome 1) puis le système neuro-méningé (tome 2), nous entrons ici dans le champ du viscéral abdomino-pelvien, du système nerveux autonome et du mécanisme du stress.</w:t>
      </w:r>
    </w:p>
    <w:p w14:paraId="0E973D5E" w14:textId="77777777" w:rsidR="0046526E" w:rsidRPr="000F3383" w:rsidRDefault="0046526E" w:rsidP="0046526E">
      <w:pPr>
        <w:rPr>
          <w:lang w:val="fr-FR"/>
        </w:rPr>
      </w:pPr>
      <w:r w:rsidRPr="000F3383">
        <w:rPr>
          <w:lang w:val="fr-FR"/>
        </w:rPr>
        <w:t>L’ambition reste la même : une cartographie cohérente avec l’anatomie et la physiologie, pensée en 3D, sous la forme d’un bébé en position fœtale dans le pied, et articulée avec les zones réflexes occipitales.</w:t>
      </w:r>
    </w:p>
    <w:p w14:paraId="5B1A0A4D" w14:textId="77777777" w:rsidR="0046526E" w:rsidRPr="000F3383" w:rsidRDefault="0046526E" w:rsidP="0046526E">
      <w:pPr>
        <w:rPr>
          <w:lang w:val="fr-FR"/>
        </w:rPr>
      </w:pPr>
    </w:p>
    <w:p w14:paraId="110A0CEF" w14:textId="77777777" w:rsidR="0046526E" w:rsidRPr="000F3383" w:rsidRDefault="0046526E" w:rsidP="0046526E">
      <w:pPr>
        <w:pStyle w:val="Heading2"/>
        <w:rPr>
          <w:lang w:val="fr-FR"/>
        </w:rPr>
      </w:pPr>
      <w:r w:rsidRPr="000F3383">
        <w:rPr>
          <w:lang w:val="fr-FR"/>
        </w:rPr>
        <w:t>En bref : ce que ce livre vous apporte</w:t>
      </w:r>
    </w:p>
    <w:p w14:paraId="499EE1F3" w14:textId="77777777" w:rsidR="0046526E" w:rsidRPr="000F3383" w:rsidRDefault="0046526E" w:rsidP="0046526E">
      <w:pPr>
        <w:pStyle w:val="ListBullet"/>
        <w:rPr>
          <w:lang w:val="fr-FR"/>
        </w:rPr>
      </w:pPr>
      <w:r w:rsidRPr="000F3383">
        <w:rPr>
          <w:lang w:val="fr-FR"/>
        </w:rPr>
        <w:t xml:space="preserve">Une lecture simple des liens </w:t>
      </w:r>
      <w:proofErr w:type="spellStart"/>
      <w:r w:rsidRPr="000F3383">
        <w:rPr>
          <w:lang w:val="fr-FR"/>
        </w:rPr>
        <w:t>viscéro</w:t>
      </w:r>
      <w:proofErr w:type="spellEnd"/>
      <w:r w:rsidRPr="000F3383">
        <w:rPr>
          <w:lang w:val="fr-FR"/>
        </w:rPr>
        <w:t>-somatiques : quand un viscère perturbe le locomoteur, et quand le locomoteur perturbe le viscéral.</w:t>
      </w:r>
    </w:p>
    <w:p w14:paraId="6F4EF8CC" w14:textId="77777777" w:rsidR="0046526E" w:rsidRPr="000F3383" w:rsidRDefault="0046526E" w:rsidP="0046526E">
      <w:pPr>
        <w:pStyle w:val="ListBullet"/>
        <w:rPr>
          <w:lang w:val="fr-FR"/>
        </w:rPr>
      </w:pPr>
      <w:r w:rsidRPr="000F3383">
        <w:rPr>
          <w:lang w:val="fr-FR"/>
        </w:rPr>
        <w:t>Des repères cliniques et une logique de palpation pour localiser les zones réflexes, malgré les faibles repères osseux de la face plantaire.</w:t>
      </w:r>
    </w:p>
    <w:p w14:paraId="43AB9BED" w14:textId="77777777" w:rsidR="0046526E" w:rsidRPr="000F3383" w:rsidRDefault="0046526E" w:rsidP="0046526E">
      <w:pPr>
        <w:pStyle w:val="ListBullet"/>
        <w:rPr>
          <w:lang w:val="fr-FR"/>
        </w:rPr>
      </w:pPr>
      <w:r w:rsidRPr="000F3383">
        <w:rPr>
          <w:lang w:val="fr-FR"/>
        </w:rPr>
        <w:t>Des cartographies ajustées sur des points anatomiques clés (dont le diaphragme) et mises en perspective avec l’anamnèse et des comptes rendus médicaux/chirurgicaux.</w:t>
      </w:r>
    </w:p>
    <w:p w14:paraId="2989A9A4" w14:textId="77777777" w:rsidR="0046526E" w:rsidRPr="000F3383" w:rsidRDefault="0046526E" w:rsidP="0046526E">
      <w:pPr>
        <w:pStyle w:val="ListBullet"/>
        <w:rPr>
          <w:lang w:val="fr-FR"/>
        </w:rPr>
      </w:pPr>
      <w:r w:rsidRPr="000F3383">
        <w:rPr>
          <w:lang w:val="fr-FR"/>
        </w:rPr>
        <w:t>Une approche globale : désamorcer les boucles réflexes pathologiques (neurologiques, viscérales, somatiques et émotionnelles), stimuler les capacités propres de l’organisme, et soutenir la vitalité.</w:t>
      </w:r>
    </w:p>
    <w:p w14:paraId="213DCA8D" w14:textId="77777777" w:rsidR="0046526E" w:rsidRPr="000F3383" w:rsidRDefault="0046526E" w:rsidP="0046526E">
      <w:pPr>
        <w:rPr>
          <w:lang w:val="fr-FR"/>
        </w:rPr>
      </w:pPr>
    </w:p>
    <w:p w14:paraId="5A90521F" w14:textId="77777777" w:rsidR="0046526E" w:rsidRPr="000F3383" w:rsidRDefault="0046526E" w:rsidP="0046526E">
      <w:pPr>
        <w:pStyle w:val="Heading2"/>
        <w:rPr>
          <w:lang w:val="fr-FR"/>
        </w:rPr>
      </w:pPr>
      <w:r w:rsidRPr="000F3383">
        <w:rPr>
          <w:lang w:val="fr-FR"/>
        </w:rPr>
        <w:t>Pourquoi le viscéral est incontournable</w:t>
      </w:r>
    </w:p>
    <w:p w14:paraId="6DAB535D" w14:textId="77777777" w:rsidR="0046526E" w:rsidRPr="000F3383" w:rsidRDefault="0046526E" w:rsidP="0046526E">
      <w:pPr>
        <w:rPr>
          <w:lang w:val="fr-FR"/>
        </w:rPr>
      </w:pPr>
      <w:r w:rsidRPr="000F3383">
        <w:rPr>
          <w:lang w:val="fr-FR"/>
        </w:rPr>
        <w:t>Le système viscéral assure la logistique : nutrition, élimination, équilibre interne. Dans ce cadre, de nombreuses douleurs ostéo-musculo-articulaires peuvent être la conséquence de dysfonctions viscérales – et l’inverse est aussi vrai. Travailler l’un en ignorant l’autre conduit souvent à des résultats incomplets.</w:t>
      </w:r>
    </w:p>
    <w:p w14:paraId="60AA0A66" w14:textId="77777777" w:rsidR="0046526E" w:rsidRPr="000F3383" w:rsidRDefault="0046526E" w:rsidP="0046526E">
      <w:pPr>
        <w:rPr>
          <w:lang w:val="fr-FR"/>
        </w:rPr>
      </w:pPr>
    </w:p>
    <w:p w14:paraId="765DCF61" w14:textId="77777777" w:rsidR="0046526E" w:rsidRPr="000F3383" w:rsidRDefault="0046526E" w:rsidP="0046526E">
      <w:pPr>
        <w:pStyle w:val="Heading2"/>
        <w:rPr>
          <w:lang w:val="fr-FR"/>
        </w:rPr>
      </w:pPr>
      <w:r w:rsidRPr="000F3383">
        <w:rPr>
          <w:lang w:val="fr-FR"/>
        </w:rPr>
        <w:t>Notre parti-pris : rigueur anatomique, pragmatisme clinique</w:t>
      </w:r>
    </w:p>
    <w:p w14:paraId="07E9C4C3" w14:textId="77777777" w:rsidR="0046526E" w:rsidRPr="000F3383" w:rsidRDefault="0046526E" w:rsidP="0046526E">
      <w:pPr>
        <w:rPr>
          <w:lang w:val="fr-FR"/>
        </w:rPr>
      </w:pPr>
      <w:r w:rsidRPr="000F3383">
        <w:rPr>
          <w:lang w:val="fr-FR"/>
        </w:rPr>
        <w:t>Comme dans toute approche manuelle, nous constatons parfois des résultats sans pouvoir les objectiver pleinement. L’observation clinique n’a pas la rigueur d’un protocole de laboratoire, mais elle garde sa valeur lorsqu’elle est conduite avec méthode. C’est pourquoi ce livre privilégie : (1) la cohérence anatomique, (2) la reproductibilité des repères, (3) la confrontation au réel (anamnèse, imagerie, chirurgie).</w:t>
      </w:r>
    </w:p>
    <w:p w14:paraId="2E2E1E85" w14:textId="77777777" w:rsidR="0046526E" w:rsidRPr="000F3383" w:rsidRDefault="0046526E" w:rsidP="0046526E">
      <w:pPr>
        <w:rPr>
          <w:lang w:val="fr-FR"/>
        </w:rPr>
      </w:pPr>
      <w:r w:rsidRPr="000F3383">
        <w:rPr>
          <w:lang w:val="fr-FR"/>
        </w:rPr>
        <w:lastRenderedPageBreak/>
        <w:t>Deux points méritent d’être soulignés :</w:t>
      </w:r>
    </w:p>
    <w:p w14:paraId="3A559834" w14:textId="77777777" w:rsidR="0046526E" w:rsidRPr="000F3383" w:rsidRDefault="0046526E" w:rsidP="0046526E">
      <w:pPr>
        <w:rPr>
          <w:lang w:val="fr-FR"/>
        </w:rPr>
      </w:pPr>
      <w:r w:rsidRPr="000F3383">
        <w:rPr>
          <w:lang w:val="fr-FR"/>
        </w:rPr>
        <w:t>1) Le diaphragme : les deux coupoles ne sont pas à la même hauteur. Ignorer cette asymétrie rend toute cartographie incohérente pour le diaphragme et les viscères qui s’y attachent.</w:t>
      </w:r>
    </w:p>
    <w:p w14:paraId="00BCCC1A" w14:textId="77777777" w:rsidR="0046526E" w:rsidRPr="000F3383" w:rsidRDefault="0046526E" w:rsidP="0046526E">
      <w:pPr>
        <w:rPr>
          <w:lang w:val="fr-FR"/>
        </w:rPr>
      </w:pPr>
      <w:r w:rsidRPr="000F3383">
        <w:rPr>
          <w:lang w:val="fr-FR"/>
        </w:rPr>
        <w:t>2) Le péritoine : interface majeure entre viscères et parois, au fort pouvoir réflexogène, capable de relayer tensions et dysfonctions dans les deux sens.</w:t>
      </w:r>
    </w:p>
    <w:p w14:paraId="65EEA050" w14:textId="77777777" w:rsidR="0046526E" w:rsidRPr="000F3383" w:rsidRDefault="0046526E" w:rsidP="0046526E">
      <w:pPr>
        <w:rPr>
          <w:lang w:val="fr-FR"/>
        </w:rPr>
      </w:pPr>
    </w:p>
    <w:p w14:paraId="0E8916FA" w14:textId="77777777" w:rsidR="0046526E" w:rsidRPr="000F3383" w:rsidRDefault="0046526E" w:rsidP="0046526E">
      <w:pPr>
        <w:pStyle w:val="Heading2"/>
        <w:rPr>
          <w:lang w:val="fr-FR"/>
        </w:rPr>
      </w:pPr>
      <w:r w:rsidRPr="000F3383">
        <w:rPr>
          <w:lang w:val="fr-FR"/>
        </w:rPr>
        <w:t>Terminologie</w:t>
      </w:r>
    </w:p>
    <w:p w14:paraId="3C4321B4" w14:textId="77777777" w:rsidR="0046526E" w:rsidRPr="000F3383" w:rsidRDefault="0046526E" w:rsidP="0046526E">
      <w:pPr>
        <w:rPr>
          <w:lang w:val="fr-FR"/>
        </w:rPr>
      </w:pPr>
      <w:r w:rsidRPr="000F3383">
        <w:rPr>
          <w:lang w:val="fr-FR"/>
        </w:rPr>
        <w:t>Dans un souci de clarté, nous adopterons la terminologie suivante :</w:t>
      </w:r>
    </w:p>
    <w:p w14:paraId="7670C8A9" w14:textId="77777777" w:rsidR="0046526E" w:rsidRPr="000F3383" w:rsidRDefault="0046526E" w:rsidP="0046526E">
      <w:pPr>
        <w:pStyle w:val="ListBullet"/>
        <w:rPr>
          <w:lang w:val="fr-FR"/>
        </w:rPr>
      </w:pPr>
      <w:r w:rsidRPr="000F3383">
        <w:rPr>
          <w:lang w:val="fr-FR"/>
        </w:rPr>
        <w:t>Dorsalement (à la place de « postérieur »).</w:t>
      </w:r>
    </w:p>
    <w:p w14:paraId="5FCEE62A" w14:textId="77777777" w:rsidR="0046526E" w:rsidRPr="000F3383" w:rsidRDefault="0046526E" w:rsidP="0046526E">
      <w:pPr>
        <w:pStyle w:val="ListBullet"/>
        <w:rPr>
          <w:lang w:val="fr-FR"/>
        </w:rPr>
      </w:pPr>
      <w:r w:rsidRPr="000F3383">
        <w:rPr>
          <w:lang w:val="fr-FR"/>
        </w:rPr>
        <w:t>Ventralement (à la place de « antérieur »).</w:t>
      </w:r>
    </w:p>
    <w:p w14:paraId="1F60D351" w14:textId="77777777" w:rsidR="0046526E" w:rsidRPr="000F3383" w:rsidRDefault="0046526E" w:rsidP="0046526E">
      <w:pPr>
        <w:pStyle w:val="ListBullet"/>
        <w:rPr>
          <w:lang w:val="fr-FR"/>
        </w:rPr>
      </w:pPr>
      <w:r w:rsidRPr="000F3383">
        <w:rPr>
          <w:lang w:val="fr-FR"/>
        </w:rPr>
        <w:t>Latéralement (à la place de « externe »).</w:t>
      </w:r>
    </w:p>
    <w:p w14:paraId="6097A024" w14:textId="77777777" w:rsidR="0046526E" w:rsidRPr="000F3383" w:rsidRDefault="0046526E" w:rsidP="0046526E">
      <w:pPr>
        <w:pStyle w:val="ListBullet"/>
        <w:rPr>
          <w:lang w:val="fr-FR"/>
        </w:rPr>
      </w:pPr>
      <w:r w:rsidRPr="000F3383">
        <w:rPr>
          <w:lang w:val="fr-FR"/>
        </w:rPr>
        <w:t>Médialement (à la place de « interne »).</w:t>
      </w:r>
    </w:p>
    <w:p w14:paraId="33E77D7D" w14:textId="77777777" w:rsidR="0046526E" w:rsidRPr="000F3383" w:rsidRDefault="0046526E" w:rsidP="0046526E">
      <w:pPr>
        <w:pStyle w:val="ListBullet"/>
        <w:rPr>
          <w:lang w:val="fr-FR"/>
        </w:rPr>
      </w:pPr>
      <w:proofErr w:type="spellStart"/>
      <w:r w:rsidRPr="000F3383">
        <w:rPr>
          <w:lang w:val="fr-FR"/>
        </w:rPr>
        <w:t>Céphaliquement</w:t>
      </w:r>
      <w:proofErr w:type="spellEnd"/>
      <w:r w:rsidRPr="000F3383">
        <w:rPr>
          <w:lang w:val="fr-FR"/>
        </w:rPr>
        <w:t xml:space="preserve"> (à la place de « en haut »).</w:t>
      </w:r>
    </w:p>
    <w:p w14:paraId="52C5FA47" w14:textId="77777777" w:rsidR="0046526E" w:rsidRPr="000F3383" w:rsidRDefault="0046526E" w:rsidP="0046526E">
      <w:pPr>
        <w:pStyle w:val="ListBullet"/>
        <w:rPr>
          <w:lang w:val="fr-FR"/>
        </w:rPr>
      </w:pPr>
      <w:r w:rsidRPr="000F3383">
        <w:rPr>
          <w:lang w:val="fr-FR"/>
        </w:rPr>
        <w:t>Caudalement (à la place de « en bas »).</w:t>
      </w:r>
    </w:p>
    <w:p w14:paraId="101F55C8" w14:textId="77777777" w:rsidR="0046526E" w:rsidRPr="000F3383" w:rsidRDefault="0046526E" w:rsidP="0046526E">
      <w:pPr>
        <w:pStyle w:val="ListBullet"/>
        <w:rPr>
          <w:lang w:val="fr-FR"/>
        </w:rPr>
      </w:pPr>
      <w:r w:rsidRPr="000F3383">
        <w:rPr>
          <w:lang w:val="fr-FR"/>
        </w:rPr>
        <w:t>Frontalement (à la place de « transversal »).</w:t>
      </w:r>
    </w:p>
    <w:p w14:paraId="1D2A80EC" w14:textId="77777777" w:rsidR="0046526E" w:rsidRPr="000F3383" w:rsidRDefault="0046526E" w:rsidP="0046526E">
      <w:pPr>
        <w:pStyle w:val="ListBullet"/>
        <w:rPr>
          <w:lang w:val="fr-FR"/>
        </w:rPr>
      </w:pPr>
      <w:r w:rsidRPr="000F3383">
        <w:rPr>
          <w:lang w:val="fr-FR"/>
        </w:rPr>
        <w:t>Sagittalement (à la place de « antéro-postérieur »).</w:t>
      </w:r>
    </w:p>
    <w:p w14:paraId="02A0981C" w14:textId="77777777" w:rsidR="0046526E" w:rsidRPr="000F3383" w:rsidRDefault="0046526E" w:rsidP="0046526E">
      <w:pPr>
        <w:rPr>
          <w:lang w:val="fr-FR"/>
        </w:rPr>
      </w:pPr>
    </w:p>
    <w:p w14:paraId="65F80A64" w14:textId="77777777" w:rsidR="0046526E" w:rsidRPr="000F3383" w:rsidRDefault="0046526E" w:rsidP="0046526E">
      <w:pPr>
        <w:pStyle w:val="Heading2"/>
        <w:rPr>
          <w:lang w:val="fr-FR"/>
        </w:rPr>
      </w:pPr>
      <w:r w:rsidRPr="000F3383">
        <w:rPr>
          <w:lang w:val="fr-FR"/>
        </w:rPr>
        <w:t>Plan-type des chapitres</w:t>
      </w:r>
    </w:p>
    <w:p w14:paraId="77B37C36" w14:textId="77777777" w:rsidR="0046526E" w:rsidRPr="000F3383" w:rsidRDefault="0046526E" w:rsidP="0046526E">
      <w:pPr>
        <w:rPr>
          <w:lang w:val="fr-FR"/>
        </w:rPr>
      </w:pPr>
      <w:r w:rsidRPr="000F3383">
        <w:rPr>
          <w:lang w:val="fr-FR"/>
        </w:rPr>
        <w:t>Chaque chapitre consacré à un viscère suit un plan commun :</w:t>
      </w:r>
    </w:p>
    <w:p w14:paraId="3BB12B50" w14:textId="77777777" w:rsidR="0046526E" w:rsidRDefault="0046526E" w:rsidP="0046526E">
      <w:pPr>
        <w:pStyle w:val="ListBullet"/>
      </w:pPr>
      <w:proofErr w:type="spellStart"/>
      <w:r>
        <w:t>Présentation</w:t>
      </w:r>
      <w:proofErr w:type="spellEnd"/>
      <w:r>
        <w:t>.</w:t>
      </w:r>
    </w:p>
    <w:p w14:paraId="16D7741B" w14:textId="77777777" w:rsidR="0046526E" w:rsidRDefault="0046526E" w:rsidP="0046526E">
      <w:pPr>
        <w:pStyle w:val="ListBullet"/>
      </w:pPr>
      <w:r>
        <w:t>Situation.</w:t>
      </w:r>
    </w:p>
    <w:p w14:paraId="628DF3B1" w14:textId="77777777" w:rsidR="0046526E" w:rsidRDefault="0046526E" w:rsidP="0046526E">
      <w:pPr>
        <w:pStyle w:val="ListBullet"/>
      </w:pPr>
      <w:proofErr w:type="spellStart"/>
      <w:r>
        <w:t>Anatomie</w:t>
      </w:r>
      <w:proofErr w:type="spellEnd"/>
      <w:r>
        <w:t>.</w:t>
      </w:r>
    </w:p>
    <w:p w14:paraId="7ACABCDE" w14:textId="77777777" w:rsidR="0046526E" w:rsidRDefault="0046526E" w:rsidP="0046526E">
      <w:pPr>
        <w:pStyle w:val="ListBullet"/>
      </w:pPr>
      <w:r>
        <w:t>Rapports.</w:t>
      </w:r>
    </w:p>
    <w:p w14:paraId="4EBC7C3F" w14:textId="77777777" w:rsidR="0046526E" w:rsidRDefault="0046526E" w:rsidP="0046526E">
      <w:pPr>
        <w:pStyle w:val="ListBullet"/>
      </w:pPr>
      <w:proofErr w:type="spellStart"/>
      <w:r>
        <w:t>Vascularisation</w:t>
      </w:r>
      <w:proofErr w:type="spellEnd"/>
      <w:r>
        <w:t>.</w:t>
      </w:r>
    </w:p>
    <w:p w14:paraId="2FF7506F" w14:textId="77777777" w:rsidR="0046526E" w:rsidRDefault="0046526E" w:rsidP="0046526E">
      <w:pPr>
        <w:pStyle w:val="ListBullet"/>
      </w:pPr>
      <w:r>
        <w:t>Innervation.</w:t>
      </w:r>
    </w:p>
    <w:p w14:paraId="3DD57A1B" w14:textId="77777777" w:rsidR="0046526E" w:rsidRDefault="0046526E" w:rsidP="0046526E">
      <w:pPr>
        <w:pStyle w:val="ListBullet"/>
      </w:pPr>
      <w:proofErr w:type="spellStart"/>
      <w:r>
        <w:t>Physiologie</w:t>
      </w:r>
      <w:proofErr w:type="spellEnd"/>
      <w:r>
        <w:t>.</w:t>
      </w:r>
    </w:p>
    <w:p w14:paraId="41BA3819" w14:textId="77777777" w:rsidR="0046526E" w:rsidRPr="000F3383" w:rsidRDefault="0046526E" w:rsidP="0046526E">
      <w:pPr>
        <w:pStyle w:val="ListBullet"/>
        <w:rPr>
          <w:lang w:val="fr-FR"/>
        </w:rPr>
      </w:pPr>
      <w:r w:rsidRPr="000F3383">
        <w:rPr>
          <w:lang w:val="fr-FR"/>
        </w:rPr>
        <w:t>Pathologies courantes (diagnostic d’exclusion ; indications : troubles fonctionnels).</w:t>
      </w:r>
    </w:p>
    <w:p w14:paraId="2006EC34" w14:textId="77777777" w:rsidR="0046526E" w:rsidRPr="000F3383" w:rsidRDefault="0046526E" w:rsidP="0046526E">
      <w:pPr>
        <w:pStyle w:val="ListBullet"/>
        <w:rPr>
          <w:lang w:val="fr-FR"/>
        </w:rPr>
      </w:pPr>
      <w:r w:rsidRPr="000F3383">
        <w:rPr>
          <w:lang w:val="fr-FR"/>
        </w:rPr>
        <w:t>Zones réflexes podales (syndrome général ; syndrome loco-régional).</w:t>
      </w:r>
    </w:p>
    <w:p w14:paraId="44A0478E" w14:textId="77777777" w:rsidR="0046526E" w:rsidRDefault="0046526E" w:rsidP="0046526E">
      <w:pPr>
        <w:pStyle w:val="ListBullet"/>
      </w:pPr>
      <w:r>
        <w:t xml:space="preserve">Relations </w:t>
      </w:r>
      <w:proofErr w:type="spellStart"/>
      <w:r>
        <w:t>viscéro-somatiques</w:t>
      </w:r>
      <w:proofErr w:type="spellEnd"/>
      <w:r>
        <w:t>.</w:t>
      </w:r>
    </w:p>
    <w:p w14:paraId="53E5E30F" w14:textId="77777777" w:rsidR="0046526E" w:rsidRDefault="0046526E" w:rsidP="0046526E">
      <w:pPr>
        <w:pStyle w:val="ListBullet"/>
      </w:pPr>
      <w:r>
        <w:t xml:space="preserve">Relations </w:t>
      </w:r>
      <w:proofErr w:type="spellStart"/>
      <w:r>
        <w:t>viscéro-émotionnelles</w:t>
      </w:r>
      <w:proofErr w:type="spellEnd"/>
      <w:r>
        <w:t>.</w:t>
      </w:r>
    </w:p>
    <w:p w14:paraId="35449370" w14:textId="77777777" w:rsidR="0046526E" w:rsidRDefault="0046526E" w:rsidP="0046526E">
      <w:pPr>
        <w:pStyle w:val="ListBullet"/>
      </w:pPr>
      <w:r>
        <w:t>Conseils.</w:t>
      </w:r>
    </w:p>
    <w:p w14:paraId="22D8F320" w14:textId="77777777" w:rsidR="0046526E" w:rsidRDefault="0046526E" w:rsidP="0046526E">
      <w:pPr>
        <w:rPr>
          <w:lang w:val="fr-FR"/>
        </w:rPr>
      </w:pPr>
    </w:p>
    <w:p w14:paraId="77F3D861" w14:textId="77777777" w:rsidR="0046526E" w:rsidRDefault="0046526E" w:rsidP="0046526E">
      <w:pPr>
        <w:rPr>
          <w:lang w:val="fr-FR"/>
        </w:rPr>
      </w:pPr>
    </w:p>
    <w:p w14:paraId="60C1058F" w14:textId="77777777" w:rsidR="0046526E" w:rsidRDefault="0046526E" w:rsidP="0046526E">
      <w:pPr>
        <w:rPr>
          <w:lang w:val="fr-FR"/>
        </w:rPr>
      </w:pPr>
    </w:p>
    <w:p w14:paraId="67FF36C2" w14:textId="77777777" w:rsidR="0046526E" w:rsidRDefault="0046526E" w:rsidP="0046526E">
      <w:pPr>
        <w:rPr>
          <w:lang w:val="fr-FR"/>
        </w:rPr>
      </w:pPr>
    </w:p>
    <w:p w14:paraId="44E49B53" w14:textId="77777777" w:rsidR="0046526E" w:rsidRPr="00546469" w:rsidRDefault="0046526E" w:rsidP="0046526E">
      <w:pPr>
        <w:rPr>
          <w:lang w:val="fr-FR"/>
        </w:rPr>
      </w:pPr>
    </w:p>
    <w:p w14:paraId="112799BE" w14:textId="77777777" w:rsidR="0046526E" w:rsidRPr="00546469" w:rsidRDefault="0046526E" w:rsidP="0046526E">
      <w:pPr>
        <w:rPr>
          <w:lang w:val="fr-FR"/>
        </w:rPr>
      </w:pPr>
    </w:p>
    <w:p w14:paraId="00672382" w14:textId="77777777" w:rsidR="00550483" w:rsidRDefault="00550483"/>
    <w:sectPr w:rsidR="00550483" w:rsidSect="00465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2E5A26"/>
    <w:lvl w:ilvl="0">
      <w:start w:val="1"/>
      <w:numFmt w:val="bullet"/>
      <w:pStyle w:val="ListBullet"/>
      <w:lvlText w:val=""/>
      <w:lvlJc w:val="left"/>
      <w:pPr>
        <w:tabs>
          <w:tab w:val="num" w:pos="360"/>
        </w:tabs>
        <w:ind w:left="360" w:hanging="360"/>
      </w:pPr>
      <w:rPr>
        <w:rFonts w:ascii="Symbol" w:hAnsi="Symbol" w:hint="default"/>
      </w:rPr>
    </w:lvl>
  </w:abstractNum>
  <w:num w:numId="1" w16cid:durableId="150296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6E"/>
    <w:rsid w:val="001349E7"/>
    <w:rsid w:val="004120C0"/>
    <w:rsid w:val="0046526E"/>
    <w:rsid w:val="004C7AF8"/>
    <w:rsid w:val="00550483"/>
    <w:rsid w:val="00765253"/>
    <w:rsid w:val="00B63B87"/>
    <w:rsid w:val="00C1050C"/>
    <w:rsid w:val="00E04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F4A9"/>
  <w15:chartTrackingRefBased/>
  <w15:docId w15:val="{8FE4098C-0D16-4558-8418-0EBDFA7A3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26E"/>
  </w:style>
  <w:style w:type="paragraph" w:styleId="Heading1">
    <w:name w:val="heading 1"/>
    <w:basedOn w:val="Normal"/>
    <w:next w:val="Normal"/>
    <w:link w:val="Heading1Char"/>
    <w:uiPriority w:val="9"/>
    <w:qFormat/>
    <w:rsid w:val="00465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6E"/>
    <w:rPr>
      <w:rFonts w:eastAsiaTheme="majorEastAsia" w:cstheme="majorBidi"/>
      <w:color w:val="272727" w:themeColor="text1" w:themeTint="D8"/>
    </w:rPr>
  </w:style>
  <w:style w:type="paragraph" w:styleId="Title">
    <w:name w:val="Title"/>
    <w:basedOn w:val="Normal"/>
    <w:next w:val="Normal"/>
    <w:link w:val="TitleChar"/>
    <w:uiPriority w:val="10"/>
    <w:qFormat/>
    <w:rsid w:val="00465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6E"/>
    <w:pPr>
      <w:spacing w:before="160"/>
      <w:jc w:val="center"/>
    </w:pPr>
    <w:rPr>
      <w:i/>
      <w:iCs/>
      <w:color w:val="404040" w:themeColor="text1" w:themeTint="BF"/>
    </w:rPr>
  </w:style>
  <w:style w:type="character" w:customStyle="1" w:styleId="QuoteChar">
    <w:name w:val="Quote Char"/>
    <w:basedOn w:val="DefaultParagraphFont"/>
    <w:link w:val="Quote"/>
    <w:uiPriority w:val="29"/>
    <w:rsid w:val="0046526E"/>
    <w:rPr>
      <w:i/>
      <w:iCs/>
      <w:color w:val="404040" w:themeColor="text1" w:themeTint="BF"/>
    </w:rPr>
  </w:style>
  <w:style w:type="paragraph" w:styleId="ListParagraph">
    <w:name w:val="List Paragraph"/>
    <w:basedOn w:val="Normal"/>
    <w:uiPriority w:val="34"/>
    <w:qFormat/>
    <w:rsid w:val="0046526E"/>
    <w:pPr>
      <w:ind w:left="720"/>
      <w:contextualSpacing/>
    </w:pPr>
  </w:style>
  <w:style w:type="character" w:styleId="IntenseEmphasis">
    <w:name w:val="Intense Emphasis"/>
    <w:basedOn w:val="DefaultParagraphFont"/>
    <w:uiPriority w:val="21"/>
    <w:qFormat/>
    <w:rsid w:val="0046526E"/>
    <w:rPr>
      <w:i/>
      <w:iCs/>
      <w:color w:val="2F5496" w:themeColor="accent1" w:themeShade="BF"/>
    </w:rPr>
  </w:style>
  <w:style w:type="paragraph" w:styleId="IntenseQuote">
    <w:name w:val="Intense Quote"/>
    <w:basedOn w:val="Normal"/>
    <w:next w:val="Normal"/>
    <w:link w:val="IntenseQuoteChar"/>
    <w:uiPriority w:val="30"/>
    <w:qFormat/>
    <w:rsid w:val="00465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26E"/>
    <w:rPr>
      <w:i/>
      <w:iCs/>
      <w:color w:val="2F5496" w:themeColor="accent1" w:themeShade="BF"/>
    </w:rPr>
  </w:style>
  <w:style w:type="character" w:styleId="IntenseReference">
    <w:name w:val="Intense Reference"/>
    <w:basedOn w:val="DefaultParagraphFont"/>
    <w:uiPriority w:val="32"/>
    <w:qFormat/>
    <w:rsid w:val="0046526E"/>
    <w:rPr>
      <w:b/>
      <w:bCs/>
      <w:smallCaps/>
      <w:color w:val="2F5496" w:themeColor="accent1" w:themeShade="BF"/>
      <w:spacing w:val="5"/>
    </w:rPr>
  </w:style>
  <w:style w:type="paragraph" w:styleId="ListBullet">
    <w:name w:val="List Bullet"/>
    <w:basedOn w:val="Normal"/>
    <w:uiPriority w:val="99"/>
    <w:unhideWhenUsed/>
    <w:rsid w:val="0046526E"/>
    <w:pPr>
      <w:numPr>
        <w:numId w:val="1"/>
      </w:numPr>
      <w:tabs>
        <w:tab w:val="clear" w:pos="360"/>
      </w:tabs>
      <w:spacing w:after="120" w:line="276" w:lineRule="auto"/>
      <w:ind w:left="0" w:firstLine="0"/>
      <w:contextualSpacing/>
    </w:pPr>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Boitout</dc:creator>
  <cp:keywords/>
  <dc:description/>
  <cp:lastModifiedBy>Nicolas Boitout</cp:lastModifiedBy>
  <cp:revision>1</cp:revision>
  <dcterms:created xsi:type="dcterms:W3CDTF">2026-05-18T12:50:00Z</dcterms:created>
  <dcterms:modified xsi:type="dcterms:W3CDTF">2026-05-18T12:52:00Z</dcterms:modified>
</cp:coreProperties>
</file>