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9FE2" w14:textId="77777777" w:rsidR="00FA5186" w:rsidRDefault="00B37AC9">
      <w:pPr>
        <w:pStyle w:val="Heading1"/>
      </w:pPr>
      <w:bookmarkStart w:id="0" w:name="capítulo-0--introducción"/>
      <w:r>
        <w:t>Capítulo 0 — Introducción</w:t>
      </w:r>
    </w:p>
    <w:p w14:paraId="236462F7" w14:textId="77777777" w:rsidR="00FA5186" w:rsidRDefault="00B37AC9">
      <w:pPr>
        <w:pStyle w:val="Heading2"/>
      </w:pPr>
      <w:bookmarkStart w:id="1" w:name="el-marco-rector-de-este-volumen"/>
      <w:r>
        <w:t>El hilo conductor de este volumen</w:t>
      </w:r>
    </w:p>
    <w:p w14:paraId="5D356A9B" w14:textId="77777777" w:rsidR="00FA5186" w:rsidRDefault="00B37AC9">
      <w:r>
        <w:t>Este tercer volumen de reflexoterapia occipitopodal (ROP) da continuidad a los dos anteriores. Tras estudiar el sistema musculoesquelético y, posteriormente, el sistema neuromeníngeo, abordamos ahora las vísceras abdominopélvicas, el sistema nervioso autónomo y los mecanismos de adaptación al estrés.</w:t>
      </w:r>
    </w:p>
    <w:p w14:paraId="6547A415" w14:textId="77777777" w:rsidR="00FA5186" w:rsidRDefault="00B37AC9">
      <w:pPr>
        <w:pStyle w:val="BodyText"/>
      </w:pPr>
      <w:r>
        <w:t>El objetivo principal es clínico: comprender qué palpamos, por qué se selecciona una zona determinada, cómo establecer las prioridades de una sesión y cómo valorar los cambios que se producen en el paciente. Por ello, el libro combina anatomía y fisiología con mapas prácticos, referencias palpatorias y numerosos casos clínicos.</w:t>
      </w:r>
    </w:p>
    <w:p w14:paraId="086EA96D" w14:textId="77777777" w:rsidR="00FA5186" w:rsidRDefault="00B37AC9">
      <w:pPr>
        <w:pStyle w:val="BodyText"/>
      </w:pPr>
      <w:r>
        <w:t>Asimismo, pretendemos dotar a la ROP visceral de fundamentos científicos más explícitos. No se trata de presentar como demostrados todos los mecanismos propuestos por el método, sino de distinguir entre anatomía establecida, neurofisiología experimental, hipótesis clínica y observación.</w:t>
      </w:r>
    </w:p>
    <w:p w14:paraId="18666E60" w14:textId="77777777" w:rsidR="00FA5186" w:rsidRDefault="00B37AC9">
      <w:pPr>
        <w:pStyle w:val="BodyText"/>
      </w:pPr>
      <w:r>
        <w:t>Esta introducción expone los principales puntos de referencia. Cada uno de los temas aquí presentados se desarrolla en los capítulos correspondientes: la secuencia clínica en el capítulo 2, los fundamentos neuroanatómicos en la parte II y el estrés y la regulación en la parte III.</w:t>
      </w:r>
    </w:p>
    <w:p w14:paraId="2CA5200F" w14:textId="77777777" w:rsidR="00FA5186" w:rsidRDefault="00B37AC9">
      <w:pPr>
        <w:pStyle w:val="Heading2"/>
      </w:pPr>
      <w:bookmarkStart w:id="2" w:name="Xb70f43a751e7a3b0d1c0884ae51e5683263e876"/>
      <w:bookmarkEnd w:id="1"/>
      <w:r>
        <w:t>1. Qué pretende aportar este libro</w:t>
      </w:r>
    </w:p>
    <w:p w14:paraId="55CBA85A" w14:textId="77777777" w:rsidR="00FA5186" w:rsidRDefault="00B37AC9">
      <w:r>
        <w:t>Este volumen no se concibe como un simple atlas de órganos. Propone un marco de razonamiento clínico aplicable a pacientes reales, teniendo en cuenta sus síntomas, historia personal y antecedentes médicos, restricciones locorregionales, estado autonómico y contexto emocional.</w:t>
      </w:r>
    </w:p>
    <w:p w14:paraId="01067AC9" w14:textId="77777777" w:rsidR="00FA5186" w:rsidRDefault="00B37AC9">
      <w:pPr>
        <w:numPr>
          <w:ilvl w:val="0"/>
          <w:numId w:val="11"/>
        </w:numPr>
      </w:pPr>
      <w:r>
        <w:t>Una secuencia clínica sencilla de cuatro niveles para organizar la sesión y establecer prioridades.</w:t>
      </w:r>
    </w:p>
    <w:p w14:paraId="70A12EAF" w14:textId="77777777" w:rsidR="00FA5186" w:rsidRDefault="00B37AC9">
      <w:pPr>
        <w:numPr>
          <w:ilvl w:val="0"/>
          <w:numId w:val="11"/>
        </w:numPr>
      </w:pPr>
      <w:r>
        <w:t>Mapas clínicos podales y occipitales utilizables en la práctica, con referencias anatómicas reproducibles.</w:t>
      </w:r>
    </w:p>
    <w:p w14:paraId="7288DC38" w14:textId="77777777" w:rsidR="00FA5186" w:rsidRDefault="00B37AC9">
      <w:pPr>
        <w:numPr>
          <w:ilvl w:val="0"/>
          <w:numId w:val="11"/>
        </w:numPr>
      </w:pPr>
      <w:r>
        <w:t>Una comprensión accesible de las relaciones viscerosomáticas, somatoviscerales y visceroemocionales.</w:t>
      </w:r>
    </w:p>
    <w:p w14:paraId="07754443" w14:textId="77777777" w:rsidR="00FA5186" w:rsidRDefault="00B37AC9">
      <w:pPr>
        <w:numPr>
          <w:ilvl w:val="0"/>
          <w:numId w:val="11"/>
        </w:numPr>
      </w:pPr>
      <w:r>
        <w:t>Un método de palpación y reevaluación: qué explorar, qué zona abordar, cómo adaptar la técnica manual y cuándo detenerse.</w:t>
      </w:r>
    </w:p>
    <w:p w14:paraId="38C871D1" w14:textId="77777777" w:rsidR="00FA5186" w:rsidRDefault="00B37AC9">
      <w:pPr>
        <w:numPr>
          <w:ilvl w:val="0"/>
          <w:numId w:val="11"/>
        </w:numPr>
      </w:pPr>
      <w:r>
        <w:t>Numerosos casos clínicos que muestran cómo este marco se traslada a la práctica cotidiana.</w:t>
      </w:r>
    </w:p>
    <w:p w14:paraId="7CC33098" w14:textId="77777777" w:rsidR="00FA5186" w:rsidRDefault="00B37AC9">
      <w:pPr>
        <w:numPr>
          <w:ilvl w:val="0"/>
          <w:numId w:val="11"/>
        </w:numPr>
      </w:pPr>
      <w:r>
        <w:t>Un marco científico que permite distinguir entre lo establecido, lo plausible, lo hipotético y lo simplemente observado en la práctica.</w:t>
      </w:r>
    </w:p>
    <w:p w14:paraId="672C36F8" w14:textId="77777777" w:rsidR="00FA5186" w:rsidRDefault="00B37AC9">
      <w:r>
        <w:t>El objetivo sigue siendo sencillo: facilitar la comprensión y la enseñanza del método y hacerlo útil para el mayor número posible de personas, manteniendo al mismo tiempo una actitud de prudencia y reevaluación.</w:t>
      </w:r>
    </w:p>
    <w:p w14:paraId="2645BCC2" w14:textId="77777777" w:rsidR="00FA5186" w:rsidRDefault="00B37AC9">
      <w:pPr>
        <w:pStyle w:val="Heading2"/>
      </w:pPr>
      <w:bookmarkStart w:id="3" w:name="X377c8900803dc5076ca1bc14b418be78d9d0664"/>
      <w:bookmarkEnd w:id="2"/>
      <w:r>
        <w:t>2. La secuencia clínica de la ROP: cuatro niveles complementarios</w:t>
      </w:r>
    </w:p>
    <w:p w14:paraId="5C673132" w14:textId="77777777" w:rsidR="00FA5186" w:rsidRDefault="00B37AC9">
      <w:r>
        <w:t>La ROP organiza el razonamiento clínico en cuatro niveles. No representan cuatro compartimentos anatómicos estrictamente separados ni constituyen cuatro etapas obligatorias. Sirven para identificar hacia dónde debe dirigirse la atención y establecer prioridades.</w:t>
      </w:r>
    </w:p>
    <w:tbl>
      <w:tblPr>
        <w:tblW w:w="0" w:type="auto"/>
        <w:tblLook w:val="0020" w:firstRow="1" w:lastRow="0" w:firstColumn="0" w:lastColumn="0" w:noHBand="0" w:noVBand="0"/>
      </w:tblPr>
      <w:tblGrid>
        <w:gridCol w:w="2321"/>
        <w:gridCol w:w="3355"/>
        <w:gridCol w:w="4292"/>
      </w:tblGrid>
      <w:tr w:rsidR="00FA5186" w14:paraId="6D37B383" w14:textId="77777777">
        <w:trPr>
          <w:tblHeader/>
        </w:trPr>
        <w:tc>
          <w:tcPr>
            <w:tcW w:w="0" w:type="auto"/>
          </w:tcPr>
          <w:p w14:paraId="7DD73961" w14:textId="77777777" w:rsidR="00FA5186" w:rsidRDefault="00B37AC9">
            <w:pPr>
              <w:jc w:val="left"/>
            </w:pPr>
            <w:r>
              <w:t>Nivel</w:t>
            </w:r>
          </w:p>
        </w:tc>
        <w:tc>
          <w:tcPr>
            <w:tcW w:w="0" w:type="auto"/>
          </w:tcPr>
          <w:p w14:paraId="44C145DC" w14:textId="77777777" w:rsidR="00FA5186" w:rsidRDefault="00B37AC9">
            <w:pPr>
              <w:jc w:val="left"/>
            </w:pPr>
            <w:r>
              <w:t>Qué comprende</w:t>
            </w:r>
          </w:p>
        </w:tc>
        <w:tc>
          <w:tcPr>
            <w:tcW w:w="0" w:type="auto"/>
          </w:tcPr>
          <w:p w14:paraId="45A1DA12" w14:textId="77777777" w:rsidR="00FA5186" w:rsidRDefault="00B37AC9">
            <w:pPr>
              <w:jc w:val="left"/>
            </w:pPr>
            <w:r>
              <w:t>Principales referencias</w:t>
            </w:r>
          </w:p>
        </w:tc>
      </w:tr>
      <w:tr w:rsidR="00FA5186" w14:paraId="7A3C3046" w14:textId="77777777">
        <w:tc>
          <w:tcPr>
            <w:tcW w:w="0" w:type="auto"/>
          </w:tcPr>
          <w:p w14:paraId="0CEE93AA" w14:textId="77777777" w:rsidR="00FA5186" w:rsidRDefault="00B37AC9">
            <w:pPr>
              <w:jc w:val="left"/>
            </w:pPr>
            <w:r>
              <w:rPr>
                <w:b/>
                <w:bCs/>
              </w:rPr>
              <w:t>1 — Regulación de los centros superiores</w:t>
            </w:r>
          </w:p>
        </w:tc>
        <w:tc>
          <w:tcPr>
            <w:tcW w:w="0" w:type="auto"/>
          </w:tcPr>
          <w:p w14:paraId="37A3A9F7" w14:textId="77777777" w:rsidR="00FA5186" w:rsidRDefault="00B37AC9">
            <w:pPr>
              <w:jc w:val="left"/>
            </w:pPr>
            <w:r>
              <w:t>Grandes centros de integración y entorno neuromeníngeo. Punto de entrada frecuente cuando el cuadro clínico es difuso o el paciente presenta una elevada reactividad.</w:t>
            </w:r>
          </w:p>
        </w:tc>
        <w:tc>
          <w:tcPr>
            <w:tcW w:w="0" w:type="auto"/>
          </w:tcPr>
          <w:p w14:paraId="1CBC2DF7" w14:textId="77777777" w:rsidR="00FA5186" w:rsidRDefault="00B37AC9">
            <w:pPr>
              <w:jc w:val="left"/>
            </w:pPr>
            <w:r>
              <w:t>Zonas reflejas occipitales; entorno neuromeníngeo craneoespinal y circulación del líquido cefalorraquídeo (LCR); eje craneosacro; tronco encefálico; diencéfalo e hipotálamo; eje hipotálamo-hipofisario.</w:t>
            </w:r>
          </w:p>
        </w:tc>
      </w:tr>
      <w:tr w:rsidR="00FA5186" w14:paraId="207AA28D" w14:textId="77777777">
        <w:tc>
          <w:tcPr>
            <w:tcW w:w="0" w:type="auto"/>
          </w:tcPr>
          <w:p w14:paraId="7214DB92" w14:textId="77777777" w:rsidR="00FA5186" w:rsidRDefault="00B37AC9">
            <w:pPr>
              <w:jc w:val="left"/>
            </w:pPr>
            <w:r>
              <w:rPr>
                <w:b/>
                <w:bCs/>
              </w:rPr>
              <w:t xml:space="preserve">2 — Regulación </w:t>
            </w:r>
            <w:r>
              <w:rPr>
                <w:b/>
                <w:bCs/>
              </w:rPr>
              <w:lastRenderedPageBreak/>
              <w:t>autonómica y adaptación</w:t>
            </w:r>
          </w:p>
        </w:tc>
        <w:tc>
          <w:tcPr>
            <w:tcW w:w="0" w:type="auto"/>
          </w:tcPr>
          <w:p w14:paraId="253870D8" w14:textId="77777777" w:rsidR="00FA5186" w:rsidRDefault="00B37AC9">
            <w:pPr>
              <w:jc w:val="left"/>
            </w:pPr>
            <w:r>
              <w:lastRenderedPageBreak/>
              <w:t xml:space="preserve">Vías autonómicas y sistemas </w:t>
            </w:r>
            <w:r>
              <w:lastRenderedPageBreak/>
              <w:t>implicados en la adaptación. El objetivo es la flexibilidad autonómica, no un estado simpático o parasimpático ideal.</w:t>
            </w:r>
          </w:p>
        </w:tc>
        <w:tc>
          <w:tcPr>
            <w:tcW w:w="0" w:type="auto"/>
          </w:tcPr>
          <w:p w14:paraId="014DCB3D" w14:textId="77777777" w:rsidR="00FA5186" w:rsidRDefault="00B37AC9">
            <w:pPr>
              <w:jc w:val="left"/>
            </w:pPr>
            <w:r>
              <w:lastRenderedPageBreak/>
              <w:t xml:space="preserve">Nervio vago y vías parasimpáticas; vías </w:t>
            </w:r>
            <w:r>
              <w:lastRenderedPageBreak/>
              <w:t>parasimpáticas sacras; cadenas simpáticas y nervios esplácnicos; plexos prevertebrales y previscerales; glándulas suprarrenales; diafragma.</w:t>
            </w:r>
          </w:p>
        </w:tc>
      </w:tr>
      <w:tr w:rsidR="00FA5186" w14:paraId="220320B3" w14:textId="77777777">
        <w:tc>
          <w:tcPr>
            <w:tcW w:w="0" w:type="auto"/>
          </w:tcPr>
          <w:p w14:paraId="1BBAC854" w14:textId="77777777" w:rsidR="00FA5186" w:rsidRDefault="00B37AC9">
            <w:pPr>
              <w:jc w:val="left"/>
            </w:pPr>
            <w:r>
              <w:rPr>
                <w:b/>
                <w:bCs/>
              </w:rPr>
              <w:lastRenderedPageBreak/>
              <w:t>3 — Regulación locorregional y diana visceral</w:t>
            </w:r>
          </w:p>
        </w:tc>
        <w:tc>
          <w:tcPr>
            <w:tcW w:w="0" w:type="auto"/>
          </w:tcPr>
          <w:p w14:paraId="67A3F9F8" w14:textId="77777777" w:rsidR="00FA5186" w:rsidRDefault="00B37AC9">
            <w:pPr>
              <w:jc w:val="left"/>
            </w:pPr>
            <w:r>
              <w:t>Entorno anatómico y funcional de la diana, seguido de la propia diana visceral o funcional.</w:t>
            </w:r>
          </w:p>
        </w:tc>
        <w:tc>
          <w:tcPr>
            <w:tcW w:w="0" w:type="auto"/>
          </w:tcPr>
          <w:p w14:paraId="18B9912D" w14:textId="77777777" w:rsidR="00FA5186" w:rsidRDefault="00B37AC9">
            <w:pPr>
              <w:jc w:val="left"/>
            </w:pPr>
            <w:r>
              <w:t>Cavidad abdominal o pélvica; peritoneo e interfaces serosas; mesos (pliegues peritoneales) y sus raíces; fascias y ligamentos viscerales; relaciones interviscerales; hiatos y pasos regionales; zona refleja específica del órgano y sus subterritorios.</w:t>
            </w:r>
          </w:p>
        </w:tc>
      </w:tr>
      <w:tr w:rsidR="00FA5186" w14:paraId="57E225ED" w14:textId="77777777">
        <w:tc>
          <w:tcPr>
            <w:tcW w:w="0" w:type="auto"/>
          </w:tcPr>
          <w:p w14:paraId="6D0A3317" w14:textId="77777777" w:rsidR="00FA5186" w:rsidRDefault="00B37AC9">
            <w:pPr>
              <w:jc w:val="left"/>
            </w:pPr>
            <w:r>
              <w:rPr>
                <w:b/>
                <w:bCs/>
              </w:rPr>
              <w:t>4 — Integración viscerosomática y visceroemocional</w:t>
            </w:r>
          </w:p>
        </w:tc>
        <w:tc>
          <w:tcPr>
            <w:tcW w:w="0" w:type="auto"/>
          </w:tcPr>
          <w:p w14:paraId="3B56DECF" w14:textId="77777777" w:rsidR="00FA5186" w:rsidRDefault="00B37AC9">
            <w:pPr>
              <w:jc w:val="left"/>
            </w:pPr>
            <w:r>
              <w:t>Vinculación de la diana con sus manifestaciones somáticas y su contexto emocional.</w:t>
            </w:r>
          </w:p>
        </w:tc>
        <w:tc>
          <w:tcPr>
            <w:tcW w:w="0" w:type="auto"/>
          </w:tcPr>
          <w:p w14:paraId="0EAE82F2" w14:textId="77777777" w:rsidR="00FA5186" w:rsidRDefault="00B37AC9">
            <w:pPr>
              <w:jc w:val="left"/>
            </w:pPr>
            <w:r>
              <w:t>Relaciones viscerosomáticas: niveles segmentarios, nervios somáticos y convergencias; músculos, articulaciones y territorios dolorosos asociados; interocepción y contexto emocional; redes límbicas y corticolímbicas.</w:t>
            </w:r>
          </w:p>
        </w:tc>
      </w:tr>
    </w:tbl>
    <w:p w14:paraId="19D5CECA" w14:textId="77777777" w:rsidR="00FA5186" w:rsidRDefault="00B37AC9">
      <w:pPr>
        <w:pStyle w:val="BodyText"/>
      </w:pPr>
      <w:r>
        <w:t>Cuatro precisiones acompañan a esta tabla y se aplican a todo el libro.</w:t>
      </w:r>
    </w:p>
    <w:p w14:paraId="3A6ADF1E" w14:textId="77777777" w:rsidR="00FA5186" w:rsidRDefault="00B37AC9">
      <w:pPr>
        <w:pStyle w:val="BodyText"/>
      </w:pPr>
      <w:r>
        <w:t>Las zonas propuestas en el nivel 1 son referencias clínicas. No deben interpretarse como la proyección anatómica directa de una estructura cerebral sobre el pie o el occipucio.</w:t>
      </w:r>
    </w:p>
    <w:p w14:paraId="30FE6388" w14:textId="77777777" w:rsidR="00FA5186" w:rsidRDefault="00B37AC9">
      <w:pPr>
        <w:pStyle w:val="BodyText"/>
      </w:pPr>
      <w:r>
        <w:t>Desde el punto de vista anatómico, el diafragma no forma parte del sistema nervioso autónomo. Se incluye en el nivel 2 por su función en la respiración, el tono y la valoración del estado general del paciente.</w:t>
      </w:r>
    </w:p>
    <w:p w14:paraId="2A3D25E2" w14:textId="77777777" w:rsidR="00FA5186" w:rsidRDefault="00B37AC9">
      <w:pPr>
        <w:pStyle w:val="BodyText"/>
      </w:pPr>
      <w:r>
        <w:t>La diana visceral o funcional pertenece al nivel 3, junto con el entorno regional que la condiciona. El nivel 4 no repite el trabajo sobre el órgano: relaciona la diana con sus manifestaciones somáticas y su contexto emocional. Esta distribución se utiliza en todos los capítulos viscerales del presente volumen.</w:t>
      </w:r>
    </w:p>
    <w:p w14:paraId="06E321E7" w14:textId="77777777" w:rsidR="00FA5186" w:rsidRDefault="00B37AC9">
      <w:pPr>
        <w:pStyle w:val="BodyText"/>
      </w:pPr>
      <w:r>
        <w:t>En el nivel 4, es preferible hablar de redes límbicas y corticolímbicas, en lugar de un único «sistema límbico» cerrado. Cuando se utiliza, la expresión «equilibrio entre el cerebro límbico y el órgano» pertenece al vocabulario clínico de la ROP; no describe una conexión anatómica directa ni presupone una correspondencia fija entre una emoción y un órgano o una causa psicológica del síntoma.</w:t>
      </w:r>
    </w:p>
    <w:p w14:paraId="52984361" w14:textId="77777777" w:rsidR="00FA5186" w:rsidRDefault="00B37AC9">
      <w:pPr>
        <w:pStyle w:val="BodyText"/>
      </w:pPr>
      <w:r>
        <w:t>El capítulo 2 desarrolla esta secuencia, su aplicación práctica y sus variaciones según la situación clínica.</w:t>
      </w:r>
    </w:p>
    <w:p w14:paraId="365DBD60" w14:textId="77777777" w:rsidR="00FA5186" w:rsidRDefault="00B37AC9">
      <w:pPr>
        <w:pStyle w:val="Heading2"/>
      </w:pPr>
      <w:bookmarkStart w:id="4" w:name="X21a8645883aedc398321afcc61ad21bb1820861"/>
      <w:bookmarkEnd w:id="3"/>
      <w:r>
        <w:t>3. Una progresión clínica, no un protocolo rígido</w:t>
      </w:r>
    </w:p>
    <w:p w14:paraId="4536DD3F" w14:textId="77777777" w:rsidR="00FA5186" w:rsidRDefault="00B37AC9">
      <w:r>
        <w:t>La secuencia de cuatro niveles constituye un marco de priorización. Ayuda al profesional a evitar que la sesión se reduzca a la búsqueda de un órgano o de un punto reflejo.</w:t>
      </w:r>
    </w:p>
    <w:p w14:paraId="64D29DC4" w14:textId="77777777" w:rsidR="00FA5186" w:rsidRDefault="00B37AC9">
      <w:pPr>
        <w:pStyle w:val="BodyText"/>
      </w:pPr>
      <w:r>
        <w:t>Ante un trastorno visceral funcional, la valoración suele comenzar explorando los factores que pueden relacionarse con los niveles 1 y/o 2. En el nivel 3, el profesional aborda a continuación el entorno locorregional y después la propia diana visceral o funcional, antes de integrar sus manifestaciones somáticas y su contexto emocional en el nivel 4. No obstante, el orden real se adapta a la anamnesis, el síntoma principal, los antecedentes médicos, traumáticos o quirúrgicos, los resultados de las pruebas, l</w:t>
      </w:r>
      <w:r>
        <w:t>a tolerancia al contacto y la respuesta observada. Cuando la diana visceral está claramente identificada, el nivel 3 puede abordarse de forma directa o temprana, y el entorno regional solo se trata si parece contribuir al cuadro clínico. A la inversa, el nivel 4 puede ocupar un lugar central cuando predominan las manifestaciones somáticas o el contexto emocional.</w:t>
      </w:r>
    </w:p>
    <w:p w14:paraId="7EFB46E9" w14:textId="77777777" w:rsidR="00FA5186" w:rsidRDefault="00B37AC9">
      <w:pPr>
        <w:pStyle w:val="BodyText"/>
      </w:pPr>
      <w:r>
        <w:t>Esta priorización es un marco clínico, no un modelo causal impuesto. No sustituye el diagnóstico médico ni puede utilizarse para descartar una enfermedad orgánica.</w:t>
      </w:r>
    </w:p>
    <w:p w14:paraId="08DC4944" w14:textId="77777777" w:rsidR="00FA5186" w:rsidRDefault="00B37AC9">
      <w:pPr>
        <w:pStyle w:val="BodyText"/>
      </w:pPr>
      <w:r>
        <w:rPr>
          <w:b/>
          <w:bCs/>
        </w:rPr>
        <w:t>Principio práctico:</w:t>
      </w:r>
      <w:r>
        <w:t xml:space="preserve"> valorar, priorizar, adaptar, tratar y, a continuación, reevaluar. Los niveles están destinados a organizar el razonamiento; nunca deben convertirse en una secuencia automática.</w:t>
      </w:r>
    </w:p>
    <w:p w14:paraId="05F3697C" w14:textId="77777777" w:rsidR="00FA5186" w:rsidRDefault="00B37AC9">
      <w:pPr>
        <w:pStyle w:val="Heading2"/>
      </w:pPr>
      <w:bookmarkStart w:id="5" w:name="X442d747592c1895499faab8281d855271ca4d57"/>
      <w:bookmarkEnd w:id="4"/>
      <w:r>
        <w:lastRenderedPageBreak/>
        <w:t>4. Estrés y adaptación: una dinámica transversal</w:t>
      </w:r>
    </w:p>
    <w:p w14:paraId="66225ADD" w14:textId="77777777" w:rsidR="00FA5186" w:rsidRDefault="00B37AC9">
      <w:r>
        <w:t>El estrés y la teoría polivagal no constituyen un quinto nivel. Describen la dinámica que vincula los cuatro niveles a lo largo del tiempo.</w:t>
      </w:r>
    </w:p>
    <w:p w14:paraId="4F04BF8E" w14:textId="77777777" w:rsidR="00FA5186" w:rsidRDefault="00B37AC9">
      <w:pPr>
        <w:pStyle w:val="BodyText"/>
      </w:pPr>
      <w:r>
        <w:t>El estrés moviliza el sistema nervioso central, el sistema nervioso autónomo, los sistemas hormonales, la musculatura, la respiración y las vísceras. Esta movilización es útil cuando es proporcionada, limitada en el tiempo y seguida de recuperación.</w:t>
      </w:r>
    </w:p>
    <w:p w14:paraId="04357A50" w14:textId="77777777" w:rsidR="00FA5186" w:rsidRDefault="00B37AC9">
      <w:pPr>
        <w:pStyle w:val="BodyText"/>
      </w:pPr>
      <w:r>
        <w:t>Puede volverse problemática cuando:</w:t>
      </w:r>
    </w:p>
    <w:p w14:paraId="12A20CBB" w14:textId="77777777" w:rsidR="00FA5186" w:rsidRDefault="00B37AC9">
      <w:pPr>
        <w:numPr>
          <w:ilvl w:val="0"/>
          <w:numId w:val="12"/>
        </w:numPr>
      </w:pPr>
      <w:r>
        <w:t>persiste o se repite sin una recuperación suficiente;</w:t>
      </w:r>
    </w:p>
    <w:p w14:paraId="6DCF2837" w14:textId="77777777" w:rsidR="00FA5186" w:rsidRDefault="00B37AC9">
      <w:pPr>
        <w:numPr>
          <w:ilvl w:val="0"/>
          <w:numId w:val="12"/>
        </w:numPr>
      </w:pPr>
      <w:r>
        <w:t>sigue siendo desproporcionada respecto al factor estresante;</w:t>
      </w:r>
    </w:p>
    <w:p w14:paraId="3F46AE5B" w14:textId="77777777" w:rsidR="00FA5186" w:rsidRDefault="00B37AC9">
      <w:pPr>
        <w:numPr>
          <w:ilvl w:val="0"/>
          <w:numId w:val="12"/>
        </w:numPr>
      </w:pPr>
      <w:r>
        <w:t>no se resuelve una vez modificada la situación;</w:t>
      </w:r>
    </w:p>
    <w:p w14:paraId="159BB3F3" w14:textId="77777777" w:rsidR="00FA5186" w:rsidRDefault="00B37AC9">
      <w:pPr>
        <w:numPr>
          <w:ilvl w:val="0"/>
          <w:numId w:val="12"/>
        </w:numPr>
      </w:pPr>
      <w:r>
        <w:t>reduce progresivamente la capacidad adaptativa del paciente.</w:t>
      </w:r>
    </w:p>
    <w:p w14:paraId="1153316B" w14:textId="77777777" w:rsidR="00FA5186" w:rsidRDefault="00B37AC9">
      <w:r>
        <w:t>Los capítulos dedicados al estrés y a la teoría polivagal ofrecen, por tanto, una perspectiva transversal sobre la movilización, la protección, la adaptación y la recuperación.</w:t>
      </w:r>
    </w:p>
    <w:p w14:paraId="3F9B9BEE" w14:textId="77777777" w:rsidR="00FA5186" w:rsidRDefault="00B37AC9">
      <w:pPr>
        <w:pStyle w:val="BodyText"/>
      </w:pPr>
      <w:r>
        <w:t>De acuerdo con el criterio de rigor expuesto más adelante, debe explicitarse el carácter de este marco. La teoría polivagal ofrece un vocabulario clínico útil para describir los estados de movilización y recuperación, y tiene el mérito de situar la regulación autonómica en el centro del acompañamiento clínico. Sin embargo, varias de sus hipótesis anatómicas y filogenéticas han sido objeto de críticas sustanciales en la literatura neurofisiológica. Por ello, la utilizamos como marco descriptivo y no como mec</w:t>
      </w:r>
      <w:r>
        <w:t>anismo demostrado, distinguiendo la organización vagal establecida de su interpretación.</w:t>
      </w:r>
    </w:p>
    <w:p w14:paraId="4FB9CCEE" w14:textId="77777777" w:rsidR="00FA5186" w:rsidRDefault="00B37AC9">
      <w:pPr>
        <w:pStyle w:val="Heading2"/>
      </w:pPr>
      <w:bookmarkStart w:id="6" w:name="X45d6abd1e6f9b2e11aa39e6936f3938ccf2cc83"/>
      <w:bookmarkEnd w:id="5"/>
      <w:r>
        <w:t>5. Cartografía ROP: una herramienta clínica, no una miniatura anatómica</w:t>
      </w:r>
    </w:p>
    <w:p w14:paraId="25F7ADA4" w14:textId="77777777" w:rsidR="00FA5186" w:rsidRDefault="00B37AC9">
      <w:r>
        <w:t>La ROP utiliza una cartografía tridimensional del cuerpo en el pie, concebida históricamente como un cuerpo en posición fetal. Esta representación es una herramienta de localización propia del método. No significa que un órgano se proyecte físicamente sobre un punto del pie.</w:t>
      </w:r>
    </w:p>
    <w:p w14:paraId="29CD24A0" w14:textId="77777777" w:rsidR="00FA5186" w:rsidRDefault="00B37AC9">
      <w:pPr>
        <w:pStyle w:val="BodyText"/>
      </w:pPr>
      <w:r>
        <w:t>Esta distinción es esencial para interpretar el resto del libro. Los mapas clínicos se conservan porque estructuran la práctica. Sin embargo, siempre que es posible, se consideran junto con la inervación real, los niveles espinales y las redes neurales conocidas.</w:t>
      </w:r>
    </w:p>
    <w:p w14:paraId="3E02E2DF" w14:textId="77777777" w:rsidR="00FA5186" w:rsidRDefault="00B37AC9">
      <w:pPr>
        <w:pStyle w:val="BodyText"/>
      </w:pPr>
      <w:r>
        <w:t>El pie no es una miniatura anatómica del cuerpo. No obstante, puede considerarse una interfaz sensorial rica.</w:t>
      </w:r>
    </w:p>
    <w:p w14:paraId="0FC64933" w14:textId="77777777" w:rsidR="00FA5186" w:rsidRDefault="00B37AC9">
      <w:pPr>
        <w:pStyle w:val="Heading2"/>
      </w:pPr>
      <w:bookmarkStart w:id="7" w:name="X4c0430702955fbd6ed0ef3bc026195b09985a4c"/>
      <w:bookmarkEnd w:id="6"/>
      <w:r>
        <w:t>6. Fundamentos neuroanatómicos, en síntesis</w:t>
      </w:r>
    </w:p>
    <w:p w14:paraId="44F2E83E" w14:textId="77777777" w:rsidR="00FA5186" w:rsidRDefault="00B37AC9">
      <w:r>
        <w:t>La presión manual deforma la piel y los tejidos subyacentes, activa mecanorreceptores y genera una actividad aferente que alcanza los nervios periféricos, la médula espinal y, posteriormente, los centros superiores [2,3]. La dirección, la duración, el área de contacto y la profundidad de la técnica pueden modificar las poblaciones sensoriales reclutadas.</w:t>
      </w:r>
    </w:p>
    <w:p w14:paraId="35C46DA3" w14:textId="77777777" w:rsidR="00FA5186" w:rsidRDefault="00B37AC9">
      <w:pPr>
        <w:pStyle w:val="BodyText"/>
      </w:pPr>
      <w:r>
        <w:t>En el pie pueden distinguirse cuatro grandes vías de entrada somáticas: la vía plantar, cuyas ramas se unen principalmente al nervio tibial; la vía lateral, sural; la vía dorsal, correspondiente a los nervios fibulares (peroneos); y la vía medial, safena [1]. No son equivalentes ni por su inervación periférica ni por sus raíces. Incluso dentro del territorio tibial, las ramas plantares y calcáneas no son intercambiables.</w:t>
      </w:r>
    </w:p>
    <w:p w14:paraId="4BAEDB42" w14:textId="77777777" w:rsidR="00FA5186" w:rsidRDefault="00B37AC9">
      <w:pPr>
        <w:pStyle w:val="BodyText"/>
      </w:pPr>
      <w:r>
        <w:t>Conviene descartar desde el principio una fuente frecuente de confusión: los mapas dermatómicos sitúan el pie principalmente en L4, L5 y S1 [4]. Un dermatoma describe el origen radicular predominante de un territorio cutáneo, mientras que un nervio periférico mixto contiene axones procedentes de varias raíces. Por tanto, una zona plantar nunca es un «dermatoma S2».</w:t>
      </w:r>
    </w:p>
    <w:p w14:paraId="0E1E530A" w14:textId="77777777" w:rsidR="00FA5186" w:rsidRDefault="00B37AC9">
      <w:pPr>
        <w:pStyle w:val="BodyText"/>
      </w:pPr>
      <w:r>
        <w:t>Una vez dentro del sistema nervioso, la información somática puede encontrarse con circuitos viscerales en varios niveles: solapamiento segmentario, convergencia entre interneuronas espinales, conexiones intersegmentarias e integración supraespinal. En este libro utilizamos el término «puente neuroanatómico» para describir estas posibles convergencias. No se trata de un cable directo entre un punto y un órgano, sino de una posible vía de entrada en una red.</w:t>
      </w:r>
    </w:p>
    <w:p w14:paraId="3C6454DD" w14:textId="77777777" w:rsidR="00FA5186" w:rsidRDefault="00B37AC9">
      <w:pPr>
        <w:pStyle w:val="BodyText"/>
      </w:pPr>
      <w:r>
        <w:t>Por consiguiente, varias vías de entrada pueden producir un efecto sin ser equivalentes. El solapamiento anatómico refuerza sobre todo la plausibilidad de una focalización regional; su ausencia no excluye una modulación más general.</w:t>
      </w:r>
    </w:p>
    <w:p w14:paraId="70187EE5" w14:textId="77777777" w:rsidR="00FA5186" w:rsidRDefault="00B37AC9">
      <w:pPr>
        <w:pStyle w:val="BodyText"/>
      </w:pPr>
      <w:r>
        <w:t>Dado que el método es occipitopodal, también merece mencionarse su componente cefálico. Cuenta con un punto de apoyo experimental: en animales, la estimulación de la extremidad posterior puede modificar una salida parasimpática craneal pese a la ausencia de solapamiento segmentario, sin demostrar por ello una correspondencia topográfica precisa [18].</w:t>
      </w:r>
    </w:p>
    <w:p w14:paraId="76C90482" w14:textId="77777777" w:rsidR="00FA5186" w:rsidRDefault="00B37AC9">
      <w:pPr>
        <w:pStyle w:val="Heading2"/>
      </w:pPr>
      <w:bookmarkStart w:id="8" w:name="Xb11a130e4323bce96c5d2e92fb31da2743176c9"/>
      <w:bookmarkEnd w:id="7"/>
      <w:r>
        <w:t>7. La pelvis: una región especialmente informativa</w:t>
      </w:r>
    </w:p>
    <w:p w14:paraId="18BEF008" w14:textId="77777777" w:rsidR="00FA5186" w:rsidRDefault="00B37AC9">
      <w:r>
        <w:t>La pelvis menor ofrece el ejemplo más claro para comprender esta lógica. La plausibilidad de la ROP pélvica se basa en tres argumentos independientes, y no en uno solo.</w:t>
      </w:r>
    </w:p>
    <w:p w14:paraId="700B1FAC" w14:textId="77777777" w:rsidR="00FA5186" w:rsidRDefault="00B37AC9">
      <w:pPr>
        <w:pStyle w:val="BodyText"/>
      </w:pPr>
      <w:r>
        <w:rPr>
          <w:b/>
          <w:bCs/>
        </w:rPr>
        <w:t>Proximidad segmentaria.</w:t>
      </w:r>
      <w:r>
        <w:t xml:space="preserve"> </w:t>
      </w:r>
      <w:r>
        <w:t>El nervio tibial es multirradicular, clásicamente L4-S3, aunque la constancia de la contribución de S3 varía según las fuentes anatómicas [1]. Muchos circuitos pélvicos se organizan en torno a S2-S4 [13]; el posible solapamiento afecta, por tanto, principalmente a S2 y S3. Esto no significa que una aferencia plantar seleccione un órgano, sino que puede alcanzar redes lumbosacras que también procesan información perineal y visceral.</w:t>
      </w:r>
    </w:p>
    <w:p w14:paraId="75CAEF3C" w14:textId="77777777" w:rsidR="00FA5186" w:rsidRDefault="00B37AC9">
      <w:pPr>
        <w:pStyle w:val="BodyText"/>
      </w:pPr>
      <w:r>
        <w:rPr>
          <w:b/>
          <w:bCs/>
        </w:rPr>
        <w:t>Amplitud de la documentación científica.</w:t>
      </w:r>
      <w:r>
        <w:t xml:space="preserve"> </w:t>
      </w:r>
      <w:r>
        <w:t>La vejiga es actualmente el modelo mejor documentado: los ensayos aleatorizados controlados frente a un procedimiento simulado respaldan la eficacia de la estimulación percutánea del nervio tibial en la vejiga hiperactiva [5], mientras que los estudios mecanísticos muestran la participación de circuitos interneuronales sacros y relevos supraespinales [6,7]. El colon distal y el recto constituyen una prolongación lógica de este modelo, ya que las redes pélvicas funcionan de forma integrada y no como una mera</w:t>
      </w:r>
      <w:r>
        <w:t xml:space="preserve"> yuxtaposición de órganos [14,15].</w:t>
      </w:r>
    </w:p>
    <w:p w14:paraId="0548C46A" w14:textId="77777777" w:rsidR="00FA5186" w:rsidRDefault="00B37AC9">
      <w:pPr>
        <w:pStyle w:val="BodyText"/>
      </w:pPr>
      <w:r>
        <w:rPr>
          <w:b/>
          <w:bCs/>
        </w:rPr>
        <w:t>Independencia respecto de la coincidencia anatómica.</w:t>
      </w:r>
      <w:r>
        <w:t xml:space="preserve"> </w:t>
      </w:r>
      <w:r>
        <w:t>Este es el argumento más sólido. El nervio safeno, cuyo territorio es predominantemente lumbar, no presenta solapamiento S2-S4; en un modelo estrictamente segmentario, debería haber constituido el control negativo ideal. Sin embargo, su estimulación inhibe la función vesical en animales [8], mediante una vía aparentemente supraespinal [9], y un primer estudio clínico de viabilidad describe una elevada proporción de respondedores [10]. La conclusión es clara: la proximidad segmentaria no es una condición nec</w:t>
      </w:r>
      <w:r>
        <w:t>esaria. Refuerza la plausibilidad de una focalización regional, pero el acceso a las redes pélvicas desde la extremidad inferior no depende de la presencia constante de una raíz concreta.</w:t>
      </w:r>
    </w:p>
    <w:p w14:paraId="53A3D479" w14:textId="77777777" w:rsidR="00FA5186" w:rsidRDefault="00B37AC9">
      <w:pPr>
        <w:pStyle w:val="BodyText"/>
      </w:pPr>
      <w:r>
        <w:t>Un modelo que conserva su plausibilidad cuando se elimina su argumento más citado es un modelo más robusto, no más frágil. En la experiencia clínica con ROP, la región pélvica figura asimismo entre los territorios en los que las respuestas observadas resultan más destacables. Esta observación no demuestra una eficacia específica; ofrece un contexto especialmente útil para comparar la cartografía del método con los mecanismos conocidos.</w:t>
      </w:r>
    </w:p>
    <w:p w14:paraId="4F1B081D" w14:textId="77777777" w:rsidR="00FA5186" w:rsidRDefault="00B37AC9">
      <w:pPr>
        <w:pStyle w:val="Heading2"/>
      </w:pPr>
      <w:bookmarkStart w:id="9" w:name="Xcac38c427e1f08d744df6b502c5611e826c70dd"/>
      <w:bookmarkEnd w:id="8"/>
      <w:r>
        <w:t>8. Más allá de la pelvis: modulación a distancia y técnica manual</w:t>
      </w:r>
    </w:p>
    <w:p w14:paraId="5B13186D" w14:textId="77777777" w:rsidR="00FA5186" w:rsidRDefault="00B37AC9">
      <w:r>
        <w:t>La ausencia de proximidad segmentaria no excluye toda modulación. Una aferencia somática puede alcanzar el tronco encefálico y las redes corticales y, después, modificar mediante órdenes descendentes la excitabilidad de los circuitos espinales y autonómicos. La literatura sobre los reflejos somatoautonómicos documenta ampliamente este principio [16].</w:t>
      </w:r>
    </w:p>
    <w:p w14:paraId="069CE9EA" w14:textId="77777777" w:rsidR="00FA5186" w:rsidRDefault="00B37AC9">
      <w:pPr>
        <w:pStyle w:val="BodyText"/>
      </w:pPr>
      <w:r>
        <w:t>Este razonamiento comporta dos limitaciones: cuanto más depende una hipótesis de relevos supraespinales generales, menos respalda una afirmación de especificidad regional; además, en tales casos, el efecto debe documentarse órgano por órgano.</w:t>
      </w:r>
    </w:p>
    <w:p w14:paraId="4CC66117" w14:textId="77777777" w:rsidR="00FA5186" w:rsidRDefault="00B37AC9">
      <w:pPr>
        <w:pStyle w:val="BodyText"/>
      </w:pPr>
      <w:r>
        <w:t>Persiste una objeción específica a la ROP, que tomamos en serio: la evidencia procedente de la neuromodulación eléctrica no demuestra el efecto de la presión manual. Esta distinción se reiterará a lo largo del libro.</w:t>
      </w:r>
    </w:p>
    <w:p w14:paraId="71879A33" w14:textId="77777777" w:rsidR="00FA5186" w:rsidRDefault="00B37AC9">
      <w:pPr>
        <w:pStyle w:val="BodyText"/>
      </w:pPr>
      <w:r>
        <w:t>Ello no significa que la técnica manual carezca de fundamento experimental. Una estimulación mecánica cutánea suave, aplicada especialmente a la extremidad posterior, modifica la función vesical mediante un mecanismo identificado [12]. Un ensayo controlado aleatorizado realizado en un entorno hospitalario evaluó asimismo la reflexología plantar manual tras cirugía oncológica rectal: entre los 108 pacientes analizados, se redujo la incidencia de íleo posoperatorio, así como el tiempo transcurrido hasta la re</w:t>
      </w:r>
      <w:r>
        <w:t>anudación de la alimentación y del tránsito intestinal [11]. El estudio fue monocéntrico, no incluyó una sesión simulada en el grupo control y utilizó un protocolo derivado de la reflexología plantar convencional, no de la ROP.</w:t>
      </w:r>
    </w:p>
    <w:p w14:paraId="7A33977A" w14:textId="77777777" w:rsidR="00FA5186" w:rsidRDefault="00B37AC9">
      <w:pPr>
        <w:pStyle w:val="BodyText"/>
      </w:pPr>
      <w:r>
        <w:t>Ninguno de estos estudios evalúa específicamente la ROP. Sin embargo, aportan datos pertinentes para diseñar un programa de investigación sobre el método.</w:t>
      </w:r>
    </w:p>
    <w:p w14:paraId="28471464" w14:textId="77777777" w:rsidR="00FA5186" w:rsidRDefault="00B37AC9">
      <w:pPr>
        <w:pStyle w:val="Heading3"/>
      </w:pPr>
      <w:bookmarkStart w:id="10" w:name="X4143985b9573cc0ff3cdbabec691aed5b81a2b9"/>
      <w:r>
        <w:t>Para ampliar la información sobre los mecanismos descritos en los apartados 6 a 8</w:t>
      </w:r>
    </w:p>
    <w:p w14:paraId="49E5F78D" w14:textId="77777777" w:rsidR="00FA5186" w:rsidRDefault="00B37AC9">
      <w:r>
        <w:t>Los lectores que deseen consultar las fuentes detalladas, una comparación de las cuatro vías somáticas, la documentación científica completa sobre el nervio safeno y la bibliografía íntegra pueden hacerlo en la página específica del sitio web del método:</w:t>
      </w:r>
    </w:p>
    <w:p w14:paraId="1656B10B" w14:textId="77777777" w:rsidR="00FA5186" w:rsidRDefault="00B37AC9">
      <w:pPr>
        <w:pStyle w:val="BodyText"/>
      </w:pPr>
      <w:hyperlink r:id="rId7">
        <w:r>
          <w:t>www.guy-boitout.com/fondements-neuro-anatomiques</w:t>
        </w:r>
      </w:hyperlink>
    </w:p>
    <w:p w14:paraId="16D2BE27" w14:textId="77777777" w:rsidR="00FA5186" w:rsidRDefault="00B37AC9">
      <w:pPr>
        <w:pStyle w:val="BodyText"/>
      </w:pPr>
      <w:r>
        <w:t>Esta página se actualiza a medida que aparecen nuevas publicaciones y constituye un complemento vivo de este capítulo.</w:t>
      </w:r>
    </w:p>
    <w:p w14:paraId="2DD598C3" w14:textId="77777777" w:rsidR="00FA5186" w:rsidRDefault="00B37AC9">
      <w:pPr>
        <w:pStyle w:val="Heading2"/>
      </w:pPr>
      <w:bookmarkStart w:id="11" w:name="X7f1fbac2c21d0cd1f9cbd4a4a2dc49740454d75"/>
      <w:bookmarkEnd w:id="9"/>
      <w:bookmarkEnd w:id="10"/>
      <w:r>
        <w:t>9. Cómo leer este libro</w:t>
      </w:r>
    </w:p>
    <w:p w14:paraId="76524C53" w14:textId="77777777" w:rsidR="00FA5186" w:rsidRDefault="00B37AC9">
      <w:r>
        <w:t>Cada parte del libro responde a una cuestión clínica. Los mapas y los casos clínicos deben leerse conjuntamente con los capítulos anatómicos, no de forma aislada.</w:t>
      </w:r>
    </w:p>
    <w:p w14:paraId="4E470409" w14:textId="77777777" w:rsidR="00FA5186" w:rsidRDefault="00B37AC9">
      <w:pPr>
        <w:numPr>
          <w:ilvl w:val="0"/>
          <w:numId w:val="13"/>
        </w:numPr>
      </w:pPr>
      <w:r>
        <w:rPr>
          <w:b/>
          <w:bCs/>
        </w:rPr>
        <w:t>Parte I — Introducción:</w:t>
      </w:r>
      <w:r>
        <w:t xml:space="preserve"> </w:t>
      </w:r>
      <w:r>
        <w:t>principios generales, tratamiento, anamnesis, pruebas, priorización, seguridad y reevaluación.</w:t>
      </w:r>
    </w:p>
    <w:p w14:paraId="1572BF17" w14:textId="77777777" w:rsidR="00FA5186" w:rsidRDefault="00B37AC9">
      <w:pPr>
        <w:numPr>
          <w:ilvl w:val="0"/>
          <w:numId w:val="13"/>
        </w:numPr>
      </w:pPr>
      <w:r>
        <w:rPr>
          <w:b/>
          <w:bCs/>
        </w:rPr>
        <w:t>Parte II — Sistemas nerviosos:</w:t>
      </w:r>
      <w:r>
        <w:t xml:space="preserve"> sistema nervioso central, sistema nervioso autónomo y fundamentos neuroanatómicos de las vías somáticas.</w:t>
      </w:r>
    </w:p>
    <w:p w14:paraId="6E198575" w14:textId="77777777" w:rsidR="00FA5186" w:rsidRDefault="00B37AC9">
      <w:pPr>
        <w:numPr>
          <w:ilvl w:val="0"/>
          <w:numId w:val="13"/>
        </w:numPr>
      </w:pPr>
      <w:r>
        <w:rPr>
          <w:b/>
          <w:bCs/>
        </w:rPr>
        <w:t>Parte III — Estrés y regulación:</w:t>
      </w:r>
      <w:r>
        <w:t xml:space="preserve"> mecanismos transversales de movilización, adaptación y recuperación.</w:t>
      </w:r>
    </w:p>
    <w:p w14:paraId="6421CADE" w14:textId="77777777" w:rsidR="00FA5186" w:rsidRDefault="00B37AC9">
      <w:pPr>
        <w:numPr>
          <w:ilvl w:val="0"/>
          <w:numId w:val="13"/>
        </w:numPr>
      </w:pPr>
      <w:r>
        <w:rPr>
          <w:b/>
          <w:bCs/>
        </w:rPr>
        <w:t>Parte IV — Vísceras abdominales:</w:t>
      </w:r>
      <w:r>
        <w:t xml:space="preserve"> cavidad abdominal, diafragma, peritoneo, mesos y órganos digestivos.</w:t>
      </w:r>
    </w:p>
    <w:p w14:paraId="7F70A01B" w14:textId="77777777" w:rsidR="00FA5186" w:rsidRDefault="00B37AC9">
      <w:pPr>
        <w:numPr>
          <w:ilvl w:val="0"/>
          <w:numId w:val="13"/>
        </w:numPr>
      </w:pPr>
      <w:r>
        <w:rPr>
          <w:b/>
          <w:bCs/>
        </w:rPr>
        <w:t>Parte V — Aparato urogenital y pelvis:</w:t>
      </w:r>
      <w:r>
        <w:t xml:space="preserve"> </w:t>
      </w:r>
      <w:r>
        <w:t>cavidad pélvica, riñones, vejiga, órganos genitales y sistema eréctil.</w:t>
      </w:r>
    </w:p>
    <w:p w14:paraId="1EBB1682" w14:textId="77777777" w:rsidR="00FA5186" w:rsidRDefault="00B37AC9">
      <w:r>
        <w:t>Los casos clínicos muestran cómo un mismo síntoma puede conducir a elecciones diferentes según los antecedentes del paciente, las pruebas, los niveles priorizados y la respuesta a la sesión. Constituyen un vínculo esencial entre los mapas del libro y la realidad de la práctica clínica.</w:t>
      </w:r>
    </w:p>
    <w:p w14:paraId="0A5B45E2" w14:textId="77777777" w:rsidR="00FA5186" w:rsidRDefault="00B37AC9">
      <w:pPr>
        <w:pStyle w:val="Heading2"/>
      </w:pPr>
      <w:bookmarkStart w:id="12" w:name="X4dbc4496fcacf67979b7e03e5a9b5958cf17f14"/>
      <w:bookmarkEnd w:id="11"/>
      <w:r>
        <w:t>10. Por qué las vísceras son esenciales</w:t>
      </w:r>
    </w:p>
    <w:p w14:paraId="6A949B9B" w14:textId="77777777" w:rsidR="00FA5186" w:rsidRDefault="00B37AC9">
      <w:r>
        <w:t>El sistema visceral gestiona gran parte de la logística esencial del organismo: nutrición, digestión, absorción, eliminación, equilibrio hidromineral, funciones endocrinas, reproducción y mantenimiento de la homeostasis.</w:t>
      </w:r>
    </w:p>
    <w:p w14:paraId="62228577" w14:textId="77777777" w:rsidR="00FA5186" w:rsidRDefault="00B37AC9">
      <w:pPr>
        <w:pStyle w:val="BodyText"/>
      </w:pPr>
      <w:r>
        <w:t>La información visceral y somática puede converger en redes compartidas. Esta organización contribuye a determinados patrones de dolor referido, cambios del tono muscular e interacciones entre funciones viscerales y somáticas [14,15,17].</w:t>
      </w:r>
    </w:p>
    <w:p w14:paraId="6166FF3E" w14:textId="77777777" w:rsidR="00FA5186" w:rsidRDefault="00B37AC9">
      <w:pPr>
        <w:pStyle w:val="BodyText"/>
      </w:pPr>
      <w:r>
        <w:t>También puede producirse la relación inversa: determinadas aferencias somáticas pueden modificar circuitos autonómicos o viscerales. Estas relaciones nunca deben transformarse en vínculos causales automáticos.</w:t>
      </w:r>
    </w:p>
    <w:p w14:paraId="475AE5A2" w14:textId="77777777" w:rsidR="00FA5186" w:rsidRDefault="00B37AC9">
      <w:pPr>
        <w:pStyle w:val="BodyText"/>
      </w:pPr>
      <w:r>
        <w:t>La ROP se utiliza en el ámbito de los trastornos funcionales y de los cuidados de apoyo. No sustituye el diagnóstico médico ni los tratamientos necesarios ante una enfermedad orgánica.</w:t>
      </w:r>
    </w:p>
    <w:p w14:paraId="05285837" w14:textId="77777777" w:rsidR="00FA5186" w:rsidRDefault="00B37AC9">
      <w:pPr>
        <w:pStyle w:val="Heading2"/>
      </w:pPr>
      <w:bookmarkStart w:id="13" w:name="X21dcae7795e525e118e88fbf57e801a92475739"/>
      <w:bookmarkEnd w:id="12"/>
      <w:r>
        <w:t>11. Nuestro enfoque: rigor científico y pragmatismo clínico</w:t>
      </w:r>
    </w:p>
    <w:p w14:paraId="77CCD9B8" w14:textId="77777777" w:rsidR="00FA5186" w:rsidRDefault="00B37AC9">
      <w:r>
        <w:t>Como ocurre con cualquier enfoque manual, algunas observaciones clínicas pueden preceder a la comprensión completa de sus mecanismos. Esta situación impone dos exigencias: no convertir una observación en certeza y no descartar aquello que merece ser estudiado.</w:t>
      </w:r>
    </w:p>
    <w:p w14:paraId="08C95A56" w14:textId="77777777" w:rsidR="00FA5186" w:rsidRDefault="00B37AC9">
      <w:pPr>
        <w:pStyle w:val="BodyText"/>
      </w:pPr>
      <w:r>
        <w:t>Distinguimos cuatro niveles de evidencia:</w:t>
      </w:r>
    </w:p>
    <w:p w14:paraId="2F9B5DB3" w14:textId="77777777" w:rsidR="00FA5186" w:rsidRDefault="00B37AC9">
      <w:pPr>
        <w:numPr>
          <w:ilvl w:val="0"/>
          <w:numId w:val="14"/>
        </w:numPr>
      </w:pPr>
      <w:r>
        <w:rPr>
          <w:b/>
          <w:bCs/>
        </w:rPr>
        <w:t>Anatomía y fisiología establecidas:</w:t>
      </w:r>
      <w:r>
        <w:t xml:space="preserve"> nervios, raíces, aferencias, plexos, vías autonómicas y circuitos espinales y supraespinales.</w:t>
      </w:r>
    </w:p>
    <w:p w14:paraId="7666684D" w14:textId="77777777" w:rsidR="00FA5186" w:rsidRDefault="00B37AC9">
      <w:pPr>
        <w:numPr>
          <w:ilvl w:val="0"/>
          <w:numId w:val="14"/>
        </w:numPr>
      </w:pPr>
      <w:r>
        <w:rPr>
          <w:b/>
          <w:bCs/>
        </w:rPr>
        <w:t>Neurofisiología experimental y clínica:</w:t>
      </w:r>
      <w:r>
        <w:t xml:space="preserve"> </w:t>
      </w:r>
      <w:r>
        <w:t>datos sobre neuromodulación tibial y safena, convergencia espinal, estimulación mecánica cutánea y respuestas cerebrales a distintas formas de estimulación somática.</w:t>
      </w:r>
    </w:p>
    <w:p w14:paraId="51BC4EBA" w14:textId="77777777" w:rsidR="00FA5186" w:rsidRDefault="00B37AC9">
      <w:pPr>
        <w:numPr>
          <w:ilvl w:val="0"/>
          <w:numId w:val="14"/>
        </w:numPr>
      </w:pPr>
      <w:r>
        <w:rPr>
          <w:b/>
          <w:bCs/>
        </w:rPr>
        <w:t>Hipótesis neuroanatómica de la ROP:</w:t>
      </w:r>
      <w:r>
        <w:t xml:space="preserve"> propuesta según la cual una zona o rama determinada puede constituir una vía de entrada más pertinente que otra para una función concreta.</w:t>
      </w:r>
    </w:p>
    <w:p w14:paraId="4025200B" w14:textId="77777777" w:rsidR="00FA5186" w:rsidRDefault="00B37AC9">
      <w:pPr>
        <w:numPr>
          <w:ilvl w:val="0"/>
          <w:numId w:val="14"/>
        </w:numPr>
      </w:pPr>
      <w:r>
        <w:rPr>
          <w:b/>
          <w:bCs/>
        </w:rPr>
        <w:t>Observación clínica en ROP:</w:t>
      </w:r>
      <w:r>
        <w:t xml:space="preserve"> mapas clínicos, respuestas palpatorias, respuestas inmediatas o diferidas y casos clínicos documentados.</w:t>
      </w:r>
    </w:p>
    <w:p w14:paraId="6B4B241B" w14:textId="77777777" w:rsidR="00FA5186" w:rsidRDefault="00B37AC9">
      <w:r>
        <w:t>La evidencia procedente de la neuromodulación eléctrica no demuestra automáticamente el efecto de la presión manual. Una respuesta clínica, por sí sola, tampoco demuestra el mecanismo que la ha producido. Sin embargo, cada nivel de evidencia puede ayudar a formular una pregunta más precisa.</w:t>
      </w:r>
    </w:p>
    <w:p w14:paraId="3CB4FF0B" w14:textId="77777777" w:rsidR="00FA5186" w:rsidRDefault="00B37AC9">
      <w:pPr>
        <w:pStyle w:val="BodyText"/>
      </w:pPr>
      <w:r>
        <w:t>Esta escala mide la solidez de una afirmación; no indica su alcance anatómico. Por ello, los capítulos de la parte II distinguen entre proximidad segmentaria, especificidad de la vía de entrada y nivel de evidencia, tres parámetros independientes. Conviene enunciar desde ahora una consecuencia: cuando varias vías de entrada producen un efecto comparable, ello no debilita el método. En un enfoque manual, significa que el acceso regional puede tolerar cierta imprecisión técnica, a costa —que aceptamos— de aba</w:t>
      </w:r>
      <w:r>
        <w:t>ndonar cualquier pretensión de correspondencia exclusiva entre un punto y un órgano.</w:t>
      </w:r>
    </w:p>
    <w:p w14:paraId="06A91DBE" w14:textId="77777777" w:rsidR="00FA5186" w:rsidRDefault="00B37AC9">
      <w:pPr>
        <w:pStyle w:val="Heading3"/>
      </w:pPr>
      <w:bookmarkStart w:id="14" w:name="X09c3afc8b97a0f5b13294c3707171c9499e2e6d"/>
      <w:r>
        <w:t>11.1. Del mapa clínico a la observación estructurada</w:t>
      </w:r>
    </w:p>
    <w:p w14:paraId="20E6C636" w14:textId="77777777" w:rsidR="00FA5186" w:rsidRDefault="00B37AC9">
      <w:r>
        <w:t>La aplicación SuiviPatient, puesta gratuitamente a disposición de los profesionales certificados en ROP, sigue esta lógica. Permite documentar el principal motivo de consulta, la anamnesis, las zonas trabajadas, el protocolo seguido, las reacciones observadas y la evolución de los síntomas o de la capacidad funcional.</w:t>
      </w:r>
    </w:p>
    <w:p w14:paraId="504EC455" w14:textId="77777777" w:rsidR="00FA5186" w:rsidRDefault="00B37AC9">
      <w:pPr>
        <w:pStyle w:val="BodyText"/>
      </w:pPr>
      <w:r>
        <w:t>El objetivo no es convertir cada sesión en un experimento, sino hacer que las observaciones sean más comparables, identificar mejor los protocolos útiles y las limitaciones del método, y definir las preguntas que justifican estudios más formales.</w:t>
      </w:r>
    </w:p>
    <w:p w14:paraId="78CECBFD" w14:textId="77777777" w:rsidR="00FA5186" w:rsidRDefault="00B37AC9">
      <w:pPr>
        <w:pStyle w:val="BodyText"/>
      </w:pPr>
      <w:r>
        <w:t>Una variable merece documentarse con mayor precisión de la habitual: las características mecánicas de la técnica —área de contacto, dirección, profundidad, presión aplicada, duración y frecuencia de repetición—. La literatura sobre estimulación mecánica ofrece ya órdenes de magnitud útiles; cada vez es más posible y deseable tratar la presión como una magnitud medida y no como una cualidad meramente descrita.</w:t>
      </w:r>
    </w:p>
    <w:p w14:paraId="3074A451" w14:textId="77777777" w:rsidR="00FA5186" w:rsidRDefault="00B37AC9">
      <w:pPr>
        <w:pStyle w:val="Heading2"/>
      </w:pPr>
      <w:bookmarkStart w:id="15" w:name="X64b6cc42d162b10edb71b9ac92a47d1ee3ec918"/>
      <w:bookmarkEnd w:id="13"/>
      <w:bookmarkEnd w:id="14"/>
      <w:r>
        <w:t>12. Dos referencias anatómicas fundamentales</w:t>
      </w:r>
    </w:p>
    <w:p w14:paraId="05D09790" w14:textId="77777777" w:rsidR="00FA5186" w:rsidRDefault="00B37AC9">
      <w:pPr>
        <w:pStyle w:val="Heading3"/>
      </w:pPr>
      <w:bookmarkStart w:id="16" w:name="X14b4cf234594e0a41ab00f0dc67c35416d4079a"/>
      <w:r>
        <w:t>12.1. El diafragma</w:t>
      </w:r>
    </w:p>
    <w:p w14:paraId="2E532483" w14:textId="77777777" w:rsidR="00FA5186" w:rsidRDefault="00B37AC9">
      <w:r>
        <w:t>Las dos cúpulas diafragmáticas no se encuentran a la misma altura. La cúpula derecha suele estar más elevada que la izquierda, debido especialmente a la presencia del hígado. Esta asimetría debe respetarse tanto en la cartografía como en la exploración clínica.</w:t>
      </w:r>
    </w:p>
    <w:p w14:paraId="46AC8E14" w14:textId="77777777" w:rsidR="00FA5186" w:rsidRDefault="00B37AC9">
      <w:pPr>
        <w:pStyle w:val="Heading3"/>
      </w:pPr>
      <w:bookmarkStart w:id="17" w:name="Xc8573ea57fb8cd7f3695a24fcd68b13b37cdc2c"/>
      <w:bookmarkEnd w:id="16"/>
      <w:r>
        <w:t>12.2. El peritoneo</w:t>
      </w:r>
    </w:p>
    <w:p w14:paraId="64D382F5" w14:textId="77777777" w:rsidR="00FA5186" w:rsidRDefault="00B37AC9">
      <w:r>
        <w:t>El peritoneo constituye una interfaz fundamental entre las vísceras y las paredes corporales. Mediante sus pliegues peritoneales o mesos, ligamentos y relaciones anatómicas, contribuye a la suspensión de los órganos, los planos de deslizamiento, las relaciones vasculares y nerviosas y la organización de los espacios abdominales y pélvicos.</w:t>
      </w:r>
    </w:p>
    <w:p w14:paraId="2153EE36" w14:textId="77777777" w:rsidR="00FA5186" w:rsidRDefault="00B37AC9">
      <w:pPr>
        <w:pStyle w:val="Heading2"/>
      </w:pPr>
      <w:bookmarkStart w:id="18" w:name="Xfaedae84af1e66044195dc6153a24f20c56376e"/>
      <w:bookmarkEnd w:id="15"/>
      <w:bookmarkEnd w:id="17"/>
      <w:r>
        <w:t>13. Terminología</w:t>
      </w:r>
    </w:p>
    <w:p w14:paraId="2BE6551A" w14:textId="77777777" w:rsidR="00FA5186" w:rsidRDefault="00B37AC9">
      <w:r>
        <w:t>Por razones de claridad y coherencia anatómica, utilizaremos los términos siguientes:</w:t>
      </w:r>
    </w:p>
    <w:p w14:paraId="3E5B84DC" w14:textId="77777777" w:rsidR="00FA5186" w:rsidRDefault="00B37AC9">
      <w:pPr>
        <w:numPr>
          <w:ilvl w:val="0"/>
          <w:numId w:val="15"/>
        </w:numPr>
      </w:pPr>
      <w:r>
        <w:t>dorsalmente, en lugar de «posteriormente», cuando la orientación corporal lo justifique;</w:t>
      </w:r>
    </w:p>
    <w:p w14:paraId="5804D186" w14:textId="77777777" w:rsidR="00FA5186" w:rsidRDefault="00B37AC9">
      <w:pPr>
        <w:numPr>
          <w:ilvl w:val="0"/>
          <w:numId w:val="15"/>
        </w:numPr>
      </w:pPr>
      <w:r>
        <w:t>ventralmente, en lugar de «anteriormente»;</w:t>
      </w:r>
    </w:p>
    <w:p w14:paraId="4BE6E735" w14:textId="77777777" w:rsidR="00FA5186" w:rsidRDefault="00B37AC9">
      <w:pPr>
        <w:numPr>
          <w:ilvl w:val="0"/>
          <w:numId w:val="15"/>
        </w:numPr>
      </w:pPr>
      <w:r>
        <w:t>lateralmente, en lugar de «externamente»;</w:t>
      </w:r>
    </w:p>
    <w:p w14:paraId="7440BACF" w14:textId="77777777" w:rsidR="00FA5186" w:rsidRDefault="00B37AC9">
      <w:pPr>
        <w:numPr>
          <w:ilvl w:val="0"/>
          <w:numId w:val="15"/>
        </w:numPr>
      </w:pPr>
      <w:r>
        <w:t>medialmente, en lugar de «internamente»;</w:t>
      </w:r>
    </w:p>
    <w:p w14:paraId="724BA03E" w14:textId="77777777" w:rsidR="00FA5186" w:rsidRDefault="00B37AC9">
      <w:pPr>
        <w:numPr>
          <w:ilvl w:val="0"/>
          <w:numId w:val="15"/>
        </w:numPr>
      </w:pPr>
      <w:r>
        <w:t>en dirección cefálica, en lugar de «hacia arriba»;</w:t>
      </w:r>
    </w:p>
    <w:p w14:paraId="5A4F4CE7" w14:textId="77777777" w:rsidR="00FA5186" w:rsidRDefault="00B37AC9">
      <w:pPr>
        <w:numPr>
          <w:ilvl w:val="0"/>
          <w:numId w:val="15"/>
        </w:numPr>
      </w:pPr>
      <w:r>
        <w:t>en dirección caudal, en lugar de «hacia abajo»;</w:t>
      </w:r>
    </w:p>
    <w:p w14:paraId="2F4626CA" w14:textId="77777777" w:rsidR="00FA5186" w:rsidRDefault="00B37AC9">
      <w:pPr>
        <w:numPr>
          <w:ilvl w:val="0"/>
          <w:numId w:val="15"/>
        </w:numPr>
      </w:pPr>
      <w:r>
        <w:t>frontalmente, para describir una orientación en el plano frontal;</w:t>
      </w:r>
    </w:p>
    <w:p w14:paraId="314AEA4D" w14:textId="77777777" w:rsidR="00FA5186" w:rsidRDefault="00B37AC9">
      <w:pPr>
        <w:numPr>
          <w:ilvl w:val="0"/>
          <w:numId w:val="15"/>
        </w:numPr>
      </w:pPr>
      <w:r>
        <w:t>sagitalmente, para describir una orientación en el plano sagital.</w:t>
      </w:r>
    </w:p>
    <w:p w14:paraId="220B5A6D" w14:textId="77777777" w:rsidR="00FA5186" w:rsidRDefault="00B37AC9">
      <w:r>
        <w:t>Preferimos asimismo las expresiones «generar una aferencia somática», «reclutar una red», «modular la excitabilidad de un circuito» o «influir en una función», en lugar de «alcanzar» o «actuar sobre», que sugieren erróneamente una continuidad directa entre un punto del pie y un órgano.</w:t>
      </w:r>
    </w:p>
    <w:p w14:paraId="2898C1E5" w14:textId="77777777" w:rsidR="00FA5186" w:rsidRDefault="00B37AC9">
      <w:pPr>
        <w:pStyle w:val="Heading2"/>
      </w:pPr>
      <w:bookmarkStart w:id="19" w:name="Xed10c61156e83ef76e2fe6827e48d04290f11da"/>
      <w:bookmarkEnd w:id="18"/>
      <w:r>
        <w:t>14. Estructura estándar de los capítulos</w:t>
      </w:r>
    </w:p>
    <w:p w14:paraId="07532DCF" w14:textId="77777777" w:rsidR="00FA5186" w:rsidRDefault="00B37AC9">
      <w:pPr>
        <w:pStyle w:val="Heading3"/>
      </w:pPr>
      <w:bookmarkStart w:id="20" w:name="X0f3d65172468923d9180a394cd190829a050570"/>
      <w:r>
        <w:t>14.1. Descripción general</w:t>
      </w:r>
    </w:p>
    <w:p w14:paraId="1D1119D8" w14:textId="77777777" w:rsidR="00FA5186" w:rsidRDefault="00B37AC9">
      <w:r>
        <w:t>Sitúa el órgano dentro del marco general de razonamiento del libro y precisa su relevancia clínica.</w:t>
      </w:r>
    </w:p>
    <w:p w14:paraId="34193D6D" w14:textId="77777777" w:rsidR="00FA5186" w:rsidRDefault="00B37AC9">
      <w:pPr>
        <w:pStyle w:val="Heading3"/>
      </w:pPr>
      <w:bookmarkStart w:id="21" w:name="X954694521bddaa90e57daeeb2831782ff209e46"/>
      <w:bookmarkEnd w:id="20"/>
      <w:r>
        <w:t>14.2. Localización</w:t>
      </w:r>
    </w:p>
    <w:p w14:paraId="47563CCA" w14:textId="77777777" w:rsidR="00FA5186" w:rsidRDefault="00B37AC9">
      <w:r>
        <w:t>Localiza el órgano en la cavidad correspondiente y define sus principales referencias.</w:t>
      </w:r>
    </w:p>
    <w:p w14:paraId="5266E214" w14:textId="77777777" w:rsidR="00FA5186" w:rsidRDefault="00B37AC9">
      <w:pPr>
        <w:pStyle w:val="Heading3"/>
      </w:pPr>
      <w:bookmarkStart w:id="22" w:name="X1941a2d9621c67f1a7736703cdf02ba5868ed3e"/>
      <w:bookmarkEnd w:id="21"/>
      <w:r>
        <w:t>14.3. Anatomía</w:t>
      </w:r>
    </w:p>
    <w:p w14:paraId="4FFC0B28" w14:textId="77777777" w:rsidR="00FA5186" w:rsidRDefault="00B37AC9">
      <w:r>
        <w:t>Describe su forma, sus partes constitutivas y sus características esenciales.</w:t>
      </w:r>
    </w:p>
    <w:p w14:paraId="1344DAF8" w14:textId="77777777" w:rsidR="00FA5186" w:rsidRDefault="00B37AC9">
      <w:pPr>
        <w:pStyle w:val="Heading3"/>
      </w:pPr>
      <w:bookmarkStart w:id="23" w:name="X46554f94ea6840e86ee767bec959fd014ff5d12"/>
      <w:bookmarkEnd w:id="22"/>
      <w:r>
        <w:t>14.4. Relaciones anatómicas</w:t>
      </w:r>
    </w:p>
    <w:p w14:paraId="539122FA" w14:textId="77777777" w:rsidR="00FA5186" w:rsidRDefault="00B37AC9">
      <w:r>
        <w:t>Presenta sus relaciones con los órganos vecinos, las paredes corporales, las fascias, los músculos, los ligamentos y las estructuras neurovasculares.</w:t>
      </w:r>
    </w:p>
    <w:p w14:paraId="01F7A438" w14:textId="77777777" w:rsidR="00FA5186" w:rsidRDefault="00B37AC9">
      <w:pPr>
        <w:pStyle w:val="Heading3"/>
      </w:pPr>
      <w:bookmarkStart w:id="24" w:name="Xc7aecde684745840fabc1ccaccedb6f96aa1551"/>
      <w:bookmarkEnd w:id="23"/>
      <w:r>
        <w:t>14.5. Vascularización</w:t>
      </w:r>
    </w:p>
    <w:p w14:paraId="1463B231" w14:textId="77777777" w:rsidR="00FA5186" w:rsidRDefault="00B37AC9">
      <w:r>
        <w:t>Describe las principales vías arteriales, venosas y, cuando proceda, linfáticas.</w:t>
      </w:r>
    </w:p>
    <w:p w14:paraId="4FB7BDF8" w14:textId="77777777" w:rsidR="00FA5186" w:rsidRDefault="00B37AC9">
      <w:pPr>
        <w:pStyle w:val="Heading3"/>
      </w:pPr>
      <w:bookmarkStart w:id="25" w:name="X33f3461250f8ba7771a8a7e1b71de6f058d23fe"/>
      <w:bookmarkEnd w:id="24"/>
      <w:r>
        <w:t>14.6. Inervación</w:t>
      </w:r>
    </w:p>
    <w:p w14:paraId="56FFBE77" w14:textId="77777777" w:rsidR="00FA5186" w:rsidRDefault="00B37AC9">
      <w:r>
        <w:t>Presenta las vías simpáticas y parasimpáticas, los plexos, las aferencias viscerales y los niveles espinales asociados.</w:t>
      </w:r>
    </w:p>
    <w:p w14:paraId="2C3AC03C" w14:textId="77777777" w:rsidR="00FA5186" w:rsidRDefault="00B37AC9">
      <w:pPr>
        <w:pStyle w:val="Heading3"/>
      </w:pPr>
      <w:bookmarkStart w:id="26" w:name="X77309f8ae40fa4dc9c166499965c13ddce6ae8c"/>
      <w:bookmarkEnd w:id="25"/>
      <w:r>
        <w:t>14.7. Fisiología</w:t>
      </w:r>
    </w:p>
    <w:p w14:paraId="64ED91F0" w14:textId="77777777" w:rsidR="00FA5186" w:rsidRDefault="00B37AC9">
      <w:r>
        <w:t>Revisa las funciones principales del órgano y su regulación.</w:t>
      </w:r>
    </w:p>
    <w:p w14:paraId="0904A3B8" w14:textId="77777777" w:rsidR="00FA5186" w:rsidRDefault="00B37AC9">
      <w:pPr>
        <w:pStyle w:val="Heading3"/>
      </w:pPr>
      <w:bookmarkStart w:id="27" w:name="Xc474587cd27f7c07690cec13915aa7a53b1af66"/>
      <w:bookmarkEnd w:id="26"/>
      <w:r>
        <w:t>14.8. Patologías frecuentes</w:t>
      </w:r>
    </w:p>
    <w:p w14:paraId="1209832B" w14:textId="77777777" w:rsidR="00FA5186" w:rsidRDefault="00B37AC9">
      <w:r>
        <w:t>Ofrece referencias para comprender las patologías, la necesidad de un diagnóstico médico de exclusión y las precauciones pertinentes. La ROP no sustituye el diagnóstico médico.</w:t>
      </w:r>
    </w:p>
    <w:p w14:paraId="11F9BA60" w14:textId="77777777" w:rsidR="00FA5186" w:rsidRDefault="00B37AC9">
      <w:pPr>
        <w:pStyle w:val="Heading3"/>
      </w:pPr>
      <w:bookmarkStart w:id="28" w:name="Xebec009515f7d6302b4d4b2b72d7a9e8365e883"/>
      <w:bookmarkEnd w:id="27"/>
      <w:r>
        <w:t>14.9. Zonas reflejas podales</w:t>
      </w:r>
    </w:p>
    <w:p w14:paraId="346FBFBB" w14:textId="77777777" w:rsidR="00FA5186" w:rsidRDefault="00B37AC9">
      <w:r>
        <w:t>Describe la cartografía clínica de la ROP, la organiza conforme a los cuatro niveles de la secuencia clínica —la zona refleja específica del órgano pertenece al nivel 3— y, cuando es posible, la considera junto con los nervios, ramas, raíces y puentes neuroanatómicos candidatos.</w:t>
      </w:r>
    </w:p>
    <w:p w14:paraId="3E1B2E05" w14:textId="77777777" w:rsidR="00FA5186" w:rsidRDefault="00B37AC9">
      <w:pPr>
        <w:pStyle w:val="Heading3"/>
      </w:pPr>
      <w:bookmarkStart w:id="29" w:name="Xbf164aacb342d7ab4be233be7e528da25e332b8"/>
      <w:bookmarkEnd w:id="28"/>
      <w:r>
        <w:t>14.10. Relaciones viscerosomáticas</w:t>
      </w:r>
    </w:p>
    <w:p w14:paraId="33C13B6D" w14:textId="77777777" w:rsidR="00FA5186" w:rsidRDefault="00B37AC9">
      <w:r>
        <w:t>Describe las posibles convergencias y proyecciones entre el órgano, los niveles espinales, los nervios somáticos, los músculos, las articulaciones y los territorios dolorosos asociados. Estos datos contribuyen especialmente a la integración viscerosomática del nivel 4.</w:t>
      </w:r>
    </w:p>
    <w:p w14:paraId="171194A0" w14:textId="77777777" w:rsidR="00FA5186" w:rsidRDefault="00B37AC9">
      <w:pPr>
        <w:pStyle w:val="Heading3"/>
      </w:pPr>
      <w:bookmarkStart w:id="30" w:name="X6c130a6466a62e016054580f9200d6b6780ac39"/>
      <w:bookmarkEnd w:id="29"/>
      <w:r>
        <w:t>14.11. Relaciones visceroemocionales</w:t>
      </w:r>
    </w:p>
    <w:p w14:paraId="187F714E" w14:textId="77777777" w:rsidR="00FA5186" w:rsidRDefault="00B37AC9">
      <w:r>
        <w:t>Propone una interpretación prudente de las relaciones entre estados emocionales, percepción corporal, regulación autonómica y síntomas. Estos datos contribuyen especialmente a la integración visceroemocional del nivel 4, sin imponer una interpretación al paciente.</w:t>
      </w:r>
    </w:p>
    <w:p w14:paraId="6C2A7322" w14:textId="77777777" w:rsidR="00FA5186" w:rsidRDefault="00B37AC9">
      <w:pPr>
        <w:pStyle w:val="Heading3"/>
      </w:pPr>
      <w:bookmarkStart w:id="31" w:name="Xcc803b40a38bf075f0c44caa20f18b47b04cfea"/>
      <w:bookmarkEnd w:id="30"/>
      <w:r>
        <w:t>14.12. Casos clínicos</w:t>
      </w:r>
    </w:p>
    <w:p w14:paraId="338FC93A" w14:textId="77777777" w:rsidR="00FA5186" w:rsidRDefault="00B37AC9">
      <w:r>
        <w:t>Muestra cómo se integran, en pacientes reales, la anatomía, la cartografía, la anamnesis, las pruebas y la respuesta al tratamiento.</w:t>
      </w:r>
    </w:p>
    <w:p w14:paraId="2E2782E0" w14:textId="77777777" w:rsidR="00FA5186" w:rsidRDefault="00B37AC9">
      <w:pPr>
        <w:pStyle w:val="Heading3"/>
      </w:pPr>
      <w:bookmarkStart w:id="32" w:name="Xa115e2dfa7680ffde513992f1cafaedf4ea77a0"/>
      <w:bookmarkEnd w:id="31"/>
      <w:r>
        <w:t>14.13. Consejos</w:t>
      </w:r>
    </w:p>
    <w:p w14:paraId="3CD485D2" w14:textId="77777777" w:rsidR="00FA5186" w:rsidRDefault="00B37AC9">
      <w:r>
        <w:t>Complementa la sesión con medidas sencillas y adecuadas: reposo relativo, hidratación, actividad física apropiada, alimentación, sueño, vigilancia de los síntomas y consulta médica cuando sea necesario.</w:t>
      </w:r>
    </w:p>
    <w:p w14:paraId="401E96D7" w14:textId="77777777" w:rsidR="00FA5186" w:rsidRDefault="00B37AC9">
      <w:pPr>
        <w:pStyle w:val="Heading2"/>
      </w:pPr>
      <w:bookmarkStart w:id="33" w:name="X584725fd048cdf0d8b02d71b1ab35abe579b5a4"/>
      <w:bookmarkEnd w:id="19"/>
      <w:bookmarkEnd w:id="32"/>
      <w:r>
        <w:t>15. Puntos clave</w:t>
      </w:r>
    </w:p>
    <w:p w14:paraId="708D8FDE" w14:textId="77777777" w:rsidR="00FA5186" w:rsidRDefault="00B37AC9">
      <w:r>
        <w:t>Este tercer volumen no se limita a presentar nuevas cartografías viscerales. Propone una forma sencilla de organizar la práctica y, posteriormente, considerarla a la luz de la anatomía y la neurofisiología.</w:t>
      </w:r>
    </w:p>
    <w:p w14:paraId="01D528B8" w14:textId="77777777" w:rsidR="00FA5186" w:rsidRDefault="00B37AC9">
      <w:pPr>
        <w:pStyle w:val="BodyText"/>
      </w:pPr>
      <w:r>
        <w:t>La secuencia clínica comprende cuatro niveles complementarios: regulación de los centros superiores; regulación autonómica y adaptación; regulación locorregional y diana visceral; integración viscerosomática y visceroemocional. Esta progresión no es necesariamente secuencial, y el capítulo 2 explica cómo se utiliza.</w:t>
      </w:r>
    </w:p>
    <w:p w14:paraId="6987D210" w14:textId="77777777" w:rsidR="00FA5186" w:rsidRDefault="00B37AC9">
      <w:pPr>
        <w:pStyle w:val="BodyText"/>
      </w:pPr>
      <w:r>
        <w:t>La cartografía ROP sigue siendo una herramienta clínica, no una proyección anatómica directa del cuerpo sobre el pie.</w:t>
      </w:r>
    </w:p>
    <w:p w14:paraId="1A92AB00" w14:textId="77777777" w:rsidR="00FA5186" w:rsidRDefault="00B37AC9">
      <w:pPr>
        <w:pStyle w:val="BodyText"/>
      </w:pPr>
      <w:r>
        <w:t>Los fundamentos neuroanatómicos se basan en vías de entrada sensoriales y en posibles convergencias periféricas, espinales y supraespinales. El solapamiento segmentario refuerza la plausibilidad de la focalización regional; su ausencia no excluye una modulación más general.</w:t>
      </w:r>
    </w:p>
    <w:p w14:paraId="07B6DACC" w14:textId="77777777" w:rsidR="00FA5186" w:rsidRDefault="00B37AC9">
      <w:pPr>
        <w:pStyle w:val="BodyText"/>
      </w:pPr>
      <w:r>
        <w:t>La pelvis constituye actualmente el territorio más informativo para comparar la proximidad neuroanatómica, las observaciones clínicas y la investigación. Su plausibilidad se apoya en tres elementos independientes: la proximidad segmentaria S2-S3, la densidad de la evidencia experimental y clínica y el hecho de que el acceso a las redes pélvicas no depende de esta coincidencia segmentaria.</w:t>
      </w:r>
    </w:p>
    <w:p w14:paraId="0CF475A4" w14:textId="77777777" w:rsidR="00FA5186" w:rsidRDefault="00B37AC9">
      <w:pPr>
        <w:pStyle w:val="BodyText"/>
      </w:pPr>
      <w:r>
        <w:t>La técnica manual dispone de una base experimental propia, todavía limitada, pero real. Ninguno de los estudios disponibles evalúa específicamente la ROP; todos aportan, sin embargo, datos pertinentes para orientar la investigación sobre el método.</w:t>
      </w:r>
    </w:p>
    <w:p w14:paraId="1951CA87" w14:textId="77777777" w:rsidR="00FA5186" w:rsidRDefault="00B37AC9">
      <w:pPr>
        <w:pStyle w:val="BodyText"/>
      </w:pPr>
      <w:r>
        <w:t>El centro de atención último sigue siendo el paciente: comprender mejor para elegir con mayor pertinencia, tratar con prudencia, observar qué cambia y hacer que el método resulte accesible a quienes puedan beneficiarse de él.</w:t>
      </w:r>
    </w:p>
    <w:p w14:paraId="71D36E7D" w14:textId="77777777" w:rsidR="00FA5186" w:rsidRDefault="00B37AC9">
      <w:pPr>
        <w:pStyle w:val="Heading2"/>
      </w:pPr>
      <w:bookmarkStart w:id="34" w:name="bibliografía-del-capítulo-0"/>
      <w:bookmarkEnd w:id="33"/>
      <w:r>
        <w:t>Bibliografía del capítulo 0</w:t>
      </w:r>
    </w:p>
    <w:p w14:paraId="57429C42" w14:textId="77777777" w:rsidR="00FA5186" w:rsidRDefault="00B37AC9">
      <w:r>
        <w:t xml:space="preserve">Esta bibliografía se limita deliberadamente a las fuentes citadas en este capítulo. La bibliografía completa sobre los fundamentos neuroanatómicos —anatomía de las cuatro vías de entrada, neuromodulación tibial y safena, estimulación mecánica, control supraespinal, redes pélvicas y componente cefálico— se mantiene actualizada en </w:t>
      </w:r>
      <w:hyperlink r:id="rId8">
        <w:r>
          <w:t>www.guy-boitout.com/fondements-neuro-anatomiques</w:t>
        </w:r>
      </w:hyperlink>
      <w:r>
        <w:t>.</w:t>
      </w:r>
    </w:p>
    <w:p w14:paraId="31716AB7" w14:textId="77777777" w:rsidR="00FA5186" w:rsidRDefault="00B37AC9">
      <w:pPr>
        <w:pStyle w:val="Heading3"/>
      </w:pPr>
      <w:bookmarkStart w:id="35" w:name="anatomía-del-pie-y-aferencias-cutáneas"/>
      <w:r>
        <w:t>Anatomía del pie y aferencias cutáneas</w:t>
      </w:r>
    </w:p>
    <w:p w14:paraId="6717C70B" w14:textId="77777777" w:rsidR="00FA5186" w:rsidRDefault="00B37AC9">
      <w:r>
        <w:t>1. Standring S, ed. Gray’s Anatomy: The Anatomical Basis of Clinical Practice. 42nd ed. Elsevier; 2020.</w:t>
      </w:r>
    </w:p>
    <w:p w14:paraId="163BE5AA" w14:textId="77777777" w:rsidR="00FA5186" w:rsidRDefault="00B37AC9">
      <w:pPr>
        <w:pStyle w:val="BodyText"/>
      </w:pPr>
      <w:r>
        <w:t>2. Kennedy PM, Inglis JT. Distribution and behaviour of glabrous cutaneous receptors in the human foot sole. J Physiol. 2002;538(Pt 3):995–1002. doi:10.1113/jphysiol.2001.013087.</w:t>
      </w:r>
    </w:p>
    <w:p w14:paraId="12E6571E" w14:textId="77777777" w:rsidR="00FA5186" w:rsidRDefault="00B37AC9">
      <w:pPr>
        <w:pStyle w:val="BodyText"/>
      </w:pPr>
      <w:r>
        <w:t>3. Strzalkowski NDJ, Peters RM, Inglis JT, Bent LR. Cutaneous afferent innervation of the human foot sole: what can we learn from single-unit recordings? J Neurophysiol. 2018;120(3):1233–1246. doi:10.1152/jn.00848.2017.</w:t>
      </w:r>
    </w:p>
    <w:p w14:paraId="29A8E1C2" w14:textId="77777777" w:rsidR="00FA5186" w:rsidRDefault="00B37AC9">
      <w:pPr>
        <w:pStyle w:val="BodyText"/>
      </w:pPr>
      <w:r>
        <w:t>4. de Souza Faleiros AT, de Lima Resende LA, Zanini MA, de Lima Castro HA, Colichio Gabarra R. L4-L5-S1 human dermatomes. Arq Neuropsiquiatr. 2009;67(2A):265–267. doi:10.1590/S0004-282X2009000200017.</w:t>
      </w:r>
    </w:p>
    <w:p w14:paraId="4EE98A5F" w14:textId="77777777" w:rsidR="00FA5186" w:rsidRDefault="00B37AC9">
      <w:pPr>
        <w:pStyle w:val="Heading3"/>
      </w:pPr>
      <w:bookmarkStart w:id="36" w:name="neuromodulación-tibial-y-safena"/>
      <w:bookmarkEnd w:id="35"/>
      <w:r>
        <w:t>Neuromodulación tibial y safena</w:t>
      </w:r>
    </w:p>
    <w:p w14:paraId="706E2F82" w14:textId="77777777" w:rsidR="00FA5186" w:rsidRDefault="00B37AC9">
      <w:r>
        <w:t>5. Peters KM, Carrico DJ, Perez-Marrero RA, et al. Randomized trial of percutaneous tibial nerve stimulation versus sham efficacy in the treatment of overactive bladder syndrome: results from the SUmiT trial. J Urol. 2010;183(4):1438–1443. doi:10.1016/j.juro.2009.12.036.</w:t>
      </w:r>
    </w:p>
    <w:p w14:paraId="4E2175A1" w14:textId="77777777" w:rsidR="00FA5186" w:rsidRDefault="00B37AC9">
      <w:pPr>
        <w:pStyle w:val="BodyText"/>
      </w:pPr>
      <w:r>
        <w:t>6. Yecies T, Li S, Zhang Y, et al. Spinal interneuronal mechanisms underlying pudendal and tibial neuromodulation of bladder function in cats. Exp Neurol. 2018;308:100–110. doi:10.1016/j.expneurol.2018.06.015.</w:t>
      </w:r>
    </w:p>
    <w:p w14:paraId="74AA6E70" w14:textId="77777777" w:rsidR="00FA5186" w:rsidRDefault="00B37AC9">
      <w:pPr>
        <w:pStyle w:val="BodyText"/>
      </w:pPr>
      <w:r>
        <w:t>7. Li X, Li X, Liao L. Mechanism of action of tibial nerve stimulation in the treatment of lower urinary tract dysfunction. Neuromodulation. 2024;27(2):256–266. doi:10.1016/j.neurom.2023.03.017.</w:t>
      </w:r>
    </w:p>
    <w:p w14:paraId="495BAD6E" w14:textId="77777777" w:rsidR="00FA5186" w:rsidRDefault="00B37AC9">
      <w:pPr>
        <w:pStyle w:val="BodyText"/>
      </w:pPr>
      <w:r>
        <w:t xml:space="preserve">8. Moazzam Z, Yoo PB. Frequency-dependent inhibition of bladder </w:t>
      </w:r>
      <w:r>
        <w:t>function by saphenous nerve stimulation in anesthetized rats. Neurourol Urodyn. 2018;37(2):592–599. doi:10.1002/nau.23323.</w:t>
      </w:r>
    </w:p>
    <w:p w14:paraId="5D1940C8" w14:textId="77777777" w:rsidR="00FA5186" w:rsidRDefault="00B37AC9">
      <w:pPr>
        <w:pStyle w:val="BodyText"/>
      </w:pPr>
      <w:r>
        <w:t>9. Franz KS, Yoo PB. Transecting the hypogastric nerve to uncover the bladder-inhibitory pathways involved with saphenous nerve stimulation in anesthetized rats. Auton Neurosci. 2020;226:102672. doi:10.1016/j.autneu.2020.102672.</w:t>
      </w:r>
    </w:p>
    <w:p w14:paraId="2CD7211C" w14:textId="77777777" w:rsidR="00FA5186" w:rsidRDefault="00B37AC9">
      <w:pPr>
        <w:pStyle w:val="BodyText"/>
      </w:pPr>
      <w:r>
        <w:t xml:space="preserve">10. MacDiarmid SA, John MS, Yoo PB. A pilot feasibility study of treating overactive bladder patients with percutaneous saphenous nerve </w:t>
      </w:r>
      <w:r>
        <w:t>stimulation. Neurourol Urodyn. 2018;37(5):1815–1820. doi:10.1002/nau.23531.</w:t>
      </w:r>
    </w:p>
    <w:p w14:paraId="541DEA97" w14:textId="77777777" w:rsidR="00FA5186" w:rsidRDefault="00B37AC9">
      <w:pPr>
        <w:pStyle w:val="Heading3"/>
      </w:pPr>
      <w:bookmarkStart w:id="37" w:name="Xc847f91e3ed4fed2ce15043869809e37b1317f0"/>
      <w:bookmarkEnd w:id="36"/>
      <w:r>
        <w:t>Presión manual y estimulación mecánica cutánea</w:t>
      </w:r>
    </w:p>
    <w:p w14:paraId="1ABD7E45" w14:textId="77777777" w:rsidR="00FA5186" w:rsidRDefault="00B37AC9">
      <w:r>
        <w:t>11. Carrazé A. Impact de la réflexologie plantaire sur l’incidence de l’iléus post-opératoire après chirurgie oncologique du rectum : essai contrôlé, randomisé. Thèse de médecine, Université de Bordeaux; 2023. dumas-04227201.</w:t>
      </w:r>
    </w:p>
    <w:p w14:paraId="72A1E79E" w14:textId="77777777" w:rsidR="00FA5186" w:rsidRDefault="00B37AC9">
      <w:pPr>
        <w:pStyle w:val="BodyText"/>
      </w:pPr>
      <w:r>
        <w:t xml:space="preserve">12. Hotta H, Watanabe N. Gentle mechanical skin stimulation inhibits micturition contractions via the spinal opioidergic system. PLoS ONE. </w:t>
      </w:r>
      <w:r>
        <w:t>2015;10(8):e0135185. doi:10.1371/journal.pone.0135185.</w:t>
      </w:r>
    </w:p>
    <w:p w14:paraId="483F8E56" w14:textId="77777777" w:rsidR="00FA5186" w:rsidRDefault="00B37AC9">
      <w:pPr>
        <w:pStyle w:val="Heading3"/>
      </w:pPr>
      <w:bookmarkStart w:id="38" w:name="funciones-pélvicas-y-redes-integradas"/>
      <w:bookmarkEnd w:id="37"/>
      <w:r>
        <w:t>Funciones pélvicas y redes integradas</w:t>
      </w:r>
    </w:p>
    <w:p w14:paraId="49444F7C" w14:textId="77777777" w:rsidR="00FA5186" w:rsidRDefault="00B37AC9">
      <w:r>
        <w:t>13. Fowler CJ, Griffiths D, de Groat WC. The neural control of micturition. Nat Rev Neurosci. 2008;9(6):453–466. doi:10.1038/nrn2401.</w:t>
      </w:r>
    </w:p>
    <w:p w14:paraId="5CAA2482" w14:textId="77777777" w:rsidR="00FA5186" w:rsidRDefault="00B37AC9">
      <w:pPr>
        <w:pStyle w:val="BodyText"/>
      </w:pPr>
      <w:r>
        <w:t>14. Brierley SM, Hibberd TJ, Spencer NJ. Spinal afferent innervation of the colon and rectum. Front Cell Neurosci. 2018;12:467. doi:10.3389/fncel.2018.00467.</w:t>
      </w:r>
    </w:p>
    <w:p w14:paraId="06476E9D" w14:textId="77777777" w:rsidR="00FA5186" w:rsidRDefault="00B37AC9">
      <w:pPr>
        <w:pStyle w:val="BodyText"/>
      </w:pPr>
      <w:r>
        <w:t xml:space="preserve">15. Malykhina AP. Neural mechanisms of pelvic organ cross-sensitization. Neuroscience. 2007;149(3):660–672. </w:t>
      </w:r>
      <w:r>
        <w:t>doi:10.1016/j.neuroscience.2007.07.053.</w:t>
      </w:r>
    </w:p>
    <w:p w14:paraId="7D6B3946" w14:textId="77777777" w:rsidR="00FA5186" w:rsidRDefault="00B37AC9">
      <w:pPr>
        <w:pStyle w:val="Heading3"/>
      </w:pPr>
      <w:bookmarkStart w:id="39" w:name="Xf78088d0d48da1505643d51c3b26111d9136b8f"/>
      <w:bookmarkEnd w:id="38"/>
      <w:r>
        <w:t>Reflejos somatoautonómicos y componente cefálico</w:t>
      </w:r>
    </w:p>
    <w:p w14:paraId="15813422" w14:textId="77777777" w:rsidR="00FA5186" w:rsidRDefault="00B37AC9">
      <w:r>
        <w:t>16. Sato A, Sato Y, Schmidt RF. The impact of somatosensory input on autonomic functions. Rev Physiol Biochem Pharmacol. 1997;130:1–328. doi:10.1007/BFb0046598.</w:t>
      </w:r>
    </w:p>
    <w:p w14:paraId="18B9C004" w14:textId="77777777" w:rsidR="00FA5186" w:rsidRDefault="00B37AC9">
      <w:pPr>
        <w:pStyle w:val="BodyText"/>
      </w:pPr>
      <w:r>
        <w:t>17. Jänig W. Neurobiology of visceral afferent neurons. Biol Psychol. 1996;42(1–2):29–51. doi:10.1016/0301-0511(95)05145-7.</w:t>
      </w:r>
    </w:p>
    <w:p w14:paraId="29080DC1" w14:textId="77777777" w:rsidR="00FA5186" w:rsidRDefault="00B37AC9">
      <w:pPr>
        <w:pStyle w:val="BodyText"/>
      </w:pPr>
      <w:r>
        <w:t xml:space="preserve">18. Ohsawa H, Yamaguchi S, Ishimaru H, Shimura M, Sato Y. Neural mechanism of pupillary dilation elicited by electro-acupuncture </w:t>
      </w:r>
      <w:r>
        <w:t>stimulation in anesthetized rats. J Auton Nerv Syst. 1997;64(2–3):101–106. doi:10.1016/S0165-1838(97)00023-4.</w:t>
      </w:r>
      <w:bookmarkEnd w:id="0"/>
      <w:bookmarkEnd w:id="34"/>
      <w:bookmarkEnd w:id="39"/>
    </w:p>
    <w:sectPr w:rsidR="00FA5186" w:rsidSect="00034616">
      <w:headerReference w:type="default" r:id="rId9"/>
      <w:footerReference w:type="default" r:id="rId10"/>
      <w:pgSz w:w="11906" w:h="16838"/>
      <w:pgMar w:top="1020" w:right="1077" w:bottom="1020"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C50E" w14:textId="77777777" w:rsidR="00B37AC9" w:rsidRDefault="00B37AC9">
      <w:pPr>
        <w:spacing w:after="0" w:line="240" w:lineRule="auto"/>
      </w:pPr>
      <w:r>
        <w:separator/>
      </w:r>
    </w:p>
  </w:endnote>
  <w:endnote w:type="continuationSeparator" w:id="0">
    <w:p w14:paraId="23018516" w14:textId="77777777" w:rsidR="00B37AC9" w:rsidRDefault="00B3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9427" w14:textId="77777777" w:rsidR="00B37AC9" w:rsidRDefault="00B37AC9">
    <w:pPr>
      <w:pStyle w:val="Footer"/>
      <w:jc w:val="center"/>
    </w:pPr>
    <w:r>
      <w:rPr>
        <w:color w:val="6A7277"/>
        <w:sz w:val="16"/>
      </w:rPr>
      <w:t>Capítulo 0 — Introducción | Reflexoterapia occipitopodal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ED71" w14:textId="77777777" w:rsidR="00B37AC9" w:rsidRDefault="00B37AC9">
      <w:r>
        <w:separator/>
      </w:r>
    </w:p>
  </w:footnote>
  <w:footnote w:type="continuationSeparator" w:id="0">
    <w:p w14:paraId="168FB981" w14:textId="77777777" w:rsidR="00B37AC9" w:rsidRDefault="00B37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6C86" w14:textId="77777777" w:rsidR="00B37AC9" w:rsidRDefault="00B37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22C2A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F2B6D2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EFBC91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 w:numId="10" w16cid:durableId="93403493">
    <w:abstractNumId w:val="9"/>
  </w:num>
  <w:num w:numId="11" w16cid:durableId="1476557605">
    <w:abstractNumId w:val="10"/>
  </w:num>
  <w:num w:numId="12" w16cid:durableId="129058553">
    <w:abstractNumId w:val="10"/>
  </w:num>
  <w:num w:numId="13" w16cid:durableId="1138380206">
    <w:abstractNumId w:val="10"/>
  </w:num>
  <w:num w:numId="14" w16cid:durableId="9403326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78130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5186"/>
    <w:rsid w:val="00424460"/>
    <w:rsid w:val="00B37AC9"/>
    <w:rsid w:val="00DD2AAF"/>
    <w:rsid w:val="00FA5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FC18"/>
  <w15:docId w15:val="{E2428B79-61CA-4D6D-9894-744F16F5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Aptos" w:hAnsi="Aptos"/>
      <w:color w:val="23313A"/>
      <w:sz w:val="21"/>
    </w:rPr>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btitle">
    <w:name w:val="Chapter Subtitle"/>
    <w:pPr>
      <w:keepNext/>
      <w:spacing w:after="160"/>
    </w:pPr>
    <w:rPr>
      <w:rFonts w:ascii="Aptos" w:hAnsi="Aptos"/>
      <w:b/>
      <w:color w:val="4C565C"/>
      <w:sz w:val="23"/>
    </w:rPr>
  </w:style>
  <w:style w:type="paragraph" w:customStyle="1" w:styleId="BibliographyHeading">
    <w:name w:val="Bibliography Heading"/>
    <w:pPr>
      <w:keepNext/>
      <w:spacing w:before="140" w:after="40"/>
    </w:pPr>
    <w:rPr>
      <w:rFonts w:ascii="Aptos" w:hAnsi="Aptos"/>
      <w:b/>
      <w:color w:val="4C565C"/>
      <w:sz w:val="21"/>
    </w:rPr>
  </w:style>
  <w:style w:type="paragraph" w:customStyle="1" w:styleId="Reference">
    <w:name w:val="Reference"/>
    <w:pPr>
      <w:spacing w:after="50" w:line="247" w:lineRule="auto"/>
      <w:ind w:left="312" w:hanging="312"/>
    </w:pPr>
    <w:rPr>
      <w:rFonts w:ascii="Aptos" w:hAnsi="Aptos"/>
      <w:color w:val="23313A"/>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uy-boitout.com/fondements-neuro-anatomiques" TargetMode="External"/><Relationship Id="rId3" Type="http://schemas.openxmlformats.org/officeDocument/2006/relationships/settings" Target="settings.xml"/><Relationship Id="rId7" Type="http://schemas.openxmlformats.org/officeDocument/2006/relationships/hyperlink" Target="http://www.guy-boitout.com/fondements-neuro-anatomiqu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4620</Words>
  <Characters>26335</Characters>
  <Application>Microsoft Office Word</Application>
  <DocSecurity>4</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Nicolas Boitout</dc:creator>
  <cp:keywords/>
  <cp:lastModifiedBy>Nicolas Boitout</cp:lastModifiedBy>
  <cp:revision>2</cp:revision>
  <dcterms:created xsi:type="dcterms:W3CDTF">2026-09-09T10:39:00Z</dcterms:created>
  <dcterms:modified xsi:type="dcterms:W3CDTF">2026-09-09T10:39:00Z</dcterms:modified>
</cp:coreProperties>
</file>