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Capítulo 0 Introdução</w:t>
      </w:r>
      <w:r>
        <w:t xml:space="preserve"> — V2</w:t>
      </w:r>
    </w:p>
    <w:p>
      <w:pPr>
        <w:pStyle w:val="ChapterSubtitle"/>
      </w:pPr>
      <w:r>
        <w:t>A estrutura orientadora deste volume</w:t>
      </w:r>
    </w:p>
    <w:p>
      <w:pPr>
        <w:jc w:val="both"/>
      </w:pPr>
      <w:r>
        <w:rPr>
          <w:i w:val="0"/>
        </w:rPr>
        <w:t>Este terceiro volume de Reflexoterapia Occipito-Podal (ROP) baseia-se nos dois anteriores. Depois de examinar o sistema músculo-esquelético, seguido pelo sistema neuromeningeal, agora nos voltamos para as vísceras abdominopélvicas, o sistema nervoso autónomo e os mecanismos de adaptação ao stress.</w:t>
      </w:r>
    </w:p>
    <w:p>
      <w:pPr>
        <w:jc w:val="both"/>
      </w:pPr>
      <w:r>
        <w:rPr>
          <w:i w:val="0"/>
        </w:rPr>
        <w:t>O objetivo principal é clínico: entender o que palpamos, por que uma determinada zona é selecionada, como priorizar uma sessão e como avaliar o que muda no paciente. O livro combina anatomia e fisiologia com mapas práticos, marcos de palpação e inúmeros casos clínicos.</w:t>
      </w:r>
    </w:p>
    <w:p>
      <w:pPr>
        <w:jc w:val="both"/>
      </w:pPr>
      <w:r>
        <w:rPr>
          <w:i w:val="0"/>
        </w:rPr>
        <w:t>Também pretendemos dar bases científicas mais explícitas ao ROP visceral. O objetivo não é apresentar como comprovados todos os mecanismos propostos pelo método, mas distinguir o que pertence à anatomia estabelecida, neurofisiologia experimental, hipótese clínica e observação.</w:t>
      </w:r>
    </w:p>
    <w:p>
      <w:pPr>
        <w:jc w:val="both"/>
      </w:pPr>
      <w:r>
        <w:rPr>
          <w:i w:val="0"/>
        </w:rPr>
        <w:t>Cada um dos temas aqui apresentados é desenvolvido nos capítulos correspondentes: a sequência clínica no Capítulo 2, as fundamentos neuroanatómicos na Parte II, e o stress e a regulação na Parte III.</w:t>
      </w:r>
    </w:p>
    <w:p>
      <w:pPr>
        <w:pStyle w:val="Heading1"/>
      </w:pPr>
      <w:r>
        <w:t>1. O que este livro pretende fornecer</w:t>
      </w:r>
    </w:p>
    <w:p>
      <w:pPr>
        <w:jc w:val="both"/>
      </w:pPr>
      <w:r>
        <w:rPr>
          <w:i w:val="0"/>
        </w:rPr>
        <w:t>Este volume não é concebido como um simples atlas de órgãos. Ele propõe um quadro de raciocínio clínico aplicável a pacientes reais, levando em conta seus sintomas, história, antecedentes médicos, restrições locorregionais, estado autónomo e contexto emocional.</w:t>
      </w:r>
    </w:p>
    <w:p>
      <w:pPr>
        <w:pStyle w:val="ListBullet"/>
        <w:ind w:left="312" w:hanging="142"/>
      </w:pPr>
      <w:r>
        <w:t>Uma sequência clínica simples de quatro níveis para organizar e priorizar a sessão.</w:t>
      </w:r>
    </w:p>
    <w:p>
      <w:pPr>
        <w:pStyle w:val="ListBullet"/>
        <w:ind w:left="312" w:hanging="142"/>
      </w:pPr>
      <w:r>
        <w:t>Mapas clínicos do pé e occipital que podem ser usados na prática, com marcos anatómicos reproduzíveis.</w:t>
      </w:r>
    </w:p>
    <w:p>
      <w:pPr>
        <w:pStyle w:val="ListBullet"/>
        <w:ind w:left="312" w:hanging="142"/>
      </w:pPr>
      <w:r>
        <w:t>Uma compreensão acessível de relações viscerossômicas, somatoviscerais e viscero-emocionais.</w:t>
      </w:r>
    </w:p>
    <w:p>
      <w:pPr>
        <w:pStyle w:val="ListBullet"/>
        <w:ind w:left="312" w:hanging="142"/>
      </w:pPr>
      <w:r>
        <w:t>Um método de palpação e reavaliação: o que examinar, qual zona abordar, como adaptar a técnica manual e quando parar.</w:t>
      </w:r>
    </w:p>
    <w:p>
      <w:pPr>
        <w:pStyle w:val="ListBullet"/>
        <w:ind w:left="312" w:hanging="142"/>
      </w:pPr>
      <w:r>
        <w:t>Numerosos casos clínicos que mostram como este quadro se traduz na prática diária.</w:t>
      </w:r>
    </w:p>
    <w:p>
      <w:pPr>
        <w:pStyle w:val="ListBullet"/>
        <w:ind w:left="312" w:hanging="142"/>
      </w:pPr>
      <w:r>
        <w:t>Um quadro científico para distinguir o que é estabelecido, plausível, hipotético ou simplesmente observado na prática.</w:t>
      </w:r>
    </w:p>
    <w:p>
      <w:pPr>
        <w:jc w:val="both"/>
      </w:pPr>
      <w:r>
        <w:rPr>
          <w:i w:val="0"/>
        </w:rPr>
        <w:t>O objetivo permanece simples: tornar o método mais fácil de entender, mais fácil de ensinar e mais útil para o maior número possível de pessoas, mantendo um compromisso de cautela e reavaliação.</w:t>
      </w:r>
    </w:p>
    <w:p>
      <w:pPr>
        <w:pStyle w:val="Heading1"/>
      </w:pPr>
      <w:r>
        <w:t>2. A sequência clínica ROP: quatro níveis complementares</w:t>
      </w:r>
    </w:p>
    <w:p>
      <w:pPr>
        <w:jc w:val="both"/>
      </w:pPr>
      <w:r>
        <w:rPr>
          <w:i w:val="0"/>
        </w:rPr>
        <w:t>ROP organiza o raciocínio clínico em quatro níveis. Eles não representam quatro compartimentos anatómicos estritamente separados, nem constituem quatro etapas obrigatórias. Eles servem para identificar onde a atenção deve ser direcionada e estabelecer prioridades.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754"/>
        <w:gridCol w:w="3411"/>
        <w:gridCol w:w="4581"/>
      </w:tblGrid>
      <w:tr>
        <w:trPr>
          <w:tblHeader w:val="true"/>
        </w:trPr>
        <w:tc>
          <w:tcPr>
            <w:tcW w:type="dxa" w:w="1754"/>
            <w:shd w:fill="B1842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411"/>
            <w:shd w:fill="B1842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 que cobre</w:t>
            </w:r>
          </w:p>
        </w:tc>
        <w:tc>
          <w:tcPr>
            <w:tcW w:type="dxa" w:w="4581"/>
            <w:shd w:fill="B1842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Marcos principais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23313A"/>
                <w:sz w:val="17"/>
              </w:rPr>
              <w:t>1 Regulação dos centros superiores</w:t>
            </w:r>
          </w:p>
        </w:tc>
        <w:tc>
          <w:tcPr>
            <w:tcW w:type="dxa" w:w="34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Centros de integração principais e o ambiente neuromeningeal. Um ponto de entrada frequente quando o quadro clínico é difuso ou o paciente é altamente reativo.</w:t>
            </w:r>
          </w:p>
        </w:tc>
        <w:tc>
          <w:tcPr>
            <w:tcW w:type="dxa" w:w="45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Zonas reflexo occipital; ambiente neuromeningeal cranioespinhal e circulação do líquido cefalorraquidiano (LCR); eixo craniossacral; tronco cerebral; diencéfalo e hipotálamo; eixo hipotálamo-hipofisário.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23313A"/>
                <w:sz w:val="17"/>
              </w:rPr>
              <w:t>2 Regulação e adaptação autónoma</w:t>
            </w:r>
          </w:p>
        </w:tc>
        <w:tc>
          <w:tcPr>
            <w:tcW w:type="dxa" w:w="34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Vias e sistemas autónomos envolvidos na adaptação. O objetivo é a flexibilidade autonómica, não um estado simpático ou parassimpático ideal.</w:t>
            </w:r>
          </w:p>
        </w:tc>
        <w:tc>
          <w:tcPr>
            <w:tcW w:type="dxa" w:w="45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Nervo vago e vias parassimpáticas; vias parassimpáticas sacrais; cadeias simpáticas e nervos esplâncnicos; plexos pré-vertebrais e pré-viscerais; glândulas supra-renais; diafragma.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23313A"/>
                <w:sz w:val="17"/>
              </w:rPr>
              <w:t>3 Regulação loco-regional e alvo visceral</w:t>
            </w:r>
          </w:p>
        </w:tc>
        <w:tc>
          <w:tcPr>
            <w:tcW w:type="dxa" w:w="34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O ambiente anatómico e funcional do alvo, seguido pelo próprio alvo visceral ou funcional.</w:t>
            </w:r>
          </w:p>
        </w:tc>
        <w:tc>
          <w:tcPr>
            <w:tcW w:type="dxa" w:w="45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Cavidade abdominal ou pélvica; peritoneu e interfaces serosais; mesentérios e suas raízes; fáscias e ligamentos viscerais; relações interviscerais; hiatos e passagens regionais; a zona reflexa específica do órgão e seus subterritórios.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23313A"/>
                <w:sz w:val="17"/>
              </w:rPr>
              <w:t>4 Integração viscerosomática e viscero-emocional</w:t>
            </w:r>
          </w:p>
        </w:tc>
        <w:tc>
          <w:tcPr>
            <w:tcW w:type="dxa" w:w="34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Conectando o alvo com suas manifestações somáticas e contexto emocional.</w:t>
            </w:r>
          </w:p>
        </w:tc>
        <w:tc>
          <w:tcPr>
            <w:tcW w:type="dxa" w:w="45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6F3EC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color w:val="23313A"/>
                <w:sz w:val="17"/>
              </w:rPr>
              <w:t>Relações viscerossômicas: níveis segmentares, nervos somáticos e convergências; músculos, articulações e territórios associados à dor; interocepção e contexto emocional; redes límbicas e corticolímbicas.</w:t>
            </w:r>
          </w:p>
        </w:tc>
      </w:tr>
    </w:tbl>
    <w:p>
      <w:pPr>
        <w:spacing w:before="120"/>
        <w:jc w:val="both"/>
      </w:pPr>
      <w:r>
        <w:rPr>
          <w:i w:val="0"/>
        </w:rPr>
        <w:t>Quatro pontos acompanham esta tabela e aplicam-se ao longo do livro.</w:t>
      </w:r>
    </w:p>
    <w:p>
      <w:pPr>
        <w:jc w:val="both"/>
      </w:pPr>
      <w:r>
        <w:rPr>
          <w:i w:val="0"/>
        </w:rPr>
        <w:t>As zonas propostas no Nível 1 são referências clínicas e não devem ser entendidas como uma projeção anatómica direta de uma estrutura cerebral no pé ou occipital.</w:t>
      </w:r>
    </w:p>
    <w:p>
      <w:pPr>
        <w:jc w:val="both"/>
      </w:pPr>
      <w:r>
        <w:rPr>
          <w:i w:val="0"/>
        </w:rPr>
        <w:t>Anatomicamente, o diafragma não faz parte do sistema nervoso autónomo. Está incluído no Nível 2 devido ao seu papel funcional na respiração, tónus e avaliação do estado geral do paciente.</w:t>
      </w:r>
    </w:p>
    <w:p>
      <w:pPr>
        <w:jc w:val="both"/>
      </w:pPr>
      <w:r>
        <w:rPr>
          <w:i w:val="0"/>
        </w:rPr>
        <w:t>O alvo visceral ou funcional pertence ao Nível 3, juntamente com o ambiente regional que o condiciona. O Nível 4 não repete o trabalho no órgão: relaciona o alvo às suas manifestações somáticas e contexto emocional. Esta distribuição é usada ao longo dos capítulos viscerais deste volume.</w:t>
      </w:r>
    </w:p>
    <w:p>
      <w:pPr>
        <w:jc w:val="both"/>
      </w:pPr>
      <w:r>
        <w:rPr>
          <w:i w:val="0"/>
        </w:rPr>
        <w:t>No Nível 4, é preferível referir-se a redes límbicas e corticolímbicas em vez de um único sistema límbico fechado. O equilíbrio límbico cérebro-órgão pertence ao vocabulário clínico do ROP quando esta terminologia é usada; não descreve uma conexão anatómica direta e não assume nem uma correspondência fixa entre uma emoção e um órgão nem uma causa psicológica do sintoma.</w:t>
      </w:r>
    </w:p>
    <w:p>
      <w:pPr>
        <w:jc w:val="both"/>
      </w:pPr>
      <w:r>
        <w:rPr>
          <w:i w:val="0"/>
        </w:rPr>
        <w:t>O capítulo 2 desenvolve esta sequência, sua aplicação prática e suas variações de acordo com a situação clínica.</w:t>
      </w:r>
    </w:p>
    <w:p>
      <w:pPr>
        <w:pStyle w:val="Heading1"/>
      </w:pPr>
      <w:r>
        <w:t>3. Uma progressão clínica, não um protocolo rígido</w:t>
      </w:r>
    </w:p>
    <w:p>
      <w:pPr>
        <w:jc w:val="both"/>
      </w:pPr>
      <w:r>
        <w:rPr>
          <w:i w:val="0"/>
        </w:rPr>
        <w:t>A sequência de quatro níveis é uma estrutura de priorização, que ajuda o praticante a evitar reduzir a sessão para uma busca por um órgão ou um ponto reflexo.</w:t>
      </w:r>
    </w:p>
    <w:p>
      <w:pPr>
        <w:jc w:val="both"/>
      </w:pPr>
      <w:r>
        <w:rPr>
          <w:i w:val="0"/>
        </w:rPr>
        <w:t>Perante uma perturbação visceral funcional, a avaliação começa geralmente por explorar fatores que possam estar relacionados com os Níveis 1 e/ou 2. No Nível 3, o profissional aborda então o ambiente locorregional, seguido do próprio alvo visceral ou funcional, antes de integrar as suas manifestações somáticas e o contexto emocional no Nível 4. A ordem efetiva é, contudo, adaptada à história clínica, ao sintoma principal, aos antecedentes médicos, traumáticos ou cirúrgicos, aos resultados dos testes, à tolerância ao toque e à resposta observada. Quando o alvo visceral está claramente identificado, o Nível 3 pode ser abordado diretamente ou numa fase inicial, tratando-se o ambiente regional apenas se este parecer contribuir para o quadro clínico. Inversamente, o Nível 4 pode assumir um lugar central quando as manifestações somáticas ou o contexto emocional dominam a apresentação.</w:t>
      </w:r>
    </w:p>
    <w:p>
      <w:pPr>
        <w:jc w:val="both"/>
      </w:pPr>
      <w:r>
        <w:rPr>
          <w:i w:val="0"/>
        </w:rPr>
        <w:t>Esta priorização é um quadro clínico, não um modelo causal imposto. Não substitui o diagnóstico médico e não pode ser usado para excluir doenças orgânicas.</w:t>
      </w:r>
    </w:p>
    <w:p>
      <w:pPr>
        <w:jc w:val="both"/>
      </w:pPr>
      <w:r>
        <w:rPr>
          <w:i w:val="0"/>
        </w:rPr>
        <w:t>Princípio prático: avaliar, priorizar, adaptar, tratar, depois reavaliar. Os níveis destinam-se a organizar o raciocínio; eles nunca devem torna-ser uma sequência automática.</w:t>
      </w:r>
    </w:p>
    <w:p>
      <w:pPr>
        <w:pStyle w:val="Heading1"/>
      </w:pPr>
      <w:r>
        <w:t>4. Stress e adaptação: uma dinâmica transversal</w:t>
      </w:r>
    </w:p>
    <w:p>
      <w:pPr>
        <w:jc w:val="both"/>
      </w:pPr>
      <w:r>
        <w:rPr>
          <w:i w:val="0"/>
        </w:rPr>
        <w:t>O stress e a teoria polivagal não constituem um quinto nível. Eles descrevem a dinâmica que liga os quatro níveis ao longo do tempo.</w:t>
      </w:r>
    </w:p>
    <w:p>
      <w:pPr>
        <w:jc w:val="both"/>
      </w:pPr>
      <w:r>
        <w:rPr>
          <w:i w:val="0"/>
        </w:rPr>
        <w:t>O stress mobiliza o sistema nervoso central, o sistema nervoso autónomo, os sistemas hormonais, os músculos, a respiração e as vísceras. Essa mobilização é útil quando é proporcional, limitada pelo tempo e seguida de recuperação.</w:t>
      </w:r>
    </w:p>
    <w:p>
      <w:pPr>
        <w:jc w:val="both"/>
      </w:pPr>
      <w:r>
        <w:rPr>
          <w:i w:val="0"/>
        </w:rPr>
        <w:t>Torna-se potencialmente problemático quando:</w:t>
      </w:r>
    </w:p>
    <w:p>
      <w:pPr>
        <w:pStyle w:val="ListBullet"/>
        <w:ind w:left="312" w:hanging="142"/>
      </w:pPr>
      <w:r>
        <w:t>persiste ou se repete sem recuperação suficiente;</w:t>
      </w:r>
    </w:p>
    <w:p>
      <w:pPr>
        <w:pStyle w:val="ListBullet"/>
        <w:ind w:left="312" w:hanging="142"/>
      </w:pPr>
      <w:r>
        <w:t>permanece desproporcional ao fator de stress;</w:t>
      </w:r>
    </w:p>
    <w:p>
      <w:pPr>
        <w:pStyle w:val="ListBullet"/>
        <w:ind w:left="312" w:hanging="142"/>
      </w:pPr>
      <w:r>
        <w:t>não resolve uma vez que a situação mudou;</w:t>
      </w:r>
    </w:p>
    <w:p>
      <w:pPr>
        <w:pStyle w:val="ListBullet"/>
        <w:ind w:left="312" w:hanging="142"/>
      </w:pPr>
      <w:r>
        <w:t>progressivamente reduz a capacidade adaptativa do paciente.</w:t>
      </w:r>
    </w:p>
    <w:p>
      <w:pPr>
        <w:jc w:val="both"/>
      </w:pPr>
      <w:r>
        <w:rPr>
          <w:i w:val="0"/>
        </w:rPr>
        <w:t>Os capítulos dedicados ao stress e à teoria polivagal, portanto, fornecem uma perspectiva transversal sobre mobilização, proteção, adaptação e recuperação.</w:t>
      </w:r>
    </w:p>
    <w:p>
      <w:pPr>
        <w:jc w:val="both"/>
      </w:pPr>
      <w:r>
        <w:t>Para garantir a coerência com o padrão de evidência apresentado abaixo, importa explicitar o estatuto deste enquadramento. A teoria polivagal oferece um vocabulário clínico útil para descrever estados de mobilização e recuperação e tem o mérito de colocar a regulação autonómica no centro do acompanhamento clínico. Contudo, várias das suas hipóteses anatómicas e filogenéticas têm sido objeto de críticas substanciais na literatura neurofisiológica. Por conseguinte, utilizamo-la como enquadramento descritivo, e não como mecanismo demonstrado, distinguindo a organização vagal estabelecida da interpretação.</w:t>
      </w:r>
    </w:p>
    <w:p>
      <w:pPr>
        <w:pStyle w:val="Heading1"/>
      </w:pPr>
      <w:r>
        <w:t>5. Cartografia ROP: uma ferramenta clínica, não uma miniatura anatómica</w:t>
      </w:r>
    </w:p>
    <w:p>
      <w:pPr>
        <w:jc w:val="both"/>
      </w:pPr>
      <w:r>
        <w:rPr>
          <w:i w:val="0"/>
        </w:rPr>
        <w:t>ROP utiliza uma cartografia tridimensional do corpo dentro do pé, historicamente concebida como um corpo na posição fetal. Esta representação é uma ferramenta de localização específica para o método. Isso não significa que um órgão é fisicamente projetado em um ponto no pé.</w:t>
      </w:r>
    </w:p>
    <w:p>
      <w:pPr>
        <w:jc w:val="both"/>
      </w:pPr>
      <w:r>
        <w:rPr>
          <w:i w:val="0"/>
        </w:rPr>
        <w:t>Esta distinção é essencial para a leitura do resto do livro. Os mapas clínicos são mantidos porque estruturam a prática. Sempre que possível, no entanto, eles são considerados ao lado da inervação real, níveis da coluna vertebral e redes neurais conhecidas.</w:t>
      </w:r>
    </w:p>
    <w:p>
      <w:pPr>
        <w:jc w:val="both"/>
      </w:pPr>
      <w:r>
        <w:rPr>
          <w:i w:val="0"/>
        </w:rPr>
        <w:t>O pé não é uma miniatura anatómica do corpo, mas pode ser considerado como uma interface sensorial rica.</w:t>
      </w:r>
    </w:p>
    <w:p>
      <w:pPr>
        <w:pStyle w:val="Heading1"/>
      </w:pPr>
      <w:r>
        <w:t>6. Fundamentos neuroanatómicos, em resumo</w:t>
      </w:r>
    </w:p>
    <w:p>
      <w:pPr>
        <w:jc w:val="both"/>
      </w:pPr>
      <w:r>
        <w:rPr>
          <w:i w:val="0"/>
        </w:rPr>
        <w:t>A pressão manual deforma a pele e os tecidos subjacentes, ativa os mecanorreceptores e gera atividade aferente que atinge os nervos periféricos, a medula espinal e, em seguida, os centros superiores [2,3]. A direção, a duração, a área de contacto e a profundidade da técnica podem alterar as populações sensoriais recrutadas.</w:t>
      </w:r>
    </w:p>
    <w:p>
      <w:pPr>
        <w:jc w:val="both"/>
      </w:pPr>
      <w:r>
        <w:rPr>
          <w:i w:val="0"/>
        </w:rPr>
        <w:t>Podem distinguir-se quatro grandes vias de entrada somática no pé: o portal plantar, cujos ramos se juntam principalmente ao nervo tibial; o portal lateral sural; o portal dorsal fibular; e o portal medial, safeno [1]. Eles não são equivalentes em sua inervação periférica ou suas raízes. Mesmo dentro do território tibial, os ramos plantar e calcâneo não são intercambiáveis.</w:t>
      </w:r>
    </w:p>
    <w:p>
      <w:pPr>
        <w:jc w:val="both"/>
      </w:pPr>
      <w:r>
        <w:rPr>
          <w:i w:val="0"/>
        </w:rPr>
        <w:t>Uma fonte comum de confusão deve ser descartada desde o início: mapas dermatomais colocam o pé principalmente em L4, L5 e S1 [4]. Um dermatoma descreve a origem radicular predominante de um território cutâneo, enquanto um nervo periférico misto contém axónios de várias raízes. Uma zona plantar nunca é, portanto, um “dermatoma S2”.</w:t>
      </w:r>
    </w:p>
    <w:p>
      <w:pPr>
        <w:jc w:val="both"/>
      </w:pPr>
      <w:r>
        <w:rPr>
          <w:i w:val="0"/>
        </w:rPr>
        <w:t>Uma vez dentro do sistema nervoso, a informação somática pode encontrar circuitos viscerais em vários níveis: sobreposição segmentar, convergência entre interneurónios espinhais, conexões intersegmentais e integração supraespinhal. Neste livro, usamos o termo “ponte neuroanatómica” para descrever essas possíveis convergências. Este não é um cabo direto ponto a órgão, mas uma possível rota para uma rede.</w:t>
      </w:r>
    </w:p>
    <w:p>
      <w:pPr>
        <w:jc w:val="both"/>
      </w:pPr>
      <w:r>
        <w:rPr>
          <w:i w:val="0"/>
        </w:rPr>
        <w:t>Vários vias de acesso podem, portanto, produzir um efeito sem ser equivalente. A sobreposição anatómica fortalece principalmente a plausibilidade do direcionamento regional; sua ausência não exclui modulação mais geral.</w:t>
      </w:r>
    </w:p>
    <w:p>
      <w:pPr>
        <w:jc w:val="both"/>
      </w:pPr>
      <w:r>
        <w:rPr>
          <w:i w:val="0"/>
        </w:rPr>
        <w:t>Por ser occipito-podal, seu componente cefálico também merece menção. Possui um ponto de apoio experimental: nos animais, a estimulação do membro posterior pode modificar uma saída parassimpática craniana apesar da ausência de qualquer sobreposição segmentar, sem demonstrar nenhuma correspondência topográfica precisa [18].</w:t>
      </w:r>
    </w:p>
    <w:p>
      <w:pPr>
        <w:pStyle w:val="Heading1"/>
      </w:pPr>
      <w:r>
        <w:t>7. A pélvis: uma região particularmente informativa</w:t>
      </w:r>
    </w:p>
    <w:p>
      <w:pPr>
        <w:jc w:val="both"/>
      </w:pPr>
      <w:r>
        <w:rPr>
          <w:i w:val="0"/>
        </w:rPr>
        <w:t>A pélvis menor fornece o exemplo mais claro para entender essa lógica. A plausibilidade da ROP pélvica baseia-se em três argumentos independentes, em vez de em um único.</w:t>
      </w:r>
    </w:p>
    <w:p>
      <w:pPr>
        <w:jc w:val="both"/>
      </w:pPr>
      <w:r>
        <w:rPr>
          <w:i w:val="0"/>
        </w:rPr>
        <w:t>A proximidade segmentar. O nervo tibial é multirradicular, classicamente L4-S3, embora a consistência da contribuição S3 varie entre fontes anatómicas [1]. Muitos circuitos pélvicos são organizados em torno de S2-S4 [13]; a possível sobreposição, portanto, diz respeito principalmente a S2 e S3. Isso não significa que uma entrada plantar selecione um órgão, mas que ele possa alcançar redes lombossacrais que também processam informações perineais e viscerais.</w:t>
      </w:r>
    </w:p>
    <w:p>
      <w:pPr>
        <w:jc w:val="both"/>
      </w:pPr>
      <w:r>
        <w:rPr>
          <w:i w:val="0"/>
        </w:rPr>
        <w:t>Densidade de evidência. A bexiga é atualmente o modelo mais bem documentado: ensaios randomizados controlados contra um procedimento simulado suportam a eficácia da estimulação do nervo tibial percutâneo na bexiga hiperativa [5], enquanto estudos mecanicistas mostram o envolvimento de circuitos interneuronais sacros e relés supraespinais [6,7]. O cólon distal e o reto são uma extensão lógica desse modelo, porque as redes pélvicas funcionam de maneira integrada e não como uma justaposição de órgãos [14,15].</w:t>
      </w:r>
    </w:p>
    <w:p>
      <w:pPr>
        <w:jc w:val="both"/>
      </w:pPr>
      <w:r>
        <w:rPr>
          <w:i w:val="0"/>
        </w:rPr>
        <w:t>Independência da coincidência anatómica. Este é o argumento mais forte. O nervo safeno, cujo território é predominantemente lombar, não tem sobreposição S2-S4; sob um modelo estritamente segmentar, ele deve ter fornecido o controlo negativo ideal. No entanto, sua estimulação inibe a função da bexiga em animais [8], através de um caminho que parece ser supraespinhal [9], e um primeiro estudo de viabilidade clínica relata uma alta proporção de respondentes [10]. A conclusão é clara: a proximidade segmentar não é necessária.</w:t>
      </w:r>
    </w:p>
    <w:p>
      <w:pPr>
        <w:jc w:val="both"/>
      </w:pPr>
      <w:r>
        <w:rPr>
          <w:i w:val="0"/>
        </w:rPr>
        <w:t>Um modelo que mantém sua plausibilidade quando seu argumento mais citado é removido é um modelo mais robusto, não mais frágil. Na experiência clínica ROP, a região pélvica também está entre os territórios em que as respostas observadas são mais notáveis. Esta observação não é prova de eficácia específica; fornece um cenário particularmente útil para comparar a cartografia do método com mecanismos conhecidos.</w:t>
      </w:r>
    </w:p>
    <w:p>
      <w:pPr>
        <w:pStyle w:val="Heading1"/>
      </w:pPr>
      <w:r>
        <w:t>8. Além da pélvis: modulação distante e técnica manual</w:t>
      </w:r>
    </w:p>
    <w:p>
      <w:pPr>
        <w:jc w:val="both"/>
      </w:pPr>
      <w:r>
        <w:rPr>
          <w:i w:val="0"/>
        </w:rPr>
        <w:t>A ausência de proximidade segmentar não impede toda modulação. Uma entrada somática pode atingir o tronco cerebral e as redes corticais e, em seguida, através de comandos descendentes, alterar a excitabilidade dos circuitos espinhais e autonómicos. A literatura sobre reflexos somato-autonómicos documenta este princípio extensivamente [16].</w:t>
      </w:r>
    </w:p>
    <w:p>
      <w:pPr>
        <w:jc w:val="both"/>
      </w:pPr>
      <w:r>
        <w:rPr>
          <w:i w:val="0"/>
        </w:rPr>
        <w:t>Duas limitações acompanham esse raciocínio: quanto mais uma hipótese depende de relés supraespinhal gerais, menos ela suporta uma reivindicação de especificidade regional; e, nesses casos, o efeito ainda precisa ser documentado órgão por órgão.</w:t>
      </w:r>
    </w:p>
    <w:p>
      <w:pPr>
        <w:jc w:val="both"/>
      </w:pPr>
      <w:r>
        <w:rPr>
          <w:i w:val="0"/>
        </w:rPr>
        <w:t>Uma objeção específica ao ROP permanece, e levamos isso a sério: as evidências da neuromodulação elétrica não demonstram o efeito da pressão manual. Essa distinção será reiterada ao longo do livro.</w:t>
      </w:r>
    </w:p>
    <w:p>
      <w:pPr>
        <w:jc w:val="both"/>
      </w:pPr>
      <w:r>
        <w:rPr>
          <w:i w:val="0"/>
        </w:rPr>
        <w:t>Isso não significa que a técnica manual não tenha uma base experimental. Estimulação cutânea mecânica suave, aplicada notavelmente ao membro posterior, modifica a função da bexiga através de um mecanismo identificado [12]. Um ensaio controlado randomizado realizado em um ambiente hospitalar também avaliou a reflexologia plantar manual após a cirurgia oncológica retal: entre 108 pacientes analisados, a incidência de íleo pós-operatório foi reduzida, assim como os tempos para a retomada da alimentação e do trânsito intestinal [11].</w:t>
      </w:r>
    </w:p>
    <w:p>
      <w:pPr>
        <w:jc w:val="both"/>
      </w:pPr>
      <w:r>
        <w:rPr>
          <w:i w:val="0"/>
        </w:rPr>
        <w:t>Nenhum desses estudos é ROP. Todos são o tipo certo de experimento, e é isso que torna um programa de pesquisa praticável.</w:t>
      </w:r>
    </w:p>
    <w:p>
      <w:pPr>
        <w:pStyle w:val="BibliographyHeading"/>
      </w:pPr>
      <w:r>
        <w:t>Para uma leitura mais aprofundada sobre os mecanismos discutidos nas Secções 6 a 8</w:t>
      </w:r>
    </w:p>
    <w:p>
      <w:pPr>
        <w:jc w:val="both"/>
      </w:pPr>
      <w:r>
        <w:rPr>
          <w:i w:val="0"/>
        </w:rPr>
        <w:t>Os leitores que querem as fontes detalhadas, uma comparação dos quatro vias de acesso somáticos, o arquivo completo de evidências de nervos safenos e a bibliografia completa os encontrarão na página dedicada do site do método:</w:t>
      </w:r>
    </w:p>
    <w:p>
      <w:pPr>
        <w:jc w:val="left"/>
      </w:pPr>
      <w:r>
        <w:rPr>
          <w:b/>
          <w:color w:val="B1842C"/>
        </w:rPr>
        <w:t>www.guy-boitout.com/fondements-neuro-anatomiques</w:t>
      </w:r>
    </w:p>
    <w:p>
      <w:pPr>
        <w:jc w:val="both"/>
      </w:pPr>
      <w:r>
        <w:rPr>
          <w:i w:val="0"/>
        </w:rPr>
        <w:t>Esta página é atualizada à medida que novas publicações aparecem e servem como um companheiro vivo para este capítulo.</w:t>
      </w:r>
    </w:p>
    <w:p>
      <w:pPr>
        <w:pStyle w:val="Heading1"/>
      </w:pPr>
      <w:r>
        <w:t>9. Como ler este livro</w:t>
      </w:r>
    </w:p>
    <w:p>
      <w:pPr>
        <w:jc w:val="both"/>
      </w:pPr>
      <w:r>
        <w:rPr>
          <w:i w:val="0"/>
        </w:rPr>
        <w:t>Cada parte do livro aborda uma questão clínica. Os mapas e casos clínicos destinam-se a ser lidos em conjunto com os capítulos anatómicos, não isoladamente.</w:t>
      </w:r>
    </w:p>
    <w:p>
      <w:pPr>
        <w:pStyle w:val="ListBullet"/>
        <w:ind w:left="312" w:hanging="142"/>
      </w:pPr>
      <w:r>
        <w:t>Parte I Introdução: princípios gerais, tratamento, tomada de história, testes, priorização, segurança e reavaliação.</w:t>
      </w:r>
    </w:p>
    <w:p>
      <w:pPr>
        <w:pStyle w:val="ListBullet"/>
        <w:ind w:left="312" w:hanging="142"/>
      </w:pPr>
      <w:r>
        <w:t>Parte II - Sistemas nervosos: sistema nervoso central, sistema nervoso autónomo e os fundamentos neuroanatómicos dos portais somáticos.</w:t>
      </w:r>
    </w:p>
    <w:p>
      <w:pPr>
        <w:pStyle w:val="ListBullet"/>
        <w:ind w:left="312" w:hanging="142"/>
      </w:pPr>
      <w:r>
        <w:t>Parte III Stress e regulação: mecanismos transversais de mobilização, adaptação e recuperação.</w:t>
      </w:r>
    </w:p>
    <w:p>
      <w:pPr>
        <w:pStyle w:val="ListBullet"/>
        <w:ind w:left="312" w:hanging="142"/>
      </w:pPr>
      <w:r>
        <w:t>vísceras abdominais: cavidade abdominal, diafragma, peritoneu, mesentérios e órgãos digestivos.</w:t>
      </w:r>
    </w:p>
    <w:p>
      <w:pPr>
        <w:pStyle w:val="ListBullet"/>
        <w:ind w:left="312" w:hanging="142"/>
      </w:pPr>
      <w:r>
        <w:t>Parte V – Urogenital e pélvica: cavidade pélvica, rins, bexiga, órgãos genitais e sistema erétil.</w:t>
      </w:r>
    </w:p>
    <w:p>
      <w:pPr>
        <w:jc w:val="both"/>
      </w:pPr>
      <w:r>
        <w:rPr>
          <w:i w:val="0"/>
        </w:rPr>
        <w:t>Os casos clínicos mostram como o mesmo sintoma pode levar a diferentes escolhas, dependendo da história do paciente, dos testes, dos níveis priorizados e da resposta à sessão. Eles fornecem uma ligação essencial entre os mapas do livro e as realidades da prática clínica.</w:t>
      </w:r>
    </w:p>
    <w:p>
      <w:pPr>
        <w:pStyle w:val="Heading1"/>
      </w:pPr>
      <w:r>
        <w:t>10. Por que as vísceras são essenciais</w:t>
      </w:r>
    </w:p>
    <w:p>
      <w:pPr>
        <w:jc w:val="both"/>
      </w:pPr>
      <w:r>
        <w:rPr>
          <w:i w:val="0"/>
        </w:rPr>
        <w:t>O sistema visceral gere uma grande parte da logística essencial do corpo: nutrição, digestão, absorção, eliminação, equilíbrio de fluidos e minerais, funções endócrinas, reprodução e manutenção da homeostase interna.</w:t>
      </w:r>
    </w:p>
    <w:p>
      <w:pPr>
        <w:jc w:val="both"/>
      </w:pPr>
      <w:r>
        <w:rPr>
          <w:i w:val="0"/>
        </w:rPr>
        <w:t>Informações visuais e somáticas podem convergir dentro de redes compartilhadas. Esta organização contribui para certos padrões de dor referida, mudanças no tónus muscular e interações entre funções viscerais e somáticas [14,15,17].</w:t>
      </w:r>
    </w:p>
    <w:p>
      <w:pPr>
        <w:jc w:val="both"/>
      </w:pPr>
      <w:r>
        <w:rPr>
          <w:i w:val="0"/>
        </w:rPr>
        <w:t>O inverso também é possível: certas entradas somáticas podem modificar circuitos autonómicos ou viscerais. Essas relações nunca devem ser transformadas em relações causais automáticas.</w:t>
      </w:r>
    </w:p>
    <w:p>
      <w:pPr>
        <w:jc w:val="both"/>
      </w:pPr>
      <w:r>
        <w:rPr>
          <w:i w:val="0"/>
        </w:rPr>
        <w:t>ROP é usado no campo de distúrbios funcionais e cuidados de suporte. Não substitui o diagnóstico médico ou os tratamentos necessários na presença de doenças orgânicas.</w:t>
      </w:r>
    </w:p>
    <w:p>
      <w:pPr>
        <w:pStyle w:val="Heading1"/>
      </w:pPr>
      <w:r>
        <w:t>11. Nossa abordagem: rigor científico e pragmatismo clínico</w:t>
      </w:r>
    </w:p>
    <w:p>
      <w:pPr>
        <w:jc w:val="both"/>
      </w:pPr>
      <w:r>
        <w:rPr>
          <w:i w:val="0"/>
        </w:rPr>
        <w:t>Como acontece com qualquer abordagem manual, algumas observações clínicas podem preceder uma compreensão completa de seus mecanismos. Esta situação impõe dois requisitos: não transformar uma observação em uma certeza, e não descartar o que merece um estudo mais aprofundado.</w:t>
      </w:r>
    </w:p>
    <w:p>
      <w:pPr>
        <w:jc w:val="both"/>
      </w:pPr>
      <w:r>
        <w:rPr>
          <w:i w:val="0"/>
        </w:rPr>
        <w:t>Distinguimos quatro níveis de evidência:</w:t>
      </w:r>
    </w:p>
    <w:p>
      <w:pPr>
        <w:spacing w:after="50"/>
        <w:ind w:left="340" w:hanging="255"/>
      </w:pPr>
      <w:r>
        <w:rPr>
          <w:b/>
        </w:rPr>
        <w:t xml:space="preserve">1. </w:t>
      </w:r>
      <w:r>
        <w:t>anatomia e fisiologia estabelecidas: nervos, raízes, aferentes, plexos, vias autonómicas e circuitos espinhais e supraespinhal.</w:t>
      </w:r>
    </w:p>
    <w:p>
      <w:pPr>
        <w:spacing w:after="50"/>
        <w:ind w:left="340" w:hanging="255"/>
      </w:pPr>
      <w:r>
        <w:rPr>
          <w:b/>
        </w:rPr>
        <w:t xml:space="preserve">2. Neurofisiologia </w:t>
      </w:r>
      <w:r>
        <w:t>experimental e clínica: dados sobre neuromodulação tibial e safena, convergência espinal, estimulação cutânea mecânica e respostas cerebrais a diferentes formas de estimulação somática.</w:t>
      </w:r>
    </w:p>
    <w:p>
      <w:pPr>
        <w:spacing w:after="50"/>
        <w:ind w:left="340" w:hanging="255"/>
      </w:pPr>
      <w:r>
        <w:rPr>
          <w:b/>
        </w:rPr>
        <w:t xml:space="preserve">3. Hipótese </w:t>
      </w:r>
      <w:r>
        <w:t>neuroanatómica ROP: a proposta de que uma determinada zona ou ramo pode fornecer um via de acesso mais relevante do que outro para uma função específica.</w:t>
      </w:r>
    </w:p>
    <w:p>
      <w:pPr>
        <w:spacing w:after="50"/>
        <w:ind w:left="340" w:hanging="255"/>
      </w:pPr>
      <w:r>
        <w:rPr>
          <w:b/>
        </w:rPr>
        <w:t xml:space="preserve">4. Observação </w:t>
      </w:r>
      <w:r>
        <w:t>clínica ROP: mapas clínicos, respostas palpatórias, respostas imediatas ou atrasadas e casos clínicos documentados.</w:t>
      </w:r>
    </w:p>
    <w:p>
      <w:pPr>
        <w:jc w:val="both"/>
      </w:pPr>
      <w:r>
        <w:rPr>
          <w:i w:val="0"/>
        </w:rPr>
        <w:t>Evidências de neuromodulação elétrica não demonstram automaticamente o efeito da pressão manual. Uma resposta clínica, por si só, não demonstra o mecanismo que a produziu. Cada nível de evidência pode, no entanto, ajudar a formular uma pergunta mais precisa.</w:t>
      </w:r>
    </w:p>
    <w:p>
      <w:pPr>
        <w:jc w:val="both"/>
      </w:pPr>
      <w:r>
        <w:rPr>
          <w:i w:val="0"/>
        </w:rPr>
        <w:t>Esta escala mede a força de uma reivindicação; não diz nada sobre seu escopo anatómico. Por esta razão, os capítulos da Parte II distinguem proximidade segmentar, especificidade de via de acesso e nível de evidência, que são três parâmetros independentes. Uma consequência vale a pena afirmar agora: quando vários vias de acesso produzem um efeito comparável, isso não enfraquece o método. Para uma abordagem manual, significa que o acesso regional pode tolerar alguma imprecisão na técnica ao custo, que aceitamos, de abandonar qualquer ponto de reivindicação.</w:t>
      </w:r>
    </w:p>
    <w:p>
      <w:pPr>
        <w:pStyle w:val="Heading2"/>
      </w:pPr>
      <w:r>
        <w:t>11.1. Do mapa clínico à observação estruturada</w:t>
      </w:r>
    </w:p>
    <w:p>
      <w:pPr>
        <w:jc w:val="both"/>
      </w:pPr>
      <w:r>
        <w:rPr>
          <w:i w:val="0"/>
        </w:rPr>
        <w:t>A aplicação SuiviPatient, disponibilizada gratuitamente aos profissionais certificados da ROP, segue esta lógica. Permite documentar o principal motivo da consulta, a história, as zonas trabalhadas, o protocolo seguido, as reações observadas e as mudanças nos sintomas ou capacidade funcional.</w:t>
      </w:r>
    </w:p>
    <w:p>
      <w:pPr>
        <w:jc w:val="both"/>
      </w:pPr>
      <w:r>
        <w:rPr>
          <w:i w:val="0"/>
        </w:rPr>
        <w:t>O objetivo não é transformar cada sessão em um experimento, mas tornar as observações mais comparáveis, identificar melhor os protocolos úteis e as limitações do método e definir as perguntas que justificam um estudo mais formal.</w:t>
      </w:r>
    </w:p>
    <w:p>
      <w:pPr>
        <w:jc w:val="both"/>
      </w:pPr>
      <w:r>
        <w:rPr>
          <w:i w:val="0"/>
        </w:rPr>
        <w:t>Uma variável merece ser documentada com mais cuidado do que normalmente é: as características mecânicas da técnica – área de contacto, direção, profundidade, pressão aplicada, duração e frequência de repetição. A literatura sobre estimulação mecânica agora fornece ordens úteis de magnitude; está torna-sendo possível e desejável tratar a pressão como uma quantidade medida em vez de uma meramente descrita.</w:t>
      </w:r>
    </w:p>
    <w:p>
      <w:pPr>
        <w:pStyle w:val="Heading1"/>
      </w:pPr>
      <w:r>
        <w:t>12. Dois marcos anatómicos fundamentais</w:t>
      </w:r>
    </w:p>
    <w:p>
      <w:pPr>
        <w:pStyle w:val="Heading2"/>
      </w:pPr>
      <w:r>
        <w:t>12.1. O diafragma</w:t>
      </w:r>
    </w:p>
    <w:p>
      <w:pPr>
        <w:jc w:val="both"/>
      </w:pPr>
      <w:r>
        <w:rPr>
          <w:i w:val="0"/>
        </w:rPr>
        <w:t>As duas cúpulas diafragmáticas não estão na mesma altura. A cúpula direita é geralmente maior que a esquerda, particularmente por causa da presença do fígado. Essa assimetria deve ser respeitada na cartografia e no exame clínico.</w:t>
      </w:r>
    </w:p>
    <w:p>
      <w:pPr>
        <w:pStyle w:val="Heading2"/>
      </w:pPr>
      <w:r>
        <w:t>12.2. O peritoneu</w:t>
      </w:r>
    </w:p>
    <w:p>
      <w:pPr>
        <w:jc w:val="both"/>
      </w:pPr>
      <w:r>
        <w:rPr>
          <w:i w:val="0"/>
        </w:rPr>
        <w:t>O peritoneu forma uma interface importante entre as vísceras e as paredes do corpo. Através de suas dobras, mesentérios, ligamentos e relações anatómicas, contribui para a suspensão dos órgãos, planos de deslizamento, relações vasculares e neurais e a organização dos espaços abdominal e pélvico.</w:t>
      </w:r>
    </w:p>
    <w:p>
      <w:pPr>
        <w:pStyle w:val="Heading1"/>
      </w:pPr>
      <w:r>
        <w:t>13. Terminologia</w:t>
      </w:r>
    </w:p>
    <w:p>
      <w:pPr>
        <w:jc w:val="both"/>
      </w:pPr>
      <w:r>
        <w:rPr>
          <w:i w:val="0"/>
        </w:rPr>
        <w:t>Para clareza e consistência anatómica, usaremos os seguintes termos:</w:t>
      </w:r>
    </w:p>
    <w:p>
      <w:pPr>
        <w:pStyle w:val="ListBullet"/>
        <w:ind w:left="312" w:hanging="142"/>
      </w:pPr>
      <w:r>
        <w:t>Dorsicamente, em vez de “posteriormente”, quando a orientação corporal o torna apropriado;</w:t>
      </w:r>
    </w:p>
    <w:p>
      <w:pPr>
        <w:pStyle w:val="ListBullet"/>
        <w:ind w:left="312" w:hanging="142"/>
      </w:pPr>
      <w:r>
        <w:t>Ventralmente, em vez de “antirioriamente”;</w:t>
      </w:r>
    </w:p>
    <w:p>
      <w:pPr>
        <w:pStyle w:val="ListBullet"/>
        <w:ind w:left="312" w:hanging="142"/>
      </w:pPr>
      <w:r>
        <w:t>lateralmente, em vez de “externalmente”;</w:t>
      </w:r>
    </w:p>
    <w:p>
      <w:pPr>
        <w:pStyle w:val="ListBullet"/>
        <w:ind w:left="312" w:hanging="142"/>
      </w:pPr>
      <w:r>
        <w:t>medialmente, em vez de “internamente”;</w:t>
      </w:r>
    </w:p>
    <w:p>
      <w:pPr>
        <w:pStyle w:val="ListBullet"/>
        <w:ind w:left="312" w:hanging="142"/>
      </w:pPr>
      <w:r>
        <w:t>cefalad, em vez de “para cima”;</w:t>
      </w:r>
    </w:p>
    <w:p>
      <w:pPr>
        <w:pStyle w:val="ListBullet"/>
        <w:ind w:left="312" w:hanging="142"/>
      </w:pPr>
      <w:r>
        <w:t>Caudally, em vez de "para baixo";</w:t>
      </w:r>
    </w:p>
    <w:p>
      <w:pPr>
        <w:pStyle w:val="ListBullet"/>
        <w:ind w:left="312" w:hanging="142"/>
      </w:pPr>
      <w:r>
        <w:t>Para descrever uma orientação no plano frontal;</w:t>
      </w:r>
    </w:p>
    <w:p>
      <w:pPr>
        <w:pStyle w:val="ListBullet"/>
        <w:ind w:left="312" w:hanging="142"/>
      </w:pPr>
      <w:r>
        <w:t>Sagitalmente, para descrever uma orientação no plano sagital.</w:t>
      </w:r>
    </w:p>
    <w:p>
      <w:pPr>
        <w:jc w:val="both"/>
      </w:pPr>
      <w:r>
        <w:rPr>
          <w:i w:val="0"/>
        </w:rPr>
        <w:t>Também preferimos as expressões “gerar uma entrada somática”, “recrutar uma rede”, “modular a excitabilidade de um circuito”, ou “influenciar uma função”, em vez de “alcançar” ou “agir”, o que incorretamente sugere continuidade direta entre um ponto no pé e um órgão.</w:t>
      </w:r>
    </w:p>
    <w:p>
      <w:pPr>
        <w:pStyle w:val="Heading1"/>
      </w:pPr>
      <w:r>
        <w:t>14. Estrutura padrão do capítulo</w:t>
      </w:r>
    </w:p>
    <w:p>
      <w:pPr>
        <w:pStyle w:val="Heading2"/>
      </w:pPr>
      <w:r>
        <w:t>14.1. Visão geral</w:t>
      </w:r>
    </w:p>
    <w:p>
      <w:pPr>
        <w:jc w:val="both"/>
      </w:pPr>
      <w:r>
        <w:rPr>
          <w:i w:val="0"/>
        </w:rPr>
        <w:t>Coloca o órgão dentro da estrutura de raciocínio geral do livro e especifica sua relevância clínica.</w:t>
      </w:r>
    </w:p>
    <w:p>
      <w:pPr>
        <w:pStyle w:val="Heading2"/>
      </w:pPr>
      <w:r>
        <w:t>14.2. Localização</w:t>
      </w:r>
    </w:p>
    <w:p>
      <w:pPr>
        <w:jc w:val="both"/>
      </w:pPr>
      <w:r>
        <w:rPr>
          <w:i w:val="0"/>
        </w:rPr>
        <w:t>Localiza o órgão dentro da cavidade relevante e define seus principais marcos.</w:t>
      </w:r>
    </w:p>
    <w:p>
      <w:pPr>
        <w:pStyle w:val="Heading2"/>
      </w:pPr>
      <w:r>
        <w:t>14.3. Anatomia</w:t>
      </w:r>
    </w:p>
    <w:p>
      <w:pPr>
        <w:jc w:val="both"/>
      </w:pPr>
      <w:r>
        <w:rPr>
          <w:i w:val="0"/>
        </w:rPr>
        <w:t>Descreve sua forma, partes constituintes e características essenciais.</w:t>
      </w:r>
    </w:p>
    <w:p>
      <w:pPr>
        <w:pStyle w:val="Heading2"/>
      </w:pPr>
      <w:r>
        <w:t>14.4. Relações anatómicas</w:t>
      </w:r>
    </w:p>
    <w:p>
      <w:pPr>
        <w:jc w:val="both"/>
      </w:pPr>
      <w:r>
        <w:rPr>
          <w:i w:val="0"/>
        </w:rPr>
        <w:t>Apresenta suas relações com órgãos vizinhos, paredes do corpo, fáscias, músculos, ligamentos e estruturas neurovasculares.</w:t>
      </w:r>
    </w:p>
    <w:p>
      <w:pPr>
        <w:pStyle w:val="Heading2"/>
      </w:pPr>
      <w:r>
        <w:t>14.5. Fornecimento vascular</w:t>
      </w:r>
    </w:p>
    <w:p>
      <w:pPr>
        <w:jc w:val="both"/>
      </w:pPr>
      <w:r>
        <w:rPr>
          <w:i w:val="0"/>
        </w:rPr>
        <w:t>Descreve as principais vias arteriais, venosas e, quando relevante, linfáticas.</w:t>
      </w:r>
    </w:p>
    <w:p>
      <w:pPr>
        <w:pStyle w:val="Heading2"/>
      </w:pPr>
      <w:r>
        <w:t>14.6. Innervação</w:t>
      </w:r>
    </w:p>
    <w:p>
      <w:pPr>
        <w:jc w:val="both"/>
      </w:pPr>
      <w:r>
        <w:rPr>
          <w:i w:val="0"/>
        </w:rPr>
        <w:t>Apresenta caminhos simpáticos e parassimpáticos, plexos, aferentes viscerais e os níveis espinhais associados.</w:t>
      </w:r>
    </w:p>
    <w:p>
      <w:pPr>
        <w:pStyle w:val="Heading2"/>
      </w:pPr>
      <w:r>
        <w:t>14.7. Fisiologia</w:t>
      </w:r>
    </w:p>
    <w:p>
      <w:pPr>
        <w:jc w:val="both"/>
      </w:pPr>
      <w:r>
        <w:rPr>
          <w:i w:val="0"/>
        </w:rPr>
        <w:t>Revisa as principais funções do órgão e sua regulação.</w:t>
      </w:r>
    </w:p>
    <w:p>
      <w:pPr>
        <w:pStyle w:val="Heading2"/>
      </w:pPr>
      <w:r>
        <w:t>14.8. patologias comuns</w:t>
      </w:r>
    </w:p>
    <w:p>
      <w:pPr>
        <w:jc w:val="both"/>
      </w:pPr>
      <w:r>
        <w:rPr>
          <w:i w:val="0"/>
        </w:rPr>
        <w:t>Fornece pontos de referência para compreensão, exclusão de patologia relevante e cautela apropriada. ROP não substitui o diagnóstico médico.</w:t>
      </w:r>
    </w:p>
    <w:p>
      <w:pPr>
        <w:pStyle w:val="Heading2"/>
      </w:pPr>
      <w:r>
        <w:t>14.9. Zonas de reflexo de pé</w:t>
      </w:r>
    </w:p>
    <w:p>
      <w:pPr>
        <w:jc w:val="both"/>
      </w:pPr>
      <w:r>
        <w:rPr>
          <w:i w:val="0"/>
        </w:rPr>
        <w:t>Descreve a cartografia clínica ROP, organiza-a de acordo com os quatro níveis do protocolo – com a zona reflexa específica do órgão pertencente ao Nível 3 – e, sempre que possível, considera-a ao lado de nervos, ramos, raízes e pontes neuroanatómicas candidatas.</w:t>
      </w:r>
    </w:p>
    <w:p>
      <w:pPr>
        <w:pStyle w:val="Heading2"/>
      </w:pPr>
      <w:r>
        <w:t>14.10. Relações viscerossômicas</w:t>
      </w:r>
    </w:p>
    <w:p>
      <w:pPr>
        <w:jc w:val="both"/>
      </w:pPr>
      <w:r>
        <w:rPr>
          <w:i w:val="0"/>
        </w:rPr>
        <w:t>Descreve possíveis convergências e projeções entre o órgão, os níveis da coluna vertebral, os nervos somáticos, músculos, articulações e territórios associados à dor. Esses dados contribuem, em particular, para a integração viscerossômica do Nível 4.</w:t>
      </w:r>
    </w:p>
    <w:p>
      <w:pPr>
        <w:pStyle w:val="Heading2"/>
      </w:pPr>
      <w:r>
        <w:t>14.11. Relações Viscero-emocionais</w:t>
      </w:r>
    </w:p>
    <w:p>
      <w:pPr>
        <w:jc w:val="both"/>
      </w:pPr>
      <w:r>
        <w:rPr>
          <w:i w:val="0"/>
        </w:rPr>
        <w:t>Oferece uma interpretação cautelosa das relações entre estados emocionais, percepção corporal, regulação autonómica e sintomas. Esses dados contribuem, em particular, para a integração visceroemocional de Nível 4, sem impor uma interpretação ao paciente.</w:t>
      </w:r>
    </w:p>
    <w:p>
      <w:pPr>
        <w:pStyle w:val="Heading2"/>
      </w:pPr>
      <w:r>
        <w:t>14.12. Casos clínicos</w:t>
      </w:r>
    </w:p>
    <w:p>
      <w:pPr>
        <w:jc w:val="both"/>
      </w:pPr>
      <w:r>
        <w:rPr>
          <w:i w:val="0"/>
        </w:rPr>
        <w:t>Mostra como anatomia, cartografia, histórico, testes e resposta ao tratamento são integrados em pacientes reais.</w:t>
      </w:r>
    </w:p>
    <w:p>
      <w:pPr>
        <w:pStyle w:val="Heading2"/>
      </w:pPr>
      <w:r>
        <w:t>14.13. Conselhos</w:t>
      </w:r>
    </w:p>
    <w:p>
      <w:pPr>
        <w:jc w:val="both"/>
      </w:pPr>
      <w:r>
        <w:rPr>
          <w:i w:val="0"/>
        </w:rPr>
        <w:t>Complementa a sessão com medidas simples e apropriadas: repouso relativo, hidratação, atividade física adequada, dieta, sono, monitoramento de sintomas e consulta médica quando necessário.</w:t>
      </w:r>
    </w:p>
    <w:p>
      <w:pPr>
        <w:pStyle w:val="Heading1"/>
      </w:pPr>
      <w:r>
        <w:t>15. Pontos-chave</w:t>
      </w:r>
    </w:p>
    <w:p>
      <w:pPr>
        <w:jc w:val="both"/>
      </w:pPr>
      <w:r>
        <w:rPr>
          <w:i w:val="0"/>
        </w:rPr>
        <w:t>Este terceiro volume faz mais do que apresentar novas cartografias viscerais, propõe uma forma simples de organizar a prática e depois considerá-la à luz da anatomia e da neurofisiologia.</w:t>
      </w:r>
    </w:p>
    <w:p>
      <w:pPr>
        <w:jc w:val="both"/>
      </w:pPr>
      <w:r>
        <w:rPr>
          <w:i w:val="0"/>
        </w:rPr>
        <w:t>A sequência clínica compreende quatro níveis complementares: regulação dos centros superiores; regulação e adaptação autonómica; regulação loco-regional e alvo visceral; integração viscerossômica e viscero-emocional. Essa progressão não é necessariamente sequencial e o Capítulo 2 explica como ela é usada.</w:t>
      </w:r>
    </w:p>
    <w:p>
      <w:pPr>
        <w:jc w:val="both"/>
      </w:pPr>
      <w:r>
        <w:rPr>
          <w:i w:val="0"/>
        </w:rPr>
        <w:t>A cartografia ROP continua sendo uma ferramenta clínica, não uma projeção anatómica direta do corpo no pé.</w:t>
      </w:r>
    </w:p>
    <w:p>
      <w:pPr>
        <w:jc w:val="both"/>
      </w:pPr>
      <w:r>
        <w:rPr>
          <w:i w:val="0"/>
        </w:rPr>
        <w:t>As bases neuroanatómicas são baseadas em vias de acesso sensoriais e em possíveis convergências periféricas, espinhais e supraespinais. A sobreposição segmentar fortalece a plausibilidade do direcionamento regional; a sua ausência não exclui uma modulação mais geral.</w:t>
      </w:r>
    </w:p>
    <w:p>
      <w:pPr>
        <w:jc w:val="both"/>
      </w:pPr>
      <w:r>
        <w:rPr>
          <w:i w:val="0"/>
        </w:rPr>
        <w:t>A pélvis atualmente fornece o território mais informativo para comparar proximidade neuroanatómica, observações clínicas e pesquisa. Sua plausibilidade repousa em três suportes independentes: proximidade segmentar S2-S3, a densidade da base de evidências experimentais e clínicas e o fato de que o acesso às redes pélvicas não depende dessa coincidência segmentar.</w:t>
      </w:r>
    </w:p>
    <w:p>
      <w:pPr>
        <w:jc w:val="both"/>
      </w:pPr>
      <w:r>
        <w:rPr>
          <w:i w:val="0"/>
        </w:rPr>
        <w:t>A técnica manual tem sua própria base experimental, ainda limitada, mas real. Nenhum dos estudos disponíveis é ROP; todos são o tipo certo de experimento.</w:t>
      </w:r>
    </w:p>
    <w:p>
      <w:pPr>
        <w:jc w:val="both"/>
      </w:pPr>
      <w:r>
        <w:rPr>
          <w:i w:val="0"/>
        </w:rPr>
        <w:t>O foco final permanece o paciente: entender mais para escolher mais adequadamente, tratar com cautela, observar o que muda e tornar o método acessível para aqueles que podem se beneficiar dele.</w:t>
      </w:r>
    </w:p>
    <w:p>
      <w:pPr>
        <w:pStyle w:val="Heading1"/>
      </w:pPr>
      <w:r>
        <w:t>Bibliography for Chapter 0</w:t>
      </w:r>
    </w:p>
    <w:p>
      <w:pPr>
        <w:jc w:val="both"/>
      </w:pPr>
      <w:r>
        <w:rPr>
          <w:i w:val="0"/>
        </w:rPr>
        <w:t>This bibliography is deliberately restricted to the sources cited in this chapter. The complete bibliography on the neuroanatomical foundations — anatomy of the four gateways, tibial and saphenous neuromodulation, mechanical stimulation, supraspinal control, pelvic networks, and the cephalic component — is kept up to date at www.guy-boitout.com/fondements-neuro-anatomiques.</w:t>
      </w:r>
    </w:p>
    <w:p>
      <w:pPr>
        <w:pStyle w:val="BibliographyHeading"/>
      </w:pPr>
      <w:r>
        <w:t>Anatomy of the foot and cutaneous afferents</w:t>
      </w:r>
    </w:p>
    <w:p>
      <w:pPr>
        <w:pStyle w:val="Reference"/>
      </w:pPr>
      <w:r>
        <w:t>1. Standring S, ed. Gray’s Anatomy: The Anatomical Basis of Clinical Practice. 42nd ed. Elsevier; 2020.</w:t>
      </w:r>
    </w:p>
    <w:p>
      <w:pPr>
        <w:pStyle w:val="Reference"/>
      </w:pPr>
      <w:r>
        <w:t>2. Kennedy PM, Inglis JT. Distribution and behaviour of glabrous cutaneous receptors in the human foot sole. J Physiol. 2002;538(Pt 3):995–1002. doi:10.1113/jphysiol.2001.013087.</w:t>
      </w:r>
    </w:p>
    <w:p>
      <w:pPr>
        <w:pStyle w:val="Reference"/>
      </w:pPr>
      <w:r>
        <w:t>3. Strzalkowski NDJ, Peters RM, Inglis JT, Bent LR. Cutaneous afferent innervation of the human foot sole: what can we learn from single-unit recordings? J Neurophysiol. 2018;120(3):1233–1246. doi:10.1152/jn.00848.2017.</w:t>
      </w:r>
    </w:p>
    <w:p>
      <w:pPr>
        <w:pStyle w:val="Reference"/>
      </w:pPr>
      <w:r>
        <w:t>4. de Souza Faleiros AT, de Lima Resende LA, Zanini MA, de Lima Castro HA, Colichio Gabarra R. L4-L5-S1 human dermatomes. Arq Neuropsiquiatr. 2009;67(2A):265–267. doi:10.1590/S0004-282X2009000200017.</w:t>
      </w:r>
    </w:p>
    <w:p>
      <w:pPr>
        <w:pStyle w:val="BibliographyHeading"/>
      </w:pPr>
      <w:r>
        <w:t>Tibial and saphenous neuromodulation</w:t>
      </w:r>
    </w:p>
    <w:p>
      <w:pPr>
        <w:pStyle w:val="Reference"/>
      </w:pPr>
      <w:r>
        <w:t>5. Peters KM, Carrico DJ, Perez-Marrero RA, et al. Randomized trial of percutaneous tibial nerve stimulation versus sham efficacy in the treatment of overactive bladder syndrome: results from the SUmiT trial. J Urol. 2010;183(4):1438–1443. doi:10.1016/j.juro.2009.12.036.</w:t>
      </w:r>
    </w:p>
    <w:p>
      <w:pPr>
        <w:pStyle w:val="Reference"/>
      </w:pPr>
      <w:r>
        <w:t>6. Yecies T, Li S, Zhang Y, et al. Spinal interneuronal mechanisms underlying pudendal and tibial neuromodulation of bladder function in cats. Exp Neurol. 2018;308:100–110. doi:10.1016/j.expneurol.2018.06.015.</w:t>
      </w:r>
    </w:p>
    <w:p>
      <w:pPr>
        <w:pStyle w:val="Reference"/>
      </w:pPr>
      <w:r>
        <w:t>7. Li X, Li X, Liao L. Mechanism of action of tibial nerve stimulation in the treatment of lower urinary tract dysfunction. Neuromodulation. 2024;27(2):256–266. doi:10.1016/j.neurom.2023.03.017.</w:t>
      </w:r>
    </w:p>
    <w:p>
      <w:pPr>
        <w:pStyle w:val="Reference"/>
      </w:pPr>
      <w:r>
        <w:t>8. Moazzam Z, Yoo PB. Frequency-dependent inhibition of bladder function by saphenous nerve stimulation in anesthetized rats. Neurourol Urodyn. 2018;37(2):592–599. doi:10.1002/nau.23323.</w:t>
      </w:r>
    </w:p>
    <w:p>
      <w:pPr>
        <w:pStyle w:val="Reference"/>
      </w:pPr>
      <w:r>
        <w:t>9. Franz KS, Yoo PB. Transecting the hypogastric nerve to uncover the bladder-inhibitory pathways involved with saphenous nerve stimulation in anesthetized rats. Auton Neurosci. 2020;226:102672. doi:10.1016/j.autneu.2020.102672.</w:t>
      </w:r>
    </w:p>
    <w:p>
      <w:pPr>
        <w:pStyle w:val="Reference"/>
      </w:pPr>
      <w:r>
        <w:t>10. MacDiarmid SA, John MS, Yoo PB. A pilot feasibility study of treating overactive bladder patients with percutaneous saphenous nerve stimulation. Neurourol Urodyn. 2018;37(5):1815–1820. doi:10.1002/nau.23531.</w:t>
      </w:r>
    </w:p>
    <w:p>
      <w:pPr>
        <w:pStyle w:val="BibliographyHeading"/>
      </w:pPr>
      <w:r>
        <w:t>Manual pressure and mechanical cutaneous stimulation</w:t>
      </w:r>
    </w:p>
    <w:p>
      <w:pPr>
        <w:pStyle w:val="Reference"/>
      </w:pPr>
      <w:r>
        <w:t>11. Carrazé A. Impact de la réflexologie plantaire sur l’incidence de l’iléus post-opératoire après chirurgie oncologique du rectum : essai contrôlé, randomisé. Thèse de médecine, Université de Bordeaux; 2023. dumas-04227201.</w:t>
      </w:r>
    </w:p>
    <w:p>
      <w:pPr>
        <w:pStyle w:val="Reference"/>
      </w:pPr>
      <w:r>
        <w:t>12. Hotta H, Watanabe N. Gentle mechanical skin stimulation inhibits micturition contractions via the spinal opioidergic system. PLoS ONE. 2015;10(8):e0135185. doi:10.1371/journal.pone.0135185.</w:t>
      </w:r>
    </w:p>
    <w:p>
      <w:pPr>
        <w:pStyle w:val="BibliographyHeading"/>
      </w:pPr>
      <w:r>
        <w:t>Pelvic functions and integrated networks</w:t>
      </w:r>
    </w:p>
    <w:p>
      <w:pPr>
        <w:pStyle w:val="Reference"/>
      </w:pPr>
      <w:r>
        <w:t>13. Fowler CJ, Griffiths D, de Groat WC. The neural control of micturition. Nat Rev Neurosci. 2008;9(6):453–466. doi:10.1038/nrn2401.</w:t>
      </w:r>
    </w:p>
    <w:p>
      <w:pPr>
        <w:pStyle w:val="Reference"/>
      </w:pPr>
      <w:r>
        <w:t>14. Brierley SM, Hibberd TJ, Spencer NJ. Spinal afferent innervation of the colon and rectum. Front Cell Neurosci. 2018;12:467. doi:10.3389/fncel.2018.00467.</w:t>
      </w:r>
    </w:p>
    <w:p>
      <w:pPr>
        <w:pStyle w:val="Reference"/>
      </w:pPr>
      <w:r>
        <w:t>15. Malykhina AP. Neural mechanisms of pelvic organ cross-sensitization. Neuroscience. 2007;149(3):660–672. doi:10.1016/j.neuroscience.2007.07.053.</w:t>
      </w:r>
    </w:p>
    <w:p>
      <w:pPr>
        <w:pStyle w:val="BibliographyHeading"/>
      </w:pPr>
      <w:r>
        <w:t>Somato-autonomic reflexes and the cephalic component</w:t>
      </w:r>
    </w:p>
    <w:p>
      <w:pPr>
        <w:pStyle w:val="Reference"/>
      </w:pPr>
      <w:r>
        <w:t>16. Sato A, Sato Y, Schmidt RF. The impact of somatosensory input on autonomic functions. Rev Physiol Biochem Pharmacol. 1997;130:1–328. doi:10.1007/BFb0046598.</w:t>
      </w:r>
    </w:p>
    <w:p>
      <w:pPr>
        <w:pStyle w:val="Reference"/>
      </w:pPr>
      <w:r>
        <w:t>17. Jänig W. Neurobiology of visceral afferent neurons. Biol Psychol. 1996;42(1–2):29–51. doi:10.1016/0301-0511(95)05145-7.</w:t>
      </w:r>
    </w:p>
    <w:p>
      <w:pPr>
        <w:pStyle w:val="Reference"/>
      </w:pPr>
      <w:r>
        <w:t>18. Ohsawa H, Yamaguchi S, Ishimaru H, Shimura M, Sato Y. Neural mechanism of pupillary dilation elicited by electro-acupuncture stimulation in anesthetized rats. J Auton Nerv Syst. 1997;64(2–3):101–106. doi:10.1016/S0165-1838(97)00023-4.</w:t>
      </w:r>
    </w:p>
    <w:sectPr w:rsidR="00266F21" w:rsidSect="00034616">
      <w:headerReference w:type="default" r:id="rId13"/>
      <w:footerReference w:type="default" r:id="rId14"/>
      <w:pgSz w:w="11906" w:h="16838"/>
      <w:pgMar w:top="1020" w:right="1077" w:bottom="1020" w:left="107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0BDA3" w14:textId="77777777" w:rsidR="00E47BB8" w:rsidRDefault="00E47BB8">
      <w:pPr>
        <w:spacing w:after="0" w:line="240" w:lineRule="auto"/>
      </w:pPr>
      <w:r>
        <w:separator/>
      </w:r>
    </w:p>
  </w:endnote>
  <w:endnote w:type="continuationSeparator" w:id="0">
    <w:p w14:paraId="57CCAACB" w14:textId="77777777" w:rsidR="00E47BB8" w:rsidRDefault="00E47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895F8" w14:textId="77777777" w:rsidR="00266F21" w:rsidRDefault="00000000">
    <w:pPr>
      <w:pStyle w:val="Footer"/>
      <w:jc w:val="center"/>
    </w:pPr>
    <w:r>
      <w:rPr>
        <w:rFonts w:ascii="Aptos" w:hAnsi="Aptos"/>
        <w:color w:val="6A7277"/>
        <w:sz w:val="16"/>
      </w:rPr>
      <w:t>Capítulo 0 Introdução  Occipito-Podal Reflexoterapia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A111D" w14:textId="77777777" w:rsidR="00E47BB8" w:rsidRDefault="00E47BB8">
      <w:pPr>
        <w:spacing w:after="0" w:line="240" w:lineRule="auto"/>
      </w:pPr>
      <w:r>
        <w:separator/>
      </w:r>
    </w:p>
  </w:footnote>
  <w:footnote w:type="continuationSeparator" w:id="0">
    <w:p w14:paraId="3FA2F17C" w14:textId="77777777" w:rsidR="00E47BB8" w:rsidRDefault="00E47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04B" w14:textId="77777777" w:rsidR="00600BC7" w:rsidRDefault="00600B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266349">
    <w:abstractNumId w:val="8"/>
  </w:num>
  <w:num w:numId="2" w16cid:durableId="1005324538">
    <w:abstractNumId w:val="6"/>
  </w:num>
  <w:num w:numId="3" w16cid:durableId="170294449">
    <w:abstractNumId w:val="5"/>
  </w:num>
  <w:num w:numId="4" w16cid:durableId="864488663">
    <w:abstractNumId w:val="4"/>
  </w:num>
  <w:num w:numId="5" w16cid:durableId="1418597594">
    <w:abstractNumId w:val="7"/>
  </w:num>
  <w:num w:numId="6" w16cid:durableId="406803744">
    <w:abstractNumId w:val="3"/>
  </w:num>
  <w:num w:numId="7" w16cid:durableId="1362167474">
    <w:abstractNumId w:val="2"/>
  </w:num>
  <w:num w:numId="8" w16cid:durableId="1080295788">
    <w:abstractNumId w:val="1"/>
  </w:num>
  <w:num w:numId="9" w16cid:durableId="100343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CE"/>
    <w:rsid w:val="00096473"/>
    <w:rsid w:val="0015074B"/>
    <w:rsid w:val="001F40A8"/>
    <w:rsid w:val="00266F21"/>
    <w:rsid w:val="0029639D"/>
    <w:rsid w:val="00326F90"/>
    <w:rsid w:val="00364683"/>
    <w:rsid w:val="005219F4"/>
    <w:rsid w:val="00523825"/>
    <w:rsid w:val="00600BC7"/>
    <w:rsid w:val="00680E32"/>
    <w:rsid w:val="006C695B"/>
    <w:rsid w:val="00757D1A"/>
    <w:rsid w:val="00844318"/>
    <w:rsid w:val="008E21AA"/>
    <w:rsid w:val="009251F8"/>
    <w:rsid w:val="0095553C"/>
    <w:rsid w:val="00AA1D8D"/>
    <w:rsid w:val="00B47730"/>
    <w:rsid w:val="00C42E25"/>
    <w:rsid w:val="00C74875"/>
    <w:rsid w:val="00C800D0"/>
    <w:rsid w:val="00CB0664"/>
    <w:rsid w:val="00E47BB8"/>
    <w:rsid w:val="00F16501"/>
    <w:rsid w:val="00F27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17612"/>
  <w14:defaultImageDpi w14:val="300"/>
  <w15:docId w15:val="{8F7EA389-6160-44E2-BF29-59DB118F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/>
      <w:spacing w:after="100" w:line="259" w:lineRule="auto"/>
      <w:jc w:val="both"/>
    </w:pPr>
    <w:rPr>
      <w:rFonts w:ascii="Aptos" w:hAnsi="Aptos"/>
      <w:color w:val="2331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184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184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D5A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31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50" w:line="252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Subtitle">
    <w:name w:val="Chapter Subtitle"/>
    <w:pPr>
      <w:keepNext/>
      <w:spacing w:after="160"/>
    </w:pPr>
    <w:rPr>
      <w:rFonts w:ascii="Aptos" w:hAnsi="Aptos"/>
      <w:b/>
      <w:color w:val="4C565C"/>
      <w:sz w:val="23"/>
    </w:rPr>
  </w:style>
  <w:style w:type="paragraph" w:customStyle="1" w:styleId="BibliographyHeading">
    <w:name w:val="Bibliography Heading"/>
    <w:pPr>
      <w:keepNext/>
      <w:spacing w:before="140" w:after="40"/>
    </w:pPr>
    <w:rPr>
      <w:rFonts w:ascii="Aptos" w:hAnsi="Aptos"/>
      <w:b/>
      <w:color w:val="4C565C"/>
      <w:sz w:val="21"/>
    </w:rPr>
  </w:style>
  <w:style w:type="paragraph" w:customStyle="1" w:styleId="Reference">
    <w:name w:val="Reference"/>
    <w:pPr>
      <w:widowControl/>
      <w:spacing w:after="50" w:line="247" w:lineRule="auto"/>
      <w:ind w:left="312" w:hanging="312"/>
    </w:pPr>
    <w:rPr>
      <w:rFonts w:ascii="Aptos" w:hAnsi="Aptos"/>
      <w:color w:val="23313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3840</Words>
  <Characters>21894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0 — Tradução portuguesa V2</dc:title>
  <dc:subject>Versão revista em português europeu</dc:subject>
  <dc:creator>ROP Institute</dc:creator>
  <cp:keywords>ROP, Occipito-Podal Reflexotherapy, Chapter 0, Introduction</cp:keywords>
  <dc:description>generated by python-docx</dc:description>
  <cp:lastModifiedBy>Nicolas Boitout</cp:lastModifiedBy>
  <cp:revision>9</cp:revision>
  <dcterms:created xsi:type="dcterms:W3CDTF">2013-12-23T23:15:00Z</dcterms:created>
  <dcterms:modified xsi:type="dcterms:W3CDTF">2026-08-14T13:42:00Z</dcterms:modified>
  <cp:category/>
</cp:coreProperties>
</file>