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detailed explanation of the flow for your solution documentation, corresponding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 Channel (Direct Launch)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architecture.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Solution Approach: Web Channel (Direct Launch)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architecture leverages the standard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OIDC Shared Session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capability of modern browsers. Since the Online Banking (OLB) application and the Marstone application (launched in a new tab) share the same browser context, the underlying OKKK session cookie is accessible to both, enabling a seamless Single Sign-On (SSO) experience without complex backend "bridging."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Detailed Process Flow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User Interaction (Steps 1-3)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Prerequisite: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has already logged into the Online Banking (OLB) application. A valid OKKK session cookie is present in the browser.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navigates to the "Robo-Advisory" section by clicking a banner or menu item within the OLB Dashboard.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OLB Shell loads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Robo Web Component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(hosted on Rancher SCP). This component is a lightweight frontend micro-application responsible for the Robo-Advisory context.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clicks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"Launch Marstone"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 within the Web Component to begin the account opening process.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Browser Navigation (Step 4)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Web Component executes a standard Javascript window.open() command pointing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Marstone SSO 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https://marstone.auth0.com/login?connection=MyBank-OKKK).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new browser tab ("Tab 2") opens. Crucially, this new tab shares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same cookie jar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original OLB tab ("Tab 1").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The OIDC "Dance" (Steps 5-10)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new tab loads and sends an OIDC Authorization Request (GET /authorize)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Marstone's Identity Broker (Auth0)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Auth0 recognizes that this user must be authenticated against the Bank's Identity Provider and redirects the request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OKKK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(GET /authorize).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7 (The Critical Security Check):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OKKK receives the request. It inspects the browser's cookies and detects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existing, valid Session Cookie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the user's active OLB session in Tab 1.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8: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 session is valid, OKKK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skips the login prompt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(Silent Authentication). It immediately generates an Authorization Code and redirects the browser back to Auth0.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9: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Auth0 receives the code from OKKK, validating the federation.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Auth0 generates its own Authorization Code and redirects the browser back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Marstone Application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Session Establishment (Steps 11-12)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Marstone Application (in Tab 2) exchanges the Authorization Code for Access and ID Tokens.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is logged in and sees the Marstone Dashboard.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moved from OLB to Marstone without ever re-entering their credentials.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Key Architectural Decisions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Reliance on Shared Cookies: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the Mobile Native architecture (which required a SAML Bridge due to cookie sandboxing), the Web architecture relies on the native browser behavior where tabs share session cookies. This simplifies the implementation significantly.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Browser-to-IdP Communication: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OLB Backend is not involved in the launch process. The trust is established directly between the User's Browser and OKKK.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flow is secured by OKKK's standard session management policies. If the user's OLB session has timed out in Tab 1, OKKK will correctly prompt for credentials in Tab 2 before allowing access to Marstone.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Would you like me to compile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Mobile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explanation as well so you have a complete set for both channels?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