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Framework for Actionable Alerts and Threshold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Mosaic Engineering, Site Reliability Engineering (SRE), Enterprise Operations Center (EOC), DevOps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Status and Next Steps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Next Steps: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Review and approval by the SRE and Enterprise Operations teams.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Establish default Service Level Objectives (SLOs) inside the Dynatrace dashboard for all core Mosaic microservices.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Configure Splunk alert actions to automatically route to PagerDuty or Slack based on the newly defined severity matrix.</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Mandate the creation of a Runbook/Playbook link for every production alert configuration.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Context and Problem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Mosaic Digital Servicing platform moving to a distributed, domain-driven architecture utilizing an Nx monorepo, multiple Spring Boot microservices, and an OpenShift container cluster, the volume of telemetry data (logs, metrics, traces) is immense.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a standardized framework for alerting, teams default to setting arbitrary, static thresholds (e.g., "CPU utilization greater than 80%") or alerting on every unhandled exception. This leads to </w:t>
      </w:r>
      <w:r w:rsidDel="00000000" w:rsidR="00000000" w:rsidRPr="00000000">
        <w:rPr>
          <w:rFonts w:ascii="Google Sans" w:cs="Google Sans" w:eastAsia="Google Sans" w:hAnsi="Google Sans"/>
          <w:b w:val="1"/>
          <w:bCs w:val="1"/>
          <w:color w:val="1f1f1f"/>
          <w:rtl w:val="0"/>
        </w:rPr>
        <w:t xml:space="preserve">alert fatigue</w:t>
      </w:r>
      <w:r w:rsidDel="00000000" w:rsidR="00000000" w:rsidRPr="00000000">
        <w:rPr>
          <w:rFonts w:ascii="Google Sans" w:cs="Google Sans" w:eastAsia="Google Sans" w:hAnsi="Google Sans"/>
          <w:color w:val="1f1f1f"/>
          <w:rtl w:val="0"/>
        </w:rPr>
        <w:t xml:space="preserve">, where critical signals are drowned out by non-actionable noise, and the Enterprise Operations Center (EOC) faces delayed Mean Time to Identify (MTTI) and Mean Time to Recovery (MTTR).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Mosaic is an internal, associate-facing sales and servicing portal rather than a public-facing retail site, our alerting thresholds and severities must reflect the unique operational realities of a banking internal ecosystem—measuring platform health by its impact on branch and contact center operational capacity rather than public web traffic.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Decision Drivers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Reduction of Alert Fatigue:</w:t>
      </w:r>
      <w:r w:rsidDel="00000000" w:rsidR="00000000" w:rsidRPr="00000000">
        <w:rPr>
          <w:rFonts w:ascii="Google Sans" w:cs="Google Sans" w:eastAsia="Google Sans" w:hAnsi="Google Sans"/>
          <w:color w:val="1f1f1f"/>
          <w:rtl w:val="0"/>
        </w:rPr>
        <w:t xml:space="preserve"> SREs and developers must only be disrupted by notifications that require immediate human intervention.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Transparency:</w:t>
      </w:r>
      <w:r w:rsidDel="00000000" w:rsidR="00000000" w:rsidRPr="00000000">
        <w:rPr>
          <w:rFonts w:ascii="Google Sans" w:cs="Google Sans" w:eastAsia="Google Sans" w:hAnsi="Google Sans"/>
          <w:color w:val="1f1f1f"/>
          <w:rtl w:val="0"/>
        </w:rPr>
        <w:t xml:space="preserve"> Clear alignment between technical metrics (CPU, memory, database connection pools) and business outcomes (Associate Search success rates, Workflow completion speeds).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Incident Routing:</w:t>
      </w:r>
      <w:r w:rsidDel="00000000" w:rsidR="00000000" w:rsidRPr="00000000">
        <w:rPr>
          <w:rFonts w:ascii="Google Sans" w:cs="Google Sans" w:eastAsia="Google Sans" w:hAnsi="Google Sans"/>
          <w:color w:val="1f1f1f"/>
          <w:rtl w:val="0"/>
        </w:rPr>
        <w:t xml:space="preserve"> Eliminating manual triage by ensuring Splunk and Dynatrace route events directly to the correct engineering squads with embedded contextual diagnostics.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Proactive Burn Rate Alerting:</w:t>
      </w:r>
      <w:r w:rsidDel="00000000" w:rsidR="00000000" w:rsidRPr="00000000">
        <w:rPr>
          <w:rFonts w:ascii="Google Sans" w:cs="Google Sans" w:eastAsia="Google Sans" w:hAnsi="Google Sans"/>
          <w:color w:val="1f1f1f"/>
          <w:rtl w:val="0"/>
        </w:rPr>
        <w:t xml:space="preserve"> Shifting from reactive "system down" triggers to predictive warnings based on Service Level Objective (SLO) error budget depletion.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Considered Options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Static Threshold Alerting on Infrastructure Metrics (Rejected)</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Set hard alerts on baseline metrics across individual pods or virtual machines (e.g., trigger a high-priority alert if memory exceeds 85%, or if an API response takes longer than 2 seconds).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Simple to configure; requires no historical baseline data.</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Highly noisy. Temporary spikes during batch processing or routine garbage collection cause false positives. Fails to account for horizontal scaling or cluster elasticity.</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Event-Driven, Actionable Alerting based on Service Level Objectives (Selected)</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Alerts are strictly tied to customer-impacting Service Level Indicators (SLIs). Static infrastructure alerts are replaced with anomaly detection and Error Budget burn rates managed within Dynatrace and Splunk. Every alert must pass the "Actionability Test" and link to an operational runbook.</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High Fidelity:</w:t>
      </w:r>
      <w:r w:rsidDel="00000000" w:rsidR="00000000" w:rsidRPr="00000000">
        <w:rPr>
          <w:rFonts w:ascii="Google Sans" w:cs="Google Sans" w:eastAsia="Google Sans" w:hAnsi="Google Sans"/>
          <w:color w:val="1f1f1f"/>
          <w:rtl w:val="0"/>
        </w:rPr>
        <w:t xml:space="preserve"> Wakes up engineers only when associate experience or platform operational capacity is genuinely degrading.</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Predictive:</w:t>
      </w:r>
      <w:r w:rsidDel="00000000" w:rsidR="00000000" w:rsidRPr="00000000">
        <w:rPr>
          <w:rFonts w:ascii="Google Sans" w:cs="Google Sans" w:eastAsia="Google Sans" w:hAnsi="Google Sans"/>
          <w:color w:val="1f1f1f"/>
          <w:rtl w:val="0"/>
        </w:rPr>
        <w:t xml:space="preserve"> Alerts trigger before an outright outage occurs by monitoring the speed at which the system's error budget is being consumed.</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Context-Rich:</w:t>
      </w:r>
      <w:r w:rsidDel="00000000" w:rsidR="00000000" w:rsidRPr="00000000">
        <w:rPr>
          <w:rFonts w:ascii="Google Sans" w:cs="Google Sans" w:eastAsia="Google Sans" w:hAnsi="Google Sans"/>
          <w:color w:val="1f1f1f"/>
          <w:rtl w:val="0"/>
        </w:rPr>
        <w:t xml:space="preserve"> Notifications arrive with an exact root-cause analysis, trace timeline, and a step-by-step fix guide.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Requires a more rigorous initial setup, data modeling, and ongoing threshold tuning.</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Decision Attributes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APM Alerting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Dynatrace Davis AI</w:t>
            </w:r>
            <w:r w:rsidDel="00000000" w:rsidR="00000000" w:rsidRPr="00000000">
              <w:rPr>
                <w:rFonts w:ascii="Google Sans" w:cs="Google Sans" w:eastAsia="Google Sans" w:hAnsi="Google Sans"/>
                <w:color w:val="1f1f1f"/>
                <w:rtl w:val="0"/>
              </w:rPr>
              <w:t xml:space="preserve"> (Automated root-cause anomaly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Log-Based Alerting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Splunk Alert Actions</w:t>
            </w:r>
            <w:r w:rsidDel="00000000" w:rsidR="00000000" w:rsidRPr="00000000">
              <w:rPr>
                <w:rFonts w:ascii="Google Sans" w:cs="Google Sans" w:eastAsia="Google Sans" w:hAnsi="Google Sans"/>
                <w:color w:val="1f1f1f"/>
                <w:rtl w:val="0"/>
              </w:rPr>
              <w:t xml:space="preserve"> (For business logic anomalies and security events)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Alert Core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SLO Error Budget Burn Rate</w:t>
            </w:r>
            <w:r w:rsidDel="00000000" w:rsidR="00000000" w:rsidRPr="00000000">
              <w:rPr>
                <w:rFonts w:ascii="Google Sans" w:cs="Google Sans" w:eastAsia="Google Sans" w:hAnsi="Google Sans"/>
                <w:color w:val="1f1f1f"/>
                <w:rtl w:val="0"/>
              </w:rPr>
              <w:t xml:space="preserve"> (Instead of raw counts/percentages)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Mandatory Metadata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to </w:t>
            </w:r>
            <w:r w:rsidDel="00000000" w:rsidR="00000000" w:rsidRPr="00000000">
              <w:rPr>
                <w:rFonts w:ascii="Google Sans" w:cs="Google Sans" w:eastAsia="Google Sans" w:hAnsi="Google Sans"/>
                <w:b w:val="1"/>
                <w:bCs w:val="1"/>
                <w:color w:val="1f1f1f"/>
                <w:rtl w:val="0"/>
              </w:rPr>
              <w:t xml:space="preserve">Runbook</w:t>
            </w:r>
            <w:r w:rsidDel="00000000" w:rsidR="00000000" w:rsidRPr="00000000">
              <w:rPr>
                <w:rFonts w:ascii="Google Sans" w:cs="Google Sans" w:eastAsia="Google Sans" w:hAnsi="Google Sans"/>
                <w:color w:val="1f1f1f"/>
                <w:rtl w:val="0"/>
              </w:rPr>
              <w:t xml:space="preserve">, Service Name, Squad Tag, Blast Radius Filter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Incident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PagerDuty (P1/P2), Slack / Jira Automation (P3/P4)</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Proposed Decisions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"Actionable Alert" Taxonomy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alert shall be configured in the Mosaic production environment unless it passes the </w:t>
      </w:r>
      <w:r w:rsidDel="00000000" w:rsidR="00000000" w:rsidRPr="00000000">
        <w:rPr>
          <w:rFonts w:ascii="Google Sans" w:cs="Google Sans" w:eastAsia="Google Sans" w:hAnsi="Google Sans"/>
          <w:b w:val="1"/>
          <w:bCs w:val="1"/>
          <w:color w:val="1f1f1f"/>
          <w:rtl w:val="0"/>
        </w:rPr>
        <w:t xml:space="preserve">Actionability Test</w:t>
      </w:r>
      <w:r w:rsidDel="00000000" w:rsidR="00000000" w:rsidRPr="00000000">
        <w:rPr>
          <w:rFonts w:ascii="Google Sans" w:cs="Google Sans" w:eastAsia="Google Sans" w:hAnsi="Google Sans"/>
          <w:color w:val="1f1f1f"/>
          <w:rtl w:val="0"/>
        </w:rPr>
        <w:t xml:space="preserve">. An alert is considered actionable if and only if:</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identifies a clear degradation of an internal Service Level Objective (SLO).</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cannot be resolved automatically by the system (e.g., Kubernetes self-healing pod restarts).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requires a specific, well-documented human action to remediate.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SLI / SLO / SLA Framework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Mosaic will standardize on the Google SRE framework for calculating operational thresholds. Every domain microservice must define three distinct levels: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SLA (Service Level Agreement) - Business/Legal Commitment   |</w:t>
        <w:br w:type="textWrapping"/>
        <w:t xml:space="preserve">|   "The system must be available 99.5% of the time."         |</w:t>
        <w:br w:type="textWrapping"/>
        <w:t xml:space="preserve">|   +---------------------------------------------------------+</w:t>
        <w:br w:type="textWrapping"/>
        <w:t xml:space="preserve">|   | SLO (Service Level Objective) - Internal SRE Target     |</w:t>
        <w:br w:type="textWrapping"/>
        <w:t xml:space="preserve">|   |   "99.9% of API responses must return HTTP 200 within   |</w:t>
        <w:br w:type="textWrapping"/>
        <w:t xml:space="preserve">|   |    500ms over a rolling 30-day window."                 |</w:t>
        <w:br w:type="textWrapping"/>
        <w:t xml:space="preserve">|   |   +-----------------------------------------------------+</w:t>
        <w:br w:type="textWrapping"/>
        <w:t xml:space="preserve">|   |   | SLI (Service Level Indicator) - Direct Measurement  |</w:t>
        <w:br w:type="textWrapping"/>
        <w:t xml:space="preserve">|   |   |   "Successful requests / Total requests"            |</w:t>
        <w:br w:type="textWrapping"/>
        <w:t xml:space="preserve">|   +---+---+-------------------------------------------------+</w:t>
        <w:br w:type="textWrapping"/>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Error Budget Burn Rate Alerting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alerting the moment a single request fails, Dynatrace and Splunk will monitor the </w:t>
      </w:r>
      <w:r w:rsidDel="00000000" w:rsidR="00000000" w:rsidRPr="00000000">
        <w:rPr>
          <w:rFonts w:ascii="Google Sans" w:cs="Google Sans" w:eastAsia="Google Sans" w:hAnsi="Google Sans"/>
          <w:b w:val="1"/>
          <w:bCs w:val="1"/>
          <w:color w:val="1f1f1f"/>
          <w:rtl w:val="0"/>
        </w:rPr>
        <w:t xml:space="preserve">Error Budget</w:t>
      </w:r>
      <w:r w:rsidDel="00000000" w:rsidR="00000000" w:rsidRPr="00000000">
        <w:rPr>
          <w:rFonts w:ascii="Google Sans" w:cs="Google Sans" w:eastAsia="Google Sans" w:hAnsi="Google Sans"/>
          <w:color w:val="1f1f1f"/>
          <w:rtl w:val="0"/>
        </w:rPr>
        <w:t xml:space="preserve">—the allowable fraction of failures an SLO tolerates over a rolling 30-day window.</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Alerts will be triggered based on the speed at which the error budget is being consumed (</w:t>
      </w:r>
      <w:r w:rsidDel="00000000" w:rsidR="00000000" w:rsidRPr="00000000">
        <w:rPr>
          <w:rFonts w:ascii="Google Sans" w:cs="Google Sans" w:eastAsia="Google Sans" w:hAnsi="Google Sans"/>
          <w:b w:val="1"/>
          <w:bCs w:val="1"/>
          <w:color w:val="1f1f1f"/>
          <w:rtl w:val="0"/>
        </w:rPr>
        <w:t xml:space="preserve">Burn Rate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Fast Burn Alert (P1/P2):</w:t>
      </w:r>
      <w:r w:rsidDel="00000000" w:rsidR="00000000" w:rsidRPr="00000000">
        <w:rPr>
          <w:rFonts w:ascii="Google Sans" w:cs="Google Sans" w:eastAsia="Google Sans" w:hAnsi="Google Sans"/>
          <w:color w:val="1f1f1f"/>
          <w:rtl w:val="0"/>
        </w:rPr>
        <w:t xml:space="preserve"> Consuming 2% or more of the error budget in a single hour (Burn Rate = 14.4). This indicates a critical failure requiring immediate paging.</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Slow Burn Alert (P3/P4):</w:t>
      </w:r>
      <w:r w:rsidDel="00000000" w:rsidR="00000000" w:rsidRPr="00000000">
        <w:rPr>
          <w:rFonts w:ascii="Google Sans" w:cs="Google Sans" w:eastAsia="Google Sans" w:hAnsi="Google Sans"/>
          <w:color w:val="1f1f1f"/>
          <w:rtl w:val="0"/>
        </w:rPr>
        <w:t xml:space="preserve"> Consuming 5% of the error budget over a 6-hour window (Burn Rate = 6.0). This indicates a subtle degradation that will violate the SLO if left unaddressed.</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Operational Severity Matrix and Routing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Mosaic is an associate-facing platform, severity levels are dictated by </w:t>
      </w:r>
      <w:r w:rsidDel="00000000" w:rsidR="00000000" w:rsidRPr="00000000">
        <w:rPr>
          <w:rFonts w:ascii="Google Sans" w:cs="Google Sans" w:eastAsia="Google Sans" w:hAnsi="Google Sans"/>
          <w:b w:val="1"/>
          <w:bCs w:val="1"/>
          <w:color w:val="1f1f1f"/>
          <w:rtl w:val="0"/>
        </w:rPr>
        <w:t xml:space="preserve">organizational blast radius</w:t>
      </w:r>
      <w:r w:rsidDel="00000000" w:rsidR="00000000" w:rsidRPr="00000000">
        <w:rPr>
          <w:rFonts w:ascii="Google Sans" w:cs="Google Sans" w:eastAsia="Google Sans" w:hAnsi="Google Sans"/>
          <w:color w:val="1f1f1f"/>
          <w:rtl w:val="0"/>
        </w:rPr>
        <w:t xml:space="preserve">. A complete platform failure represents catastrophic operational paralysis across branches and contact centers and is treated as a P1. Localized failures are triaged downstream.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Severity</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for Mosaic (Associate Portal)</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MTTR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Routing Channel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P1 - Critical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Systemic Operational Failure:</w:t>
            </w:r>
            <w:r w:rsidDel="00000000" w:rsidR="00000000" w:rsidRPr="00000000">
              <w:rPr>
                <w:rFonts w:ascii="Google Sans" w:cs="Google Sans" w:eastAsia="Google Sans" w:hAnsi="Google Sans"/>
                <w:color w:val="1f1f1f"/>
                <w:rtl w:val="0"/>
              </w:rPr>
              <w:t xml:space="preserve"> Platform-wide outage or total loss of a core business capability platform-wide (e.g., all branches/contact centers cannot load customer sessions or execute any sales workflows).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30 Mins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PagerDuty voice call to on-call squad; Executive war room activated.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P2 - Major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Localized High Impact / Core Degradation:</w:t>
            </w:r>
            <w:r w:rsidDel="00000000" w:rsidR="00000000" w:rsidRPr="00000000">
              <w:rPr>
                <w:rFonts w:ascii="Google Sans" w:cs="Google Sans" w:eastAsia="Google Sans" w:hAnsi="Google Sans"/>
                <w:color w:val="1f1f1f"/>
                <w:rtl w:val="0"/>
              </w:rPr>
              <w:t xml:space="preserve"> A core domain microservice is failing or completely blocked, but affecting only a specific region, active branch directory, or isolated cluster of users. A workaround does not exist.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2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PagerDuty SMS/App push notification to the primary on-call squad 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P3 - 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Degraded with Workaround:</w:t>
            </w:r>
            <w:r w:rsidDel="00000000" w:rsidR="00000000" w:rsidRPr="00000000">
              <w:rPr>
                <w:rFonts w:ascii="Google Sans" w:cs="Google Sans" w:eastAsia="Google Sans" w:hAnsi="Google Sans"/>
                <w:color w:val="1f1f1f"/>
                <w:rtl w:val="0"/>
              </w:rPr>
              <w:t xml:space="preserve"> Performance is slow, or a minor sub-feature is broken (e.g., cannot print a specific form PDF), but associates can still complete the primary servicing or sales interaction via an alternative screen.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24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Non-blocking message to the squad's dedicated Slack channel; Automated Jira ticket creation.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P4 - 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smells, minor log warnings, or non-impacting infrastructural 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Sprint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Logged silently to a weekly SRE cleanup dashboard.</w:t>
            </w:r>
          </w:p>
        </w:tc>
      </w:tr>
    </w:tbl>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Mandatory Alert Documentation (The Runbook Standard)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alert rule configured in Dynatrace or Splunk must include a JSON payload or metadata envelope containing a direct link to an active Confluence Runbook. The runbook must contain:</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"What it means" statement:</w:t>
      </w:r>
      <w:r w:rsidDel="00000000" w:rsidR="00000000" w:rsidRPr="00000000">
        <w:rPr>
          <w:rFonts w:ascii="Google Sans" w:cs="Google Sans" w:eastAsia="Google Sans" w:hAnsi="Google Sans"/>
          <w:color w:val="1f1f1f"/>
          <w:rtl w:val="0"/>
        </w:rPr>
        <w:t xml:space="preserve"> A non-jargon explanation of the failure.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Triage steps:</w:t>
      </w:r>
      <w:r w:rsidDel="00000000" w:rsidR="00000000" w:rsidRPr="00000000">
        <w:rPr>
          <w:rFonts w:ascii="Google Sans" w:cs="Google Sans" w:eastAsia="Google Sans" w:hAnsi="Google Sans"/>
          <w:color w:val="1f1f1f"/>
          <w:rtl w:val="0"/>
        </w:rPr>
        <w:t xml:space="preserve"> The first three commands or dashboard views an engineer should check to isolate the issue.</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Remediation steps:</w:t>
      </w:r>
      <w:r w:rsidDel="00000000" w:rsidR="00000000" w:rsidRPr="00000000">
        <w:rPr>
          <w:rFonts w:ascii="Google Sans" w:cs="Google Sans" w:eastAsia="Google Sans" w:hAnsi="Google Sans"/>
          <w:color w:val="1f1f1f"/>
          <w:rtl w:val="0"/>
        </w:rPr>
        <w:t xml:space="preserve"> Clear instructions on how to resolve the alert (e.g., "Roll back to previous image version using oc rollback", or "Clear the specific Kafka consumer lag offset").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Consequences</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Positive:</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Eliminates midnight wake-up pages for non-critical, self-healing events.</w:t>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Protects engineering squads from alert fatigue by applying a strict "Platform-Wide" blast radius filter to P1 conditions.</w:t>
      </w:r>
    </w:p>
    <w:p w:rsidR="00000000" w:rsidDel="00000000" w:rsidP="00000000" w:rsidRDefault="00000000" w:rsidRPr="00000000" w14:paraId="0000005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Reduces the time spent diagnosing root causes because Dynatrace Davis AI maps infrastructure problems directly to the corresponding SLO breach.</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Negative / Mitigations:</w:t>
      </w:r>
    </w:p>
    <w:p w:rsidR="00000000" w:rsidDel="00000000" w:rsidP="00000000" w:rsidRDefault="00000000" w:rsidRPr="00000000" w14:paraId="0000005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Configuration Overhead:</w:t>
      </w:r>
      <w:r w:rsidDel="00000000" w:rsidR="00000000" w:rsidRPr="00000000">
        <w:rPr>
          <w:rFonts w:ascii="Google Sans" w:cs="Google Sans" w:eastAsia="Google Sans" w:hAnsi="Google Sans"/>
          <w:color w:val="1f1f1f"/>
          <w:rtl w:val="0"/>
        </w:rPr>
        <w:t xml:space="preserve"> Requires developers to explicitly think through and define SLOs during the initial API design phase rather than treating monitoring as a post-production afterthought.</w:t>
      </w:r>
    </w:p>
    <w:p w:rsidR="00000000" w:rsidDel="00000000" w:rsidP="00000000" w:rsidRDefault="00000000" w:rsidRPr="00000000" w14:paraId="0000005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Provide teams with standard "out-of-the-box" Dynatrace SLO templates for typical Spring Boot microservices (e.g., standard Golden Signals templates for Latency, Traffic, Errors, and Saturation).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Related Decisions and References</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ADR-077:</w:t>
      </w:r>
      <w:r w:rsidDel="00000000" w:rsidR="00000000" w:rsidRPr="00000000">
        <w:rPr>
          <w:rFonts w:ascii="Google Sans" w:cs="Google Sans" w:eastAsia="Google Sans" w:hAnsi="Google Sans"/>
          <w:color w:val="1f1f1f"/>
          <w:rtl w:val="0"/>
        </w:rPr>
        <w:t xml:space="preserve"> Adoption of Flowable for Mosaic Workflow Orchestration (Workflow timeouts will be measured against specific async processing SLOs).</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ADR-079:</w:t>
      </w:r>
      <w:r w:rsidDel="00000000" w:rsidR="00000000" w:rsidRPr="00000000">
        <w:rPr>
          <w:rFonts w:ascii="Google Sans" w:cs="Google Sans" w:eastAsia="Google Sans" w:hAnsi="Google Sans"/>
          <w:color w:val="1f1f1f"/>
          <w:rtl w:val="0"/>
        </w:rPr>
        <w:t xml:space="preserve"> Unified Exception Handling and Observability (The structured flat JSON logs provide the exact data points for Splunk Alert Queries).</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ADR-080:</w:t>
      </w:r>
      <w:r w:rsidDel="00000000" w:rsidR="00000000" w:rsidRPr="00000000">
        <w:rPr>
          <w:rFonts w:ascii="Google Sans" w:cs="Google Sans" w:eastAsia="Google Sans" w:hAnsi="Google Sans"/>
          <w:color w:val="1f1f1f"/>
          <w:rtl w:val="0"/>
        </w:rPr>
        <w:t xml:space="preserve"> Domain Event Handling and Comprehensive Audit Logging (The ActivityHub consumer processing delays will utilize lag-based SLIs).</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Google SRE Handbook: Chapter 6 (Monitoring Distributed Systems) and Chapter 4 (Service Level Objectives).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Compliance Mapping</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FFIEC IT Examination Guidelines:</w:t>
      </w:r>
      <w:r w:rsidDel="00000000" w:rsidR="00000000" w:rsidRPr="00000000">
        <w:rPr>
          <w:rFonts w:ascii="Google Sans" w:cs="Google Sans" w:eastAsia="Google Sans" w:hAnsi="Google Sans"/>
          <w:color w:val="1f1f1f"/>
          <w:rtl w:val="0"/>
        </w:rPr>
        <w:t xml:space="preserve"> Directly supports the Operations Booklet mandates regarding continuous availability monitoring, incident classification matrices, and structured problem resolution workflows.</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SLA Auditing:</w:t>
      </w:r>
      <w:r w:rsidDel="00000000" w:rsidR="00000000" w:rsidRPr="00000000">
        <w:rPr>
          <w:rFonts w:ascii="Google Sans" w:cs="Google Sans" w:eastAsia="Google Sans" w:hAnsi="Google Sans"/>
          <w:color w:val="1f1f1f"/>
          <w:rtl w:val="0"/>
        </w:rPr>
        <w:t xml:space="preserve"> Provides the deterministic historical data required by compliance officers to verify system uptime and regulatory response-time standards.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