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 005: Multi-Tenancy Data Isolation Standard for Digital Extensions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PROPOSED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2026-02-11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Digital Extensions Team - Architecture Standards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 and Problem Statement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Digital Extensions team is tasked with building reusable microservices that support multiple banking brands (Tenants), specifically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Bank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General Bank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These services—such as the upcoming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Deposit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implementation—handle sensitive financial data that requires strict auditability, security, and isolation.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Currently, our infrastructure relies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SQL Server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with a strategic roadmap to migrate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PostgreSQL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Enterprise Architecture (EA) team generally recommends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Isolation (Database-per-Tenant)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maximum security. However, strictly enforcing physical isolation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new digital extension creates: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Excessive Operational Overhead: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Provisioning and maintaining separate database clusters for every microservice × every brand.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Resource Waste: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Many extensions (e.g., Preference Management) may have low data volume that does not justify dedicated hardware.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Migration Friction: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Rigidity in the data layer complicates the upcoming migration to PostgreSQL.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Decision Required: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What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 default strategy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data isolation across all Digital Extension microservices to balance security compliance with development velocity and operational efficiency?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Decision Options Considered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 1: Shared Schema (Discriminator Column)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tenants share tables; data is separated by a brand_id column.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Lowest cost; easiest cross-brand reporting.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REJECTED.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risk of data leakage (developer error); difficult to enforce strict audit boundaries; complex to migrate to physical isolation later.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 2: Logical Isolation (Schema-per-Tenant) [RECOMMENDED STANDARD]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tenant gets a dedicated database schema (e.g., direct_bank, general_bank) within a shared database instance.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Strong logical boundaries; native support in Spring Boot &amp; PostgreSQL; enables per-tenant backup/restore; low operational overhead.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 3: Physical Isolation (Database-per-Tenant)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tenant gets a dedicated physical database instance.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Maximum security; zero "noisy neighbor" risk.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infrastructure cost and lead time.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Reserved for high-volume/high-risk exceptions.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Decision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will adopt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 2: Logical Isolation (Schema-per-Tenant)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default standard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all Digital Extension microservices.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Deposit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will be the pilot implementation of this standard.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approach functions as a "Deferred Sharding" strategy. It provides immediate compliance and isolation while ensuring our architecture is "Physical-Ready"—meaning any service can be promoted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Isolation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(Option 3) in the future without code changes, should EA mandates or volume require it.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Strategic Justification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"Write Once, Run Anywhere":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standardizing on logical schemas, our Spring Boot microservices remain agnostic to the underlying infrastructure. The application code does not change if we move a tenant to a dedicated server.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PostgreSQL Alignment: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standard prepares us for the specific strengths of PostgreSQL (specifically the search_path feature), ensuring a seamless migration from SQL Server.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satisfy audit requirements by maintaining separate transaction logs and access controls per schema, mirroring the benefits of physical separation without the cost.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Technical Implementation Standard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 Digital Extensions must adhere to the following technical constraints to ensure this standard works: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Application Layer (Spring Boot)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services must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Hibernate Multi-Tenancy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configured with MultiTenancyStrategy.SCHEMA.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Tenant 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Tenant identification (e.g., X-Brand-ID) must be handled via a standardized HTTP Interceptor and stored in a ThreadLocal context, never passed as method arguments.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Connection Provider: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Services must use a MultiTenantConnectionProvider capable of adapting to the underlying database dialect (switching Users for SQL Server vs. switching search_path for Postgres).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The "Physical-Ready" Constraint (Crucial)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ensure we can adopt the EA team's recommendation of Physical Isolation in the future, the following rule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MANDATORY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 Cross-Schema Dependencies: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database object (Table, View, Stored Proc) in a tenant schema (e.g., general_bank) may reference an object in another tenant schema or a common schema via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Foreign Key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4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Reasoning: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Foreign Keys break across physical boundaries. If we ever move general_bank to a separate server, a Foreign Key dependency would crash the application.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4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Shared data (e.g., Routing Numbers) must be replicated or handled via application-level validation ("Soft Keys").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Migration &amp; Roadmap Alignment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 State (SQL Server):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will achieve Schema Isolation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User-Based Separation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user_direct defaults to direct_bank schema).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Future State (PostgreSQL):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will migrate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Session-Based Separation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SET search_path.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 for Physical Isolation: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specific Digital Extension may be escalated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 3 (Physical Isolation)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if: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 volume exceeds [X] TB.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Specific regulatory compliance requires dedicated hardware.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"Noisy Neighbor" issues impact the performance of other tenants.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Consequences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Positive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Consistency: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Developers use a single, well-understood pattern for data access across all extensions.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New tenants (e.g., a potential future brand) can be onboarded by simply running a Flyway migration script to create a new schema, without provisioning new infrastructure.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Eliminates the risk of developers forgetting WHERE brand_id = ? clauses.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Negative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Tooling Complexity: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DevOps pipelines (CI/CD) must be updated to apply database migrations (Flyway/Liquibase)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tenant schemas iteratively.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Strict Discipline: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"Zero Cross-Schema Dependencies" rule requires rigorous code reviews to prevent tight coupling between tenants.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Approval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Proposed by: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[Your Name], Data Architect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2026-02-11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Reviewers: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Enterprise Architecture (EA)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Digital Extensions Tech Leads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Database Administration (DBA)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Security &amp; Compliance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94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