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Context Passing Mechanism from Salesforce to Mosaic (via Okta SSO)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[Insert Date]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Proposed (Under Review)</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Context and Problem Statement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PCS Banker initiates the "Launch Onboarding" action from a Salesforce Opportunity, they are redirected to the Mosaic application. Mosaic requires the transactional context (e.g., OpportunityID, ProspectID) to load the correct customer profile and pre-fill KYC data.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Banker must seamlessly authenticate via Okta (OIDC protocol) during this transition, the chosen mechanism must securely transport these IDs across the identity provider boundary without data loss, session drops, or security vulnerabilities. We need to determine the standard integration pattern between the Salesforce frontend and the Mosaic backend.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Options Considered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1: URL Parameters + OIDC state Parameter (Deep Linking)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Salesforce generates a standard HTTP GET redirect (e.g., a custom link or button) that appends the required IDs as URL query parameters. Upon receiving the request, Mosaic intercepts the unauthenticated user, encodes the exact URL path and query parameters into the standard OIDC state parameter, and redirects to Okta. Upon successful authentication, Okta returns the user and the unaltered state parameter to Mosaic, which decodes it and routes the user to the correct record.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Adheres strictly to OAuth 2.0 / OIDC standard specifications.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Stateless architecture; requires no backend caching infrastructure.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Lightest implementation effort for the Salesforce team (standard URL button or simple LWC).</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Salesforce internal record IDs are temporarily visible in the browser's address bar and HTTP history.</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Requires strict downstream authorization checks (Mosaic must still verify the authenticated user has permission to view the Opportunity ID in the URL).</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2: Backend Handoff Token (Secure Cache)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Before initiating the browser redirect, Salesforce executes a synchronous server-to-server API call to Mosaic, passing the OpportunityID in a secure JSON payload. Mosaic stores this data in a short-lived cache (e.g., Redis, TTL: 60 seconds) and returns a cryptographically secure, one-time-use UUID (the "Handoff Token"). Salesforce then redirects the Banker's browser to Mosaic using only this token in the URL. Post-SSO, Mosaic redeems the token from its cache to retrieve the actual IDs.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Pros:</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Maximum security; sensitive IDs or payload data never traverse the browser or network boundary.</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Prevents users from bookmarking or sharing "stale" URLs containing transactional state.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Higher architectural complexity.</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Requires Mosaic to maintain stateful cache infrastructure (e.g., Redis).</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Requires Salesforce to manage synchronous API callouts before UI redirection, potentially introducing latency.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3: Client-Side HTTP POST with Pre-Auth Cookie Stash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Salesforce uses a custom Lightning Web Component (LWC) to execute a hidden HTML form submission via HTTP POST, placing the IDs in the request body rather than the URL. Because the subsequent HTTP 302 redirect to Okta will "drop" the POST payload, the Mosaic entry gateway must immediately intercept the POST, write the payload to a secure browser cookie or Local Storage, and then redirect to Okta. Upon return, Mosaic reads the cookie to resume the flow.</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Pros:</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Keeps IDs out of the URL without requiring a backend cache layer.</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w:t>
      </w:r>
    </w:p>
    <w:p w:rsidR="00000000" w:rsidDel="00000000" w:rsidP="00000000" w:rsidRDefault="00000000" w:rsidRPr="00000000" w14:paraId="0000001F">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Highly fragile. It fights standard web navigation patterns.</w:t>
      </w:r>
    </w:p>
    <w:p w:rsidR="00000000" w:rsidDel="00000000" w:rsidP="00000000" w:rsidRDefault="00000000" w:rsidRPr="00000000" w14:paraId="00000020">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High risk of failure due to enterprise browser security policies blocking third-party or transient cookies during cross-domain SSO redirects (ITP/Tracking Protection).</w:t>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Requires custom LWC development on the Salesforce side.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Decision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[Decision Deferred]</w:t>
      </w:r>
      <w:r w:rsidDel="00000000" w:rsidR="00000000" w:rsidRPr="00000000">
        <w:rPr>
          <w:rFonts w:ascii="Google Sans" w:cs="Google Sans" w:eastAsia="Google Sans" w:hAnsi="Google Sans"/>
          <w:color w:val="1f1f1f"/>
          <w:rtl w:val="0"/>
        </w:rPr>
        <w:t xml:space="preserve"> - Pending technical review with the Salesforce Integration Team on [Date].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Discussion Points for Salesforce Team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reach a final decision, we request the Salesforce team's input on the following:</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Security Posture:</w:t>
      </w:r>
      <w:r w:rsidDel="00000000" w:rsidR="00000000" w:rsidRPr="00000000">
        <w:rPr>
          <w:rFonts w:ascii="Google Sans" w:cs="Google Sans" w:eastAsia="Google Sans" w:hAnsi="Google Sans"/>
          <w:color w:val="1f1f1f"/>
          <w:rtl w:val="0"/>
        </w:rPr>
        <w:t xml:space="preserve"> Does InfoSec policy prohibit opaque IDs (like an 18-character Salesforce OpportunityID) from appearing in URL query strings? (If yes, Option 1 is eliminated).</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API Callout Limits:</w:t>
      </w:r>
      <w:r w:rsidDel="00000000" w:rsidR="00000000" w:rsidRPr="00000000">
        <w:rPr>
          <w:rFonts w:ascii="Google Sans" w:cs="Google Sans" w:eastAsia="Google Sans" w:hAnsi="Google Sans"/>
          <w:color w:val="1f1f1f"/>
          <w:rtl w:val="0"/>
        </w:rPr>
        <w:t xml:space="preserve"> If Option 2 is selected, are there any concerns regarding Apex callout limits or UI latency when generating the token prior to redirecting the Banker?</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Component Architecture:</w:t>
      </w:r>
      <w:r w:rsidDel="00000000" w:rsidR="00000000" w:rsidRPr="00000000">
        <w:rPr>
          <w:rFonts w:ascii="Google Sans" w:cs="Google Sans" w:eastAsia="Google Sans" w:hAnsi="Google Sans"/>
          <w:color w:val="1f1f1f"/>
          <w:rtl w:val="0"/>
        </w:rPr>
        <w:t xml:space="preserve"> Is the "Launch" action planned as a standard URL Custom Button, a Screen Flow, or an LWC? (This impacts the feasibility of Options 2 and 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