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ADR-044: Workflow Engine Standardization (Flowable)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Status: Proposed / Accepted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Date: 2026-01-02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Context: Retention &amp; Assisted Servicing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Tags: #backend #workflow #java #springboot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Problem Description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are introducing complex, multi-step servicing flows (specifically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Retention Offers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that extend beyond simple request/response cycles. These flows have distinct requirements that our current stateless microservice architecture cannot handle efficiently: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Long-running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Offers may remain "pending" for days waiting for customer acceptance or manager approval.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Audit/Compliance: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assisted channels, we must log every state transition (who offered what, when, and the outcome) for compliance.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Flow Logic Complexity: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Hard-coding "if/else" logic for retention eligibility inside Java services makes the code difficult to maintain and visualize.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need a standardized engine to orchestrate these states without reinventing persistence layers or polling mechanisms for every new feature.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Decision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will integrate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Flowable (v6.x)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the standard workflow engine for the Assisted Channels and Retention domains.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Deployment Model: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Embedded Spring Boot dependency (sharing the host service's lifecycle).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Persistence: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Relational DB (PostgreSQL/Oracle) utilizing existing datasources.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Options Analysis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evaluated the following options against our requirements for Spring Boot compatibility, licensing, and overhead.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Option A: Custom (Status Quo)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Option B: Flowable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Option C: Camunda 7/8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Option D: jBPM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State Mgmt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Manual (DB Tables + Cron)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Native (BPMN/CMMN)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Native (BPMN/DMN)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Native (BPMN/Drools)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Spring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 (Starters available)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Medium (KIE Server focus)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Licensing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Apache 2.0 (Open Source)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7: Apache / 8: Proprietary components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Apache 2.0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 (Maintenance burden)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Low/Medium (Embedded)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Medium (7) / High (8 requires Zeebe broker)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 (Heavy ecosystem)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UI/Visuals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Flowable IDM/Admin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Camunda Modeler (Best in class)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Business Central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Justification for Flowable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selected Flowable primarily for its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lightweight architecture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CMMN capabilities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Assisted Channel Alignment (CMMN vs. BPMN):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While Retention offers are structured (BPMN), general servicing in Assisted Channels is often non-linear. Flowable has strong support for CMMN (Case Management), allowing bankers to trigger ad-hoc tasks without being forced into a rigid path.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Technical Stack Fit: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Flowable originated as a fork of Activiti and allows for an "Embedded Engine" pattern. We can include it as a Maven/Gradle dependency. It creates its own tables in our existing schema, meaning no new infrastructure (servers/clusters) is required to start.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Licensing: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core engine is Apache 2.0 licensed, allowing us to deploy freely to production without immediate commercial vendor lock-in, while maintaining an upgrade path to enterprise support if scaling requirements change.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Implementation Guidelines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 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put complex business logic in the BPMN XML. Use JavaDelegates to call out to our Spring Beans. The workflow should only orchestrate the flow, not execute the calculation.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Versioning: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process definitions must be versioned in Git alongside the source code.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Operational dashboards will be exposed via the internal admin portal for support teams to view "stuck" retention flows.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