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 Strategic Approach to Web Component Integration</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The Vision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empower the bank with the agility to innovate and deploy new digital features rapidly and securely across all customer-facing platforms, while ensuring brand consistency and reducing dependency on third-party development cycles.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The Approach in a Nutshell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will build key banking features (like Wire Transfers) as self-contained, reusable </w:t>
      </w:r>
      <w:r w:rsidDel="00000000" w:rsidR="00000000" w:rsidRPr="00000000">
        <w:rPr>
          <w:rFonts w:ascii="Google Sans Text" w:cs="Google Sans Text" w:eastAsia="Google Sans Text" w:hAnsi="Google Sans Text"/>
          <w:b w:val="1"/>
          <w:color w:val="1b1c1d"/>
          <w:rtl w:val="0"/>
        </w:rPr>
        <w:t xml:space="preserve">"feature modules"</w:t>
      </w:r>
      <w:r w:rsidDel="00000000" w:rsidR="00000000" w:rsidRPr="00000000">
        <w:rPr>
          <w:rFonts w:ascii="Google Sans Text" w:cs="Google Sans Text" w:eastAsia="Google Sans Text" w:hAnsi="Google Sans Text"/>
          <w:color w:val="1b1c1d"/>
          <w:rtl w:val="0"/>
        </w:rPr>
        <w:t xml:space="preserve"> (web components). These modules can then be seamlessly "plugged into" our vendor's online and mobile banking applications, giving us direct control over functionality and user experience. This strategy allows us to deliver tailored brand experiences for our multiple tenants (Digital Bank, General Bank) from a single, centrally managed deployment, backed by a robust, secure, and adaptable API layer.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Core Pillars of the Strategy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1. Agility &amp;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 gain direct control to develop and deploy features on our own timeline. A central "manifest" file allows us to roll out updates instantly, bypassing lengthy vendor release schedules.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 Brand Versatility (Multi-Tenancy)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Deliver a tailored experience for both "Digital Bank" and "General Bank" customers. Each component is brand-aware, automatically adapting its appearance and functionality to match the specific tenant's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3. Seamless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Our feature modules will look and feel like a native part of the vendor's application. By using modern web standards (Custom Elements), our components integrate smoothly, ensuring a consistent and high-quality user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4. Fort Knox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Communication is end-to-end secure, ensuring the highest level of data protection. We use a two-layer protocol where every request is digitally signed for authenticity (JWS) and then fully encrypted for confidentiality (JWE).</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How it Works: </w:t>
      </w:r>
      <w:r w:rsidDel="00000000" w:rsidR="00000000" w:rsidRPr="00000000">
        <w:rPr>
          <w:rFonts w:ascii="Google Sans Text" w:cs="Google Sans Text" w:eastAsia="Google Sans Text" w:hAnsi="Google Sans Text"/>
          <w:b w:val="1"/>
          <w:color w:val="1b1c1d"/>
          <w:sz w:val="24"/>
          <w:szCs w:val="24"/>
        </w:rPr>
        <w:drawing>
          <wp:inline distB="114300" distT="114300" distL="114300" distR="114300">
            <wp:extent cx="5943600" cy="508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model illustrates how a single Banking Extension provides diverse experiences while simplifying backend complexity:</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Online Banking Apps :</w:t>
      </w:r>
      <w:r w:rsidDel="00000000" w:rsidR="00000000" w:rsidRPr="00000000">
        <w:rPr>
          <w:rFonts w:ascii="Google Sans Text" w:cs="Google Sans Text" w:eastAsia="Google Sans Text" w:hAnsi="Google Sans Text"/>
          <w:color w:val="1b1c1d"/>
          <w:rtl w:val="0"/>
        </w:rPr>
        <w:t xml:space="preserve"> The Online Banking / Mobile Banking application(OLB App) for each tenant (e.g., Digital Bank, General Bank) acts like a unique power outlet, representing distinct customer environments and brands.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Banking Extension (The Universal Adapter):</w:t>
      </w:r>
      <w:r w:rsidDel="00000000" w:rsidR="00000000" w:rsidRPr="00000000">
        <w:rPr>
          <w:rFonts w:ascii="Google Sans Text" w:cs="Google Sans Text" w:eastAsia="Google Sans Text" w:hAnsi="Google Sans Text"/>
          <w:color w:val="1b1c1d"/>
          <w:rtl w:val="0"/>
        </w:rPr>
        <w:t xml:space="preserve"> A single web component deployment functions as a "universal adapter." It plugs into OLB Apps for each tenant, visually transforming its "face" to perfectly match the tenant's branding and requirements. This means one codebase delivers a tailored experience.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Backend API / BFF (The Universal Translator):</w:t>
      </w:r>
      <w:r w:rsidDel="00000000" w:rsidR="00000000" w:rsidRPr="00000000">
        <w:rPr>
          <w:rFonts w:ascii="Google Sans Text" w:cs="Google Sans Text" w:eastAsia="Google Sans Text" w:hAnsi="Google Sans Text"/>
          <w:color w:val="1b1c1d"/>
          <w:rtl w:val="0"/>
        </w:rPr>
        <w:t xml:space="preserve"> The Banking Extension communicates via a </w:t>
      </w:r>
      <w:r w:rsidDel="00000000" w:rsidR="00000000" w:rsidRPr="00000000">
        <w:rPr>
          <w:rFonts w:ascii="Google Sans Text" w:cs="Google Sans Text" w:eastAsia="Google Sans Text" w:hAnsi="Google Sans Text"/>
          <w:b w:val="1"/>
          <w:color w:val="1b1c1d"/>
          <w:rtl w:val="0"/>
        </w:rPr>
        <w:t xml:space="preserve">"Common API Contract"</w:t>
      </w:r>
      <w:r w:rsidDel="00000000" w:rsidR="00000000" w:rsidRPr="00000000">
        <w:rPr>
          <w:rFonts w:ascii="Google Sans Text" w:cs="Google Sans Text" w:eastAsia="Google Sans Text" w:hAnsi="Google Sans Text"/>
          <w:color w:val="1b1c1d"/>
          <w:rtl w:val="0"/>
        </w:rPr>
        <w:t xml:space="preserve"> with its dedicated Backend-for-Frontend (BFF). This BFF acts as a "universal translator." It takes the common request and intelligently translates it into the specific, often complex, API calls required by the various underlying </w:t>
      </w:r>
      <w:r w:rsidDel="00000000" w:rsidR="00000000" w:rsidRPr="00000000">
        <w:rPr>
          <w:rFonts w:ascii="Google Sans Text" w:cs="Google Sans Text" w:eastAsia="Google Sans Text" w:hAnsi="Google Sans Text"/>
          <w:b w:val="1"/>
          <w:color w:val="1b1c1d"/>
          <w:rtl w:val="0"/>
        </w:rPr>
        <w:t xml:space="preserve">Core Vendor Systems</w:t>
      </w:r>
      <w:r w:rsidDel="00000000" w:rsidR="00000000" w:rsidRPr="00000000">
        <w:rPr>
          <w:rFonts w:ascii="Google Sans Text" w:cs="Google Sans Text" w:eastAsia="Google Sans Text" w:hAnsi="Google Sans Text"/>
          <w:color w:val="1b1c1d"/>
          <w:rtl w:val="0"/>
        </w:rPr>
        <w:t xml:space="preserve"> that each tenant uses, abstracting away backend differences from the front-end component.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Key Business Outcomes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Faster Time-to-Market:</w:t>
      </w:r>
      <w:r w:rsidDel="00000000" w:rsidR="00000000" w:rsidRPr="00000000">
        <w:rPr>
          <w:rFonts w:ascii="Google Sans Text" w:cs="Google Sans Text" w:eastAsia="Google Sans Text" w:hAnsi="Google Sans Text"/>
          <w:color w:val="1b1c1d"/>
          <w:rtl w:val="0"/>
        </w:rPr>
        <w:t xml:space="preserve"> Launch new features and product updates in weeks, not months.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Reduced Vendor Dependency:</w:t>
      </w:r>
      <w:r w:rsidDel="00000000" w:rsidR="00000000" w:rsidRPr="00000000">
        <w:rPr>
          <w:rFonts w:ascii="Google Sans Text" w:cs="Google Sans Text" w:eastAsia="Google Sans Text" w:hAnsi="Google Sans Text"/>
          <w:color w:val="1b1c1d"/>
          <w:rtl w:val="0"/>
        </w:rPr>
        <w:t xml:space="preserve"> Lower development costs and gain greater control over development and release cycles.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Enhanced Customer Experience:</w:t>
      </w:r>
      <w:r w:rsidDel="00000000" w:rsidR="00000000" w:rsidRPr="00000000">
        <w:rPr>
          <w:rFonts w:ascii="Google Sans Text" w:cs="Google Sans Text" w:eastAsia="Google Sans Text" w:hAnsi="Google Sans Text"/>
          <w:color w:val="1b1c1d"/>
          <w:rtl w:val="0"/>
        </w:rPr>
        <w:t xml:space="preserve"> Deliver highly tailored, consistent, and on-brand experiences for each tenant, driving customer satisfaction and loyalty.</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Future-Proof Architecture:</w:t>
      </w:r>
      <w:r w:rsidDel="00000000" w:rsidR="00000000" w:rsidRPr="00000000">
        <w:rPr>
          <w:rFonts w:ascii="Google Sans Text" w:cs="Google Sans Text" w:eastAsia="Google Sans Text" w:hAnsi="Google Sans Text"/>
          <w:color w:val="1b1c1d"/>
          <w:rtl w:val="0"/>
        </w:rPr>
        <w:t xml:space="preserve"> A flexible, modern approach that enables easier adoption of new technologies and scalability.</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Uncompromised Security &amp; Trust:</w:t>
      </w:r>
      <w:r w:rsidDel="00000000" w:rsidR="00000000" w:rsidRPr="00000000">
        <w:rPr>
          <w:rFonts w:ascii="Google Sans Text" w:cs="Google Sans Text" w:eastAsia="Google Sans Text" w:hAnsi="Google Sans Text"/>
          <w:color w:val="1b1c1d"/>
          <w:rtl w:val="0"/>
        </w:rPr>
        <w:t xml:space="preserve"> Implement a best-in-class security model for all digital transactions, strengthening customer confidence.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