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 Status and Next Steps</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Proposed</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Next Steps:</w:t>
      </w:r>
      <w:r w:rsidDel="00000000" w:rsidR="00000000" w:rsidRPr="00000000">
        <w:rPr>
          <w:rFonts w:ascii="Google Sans" w:cs="Google Sans" w:eastAsia="Google Sans" w:hAnsi="Google Sans"/>
          <w:color w:val="1f1f1f"/>
          <w:rtl w:val="0"/>
        </w:rPr>
        <w:t xml:space="preserve"> * Review and approval by Enterprise Data Architecture and Security.</w:t>
      </w:r>
    </w:p>
    <w:p w:rsidR="00000000" w:rsidDel="00000000" w:rsidP="00000000" w:rsidRDefault="00000000" w:rsidRPr="00000000" w14:paraId="00000005">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Define the standard JSON schema for the domain event payloads (e.g., CloudEvents format).</w:t>
      </w:r>
    </w:p>
    <w:p w:rsidR="00000000" w:rsidDel="00000000" w:rsidP="00000000" w:rsidRDefault="00000000" w:rsidRPr="00000000" w14:paraId="00000006">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Provision the dual Kafka topics (mutations and inquiries) and the ActivityHub PostgreSQL microdatabase.</w:t>
      </w:r>
    </w:p>
    <w:p w:rsidR="00000000" w:rsidDel="00000000" w:rsidP="00000000" w:rsidRDefault="00000000" w:rsidRPr="00000000" w14:paraId="00000007">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Build the ActivityHub consumer microservice in Spring Boot.</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Context and Problem Statement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Mosaic Digital Servicing platform handles sensitive First Citizens Bank associate and customer data. To meet compliance, security, and operational reporting requirements, we must maintain an immutable, comprehensive audit trail of the entire user journey (from login to logout). This trail must capture both state-changing events (e.g., updating an address) and inquiries (e.g., searching for a customer, viewing an account). Because Mosaic is built on a Domain-Driven Design (DDD) with isolated micro-frontends (Nx workspace), microservices, and micro-databases, we need a decoupled strategy to aggregate these disparate activities into a centralized, queryable system of record without degrading the performance of the individual domains.</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Decision Drivers</w:t>
      </w:r>
    </w:p>
    <w:p w:rsidR="00000000" w:rsidDel="00000000" w:rsidP="00000000" w:rsidRDefault="00000000" w:rsidRPr="00000000" w14:paraId="0000000B">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Regulatory Compliance (Non-Repudiation):</w:t>
      </w:r>
      <w:r w:rsidDel="00000000" w:rsidR="00000000" w:rsidRPr="00000000">
        <w:rPr>
          <w:rFonts w:ascii="Google Sans" w:cs="Google Sans" w:eastAsia="Google Sans" w:hAnsi="Google Sans"/>
          <w:color w:val="1f1f1f"/>
          <w:rtl w:val="0"/>
        </w:rPr>
        <w:t xml:space="preserve"> Auditors require proof of exactly which bank associate viewed or modified a specific customer record at an exact timestamp.</w:t>
      </w:r>
    </w:p>
    <w:p w:rsidR="00000000" w:rsidDel="00000000" w:rsidP="00000000" w:rsidRDefault="00000000" w:rsidRPr="00000000" w14:paraId="0000000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Performance / UX:</w:t>
      </w:r>
      <w:r w:rsidDel="00000000" w:rsidR="00000000" w:rsidRPr="00000000">
        <w:rPr>
          <w:rFonts w:ascii="Google Sans" w:cs="Google Sans" w:eastAsia="Google Sans" w:hAnsi="Google Sans"/>
          <w:color w:val="1f1f1f"/>
          <w:rtl w:val="0"/>
        </w:rPr>
        <w:t xml:space="preserve"> Capturing high-volume "read" events synchronously would severely degrade API response times and the associate's UI experience. Logging must be asynchronous.</w:t>
      </w:r>
    </w:p>
    <w:p w:rsidR="00000000" w:rsidDel="00000000" w:rsidP="00000000" w:rsidRDefault="00000000" w:rsidRPr="00000000" w14:paraId="0000000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Domain Isolation:</w:t>
      </w:r>
      <w:r w:rsidDel="00000000" w:rsidR="00000000" w:rsidRPr="00000000">
        <w:rPr>
          <w:rFonts w:ascii="Google Sans" w:cs="Google Sans" w:eastAsia="Google Sans" w:hAnsi="Google Sans"/>
          <w:color w:val="1f1f1f"/>
          <w:rtl w:val="0"/>
        </w:rPr>
        <w:t xml:space="preserve"> Microservices and micro-frontends should not be tightly coupled to an audit database; they should only be responsible for broadcasting what happened within their domain.</w:t>
      </w:r>
    </w:p>
    <w:p w:rsidR="00000000" w:rsidDel="00000000" w:rsidP="00000000" w:rsidRDefault="00000000" w:rsidRPr="00000000" w14:paraId="0000000E">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Separation of Observability vs. Audit:</w:t>
      </w:r>
      <w:r w:rsidDel="00000000" w:rsidR="00000000" w:rsidRPr="00000000">
        <w:rPr>
          <w:rFonts w:ascii="Google Sans" w:cs="Google Sans" w:eastAsia="Google Sans" w:hAnsi="Google Sans"/>
          <w:color w:val="1f1f1f"/>
          <w:rtl w:val="0"/>
        </w:rPr>
        <w:t xml:space="preserve"> Splunk (ADR-079) handles ephemeral system telemetry and error logs. The ActivityHub represents a permanent, structured, business-level relational history.</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Considered Options</w:t>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Option 1: Synchronous API Calls to a Central Audit Service (Rejected)</w:t>
      </w:r>
    </w:p>
    <w:p w:rsidR="00000000" w:rsidDel="00000000" w:rsidP="00000000" w:rsidRDefault="00000000" w:rsidRPr="00000000" w14:paraId="00000011">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Description:</w:t>
      </w:r>
      <w:r w:rsidDel="00000000" w:rsidR="00000000" w:rsidRPr="00000000">
        <w:rPr>
          <w:rFonts w:ascii="Google Sans" w:cs="Google Sans" w:eastAsia="Google Sans" w:hAnsi="Google Sans"/>
          <w:color w:val="1f1f1f"/>
          <w:rtl w:val="0"/>
        </w:rPr>
        <w:t xml:space="preserve"> Every domain microservice makes an HTTP POST /audit call to the ActivityHub service before returning a response to the UI.</w:t>
      </w:r>
    </w:p>
    <w:p w:rsidR="00000000" w:rsidDel="00000000" w:rsidP="00000000" w:rsidRDefault="00000000" w:rsidRPr="00000000" w14:paraId="0000001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Pros:</w:t>
      </w:r>
      <w:r w:rsidDel="00000000" w:rsidR="00000000" w:rsidRPr="00000000">
        <w:rPr>
          <w:rFonts w:ascii="Google Sans" w:cs="Google Sans" w:eastAsia="Google Sans" w:hAnsi="Google Sans"/>
          <w:color w:val="1f1f1f"/>
          <w:rtl w:val="0"/>
        </w:rPr>
        <w:t xml:space="preserve"> Simple to implement; no Kafka infrastructure required.</w:t>
      </w:r>
    </w:p>
    <w:p w:rsidR="00000000" w:rsidDel="00000000" w:rsidP="00000000" w:rsidRDefault="00000000" w:rsidRPr="00000000" w14:paraId="00000013">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Cons:</w:t>
      </w:r>
      <w:r w:rsidDel="00000000" w:rsidR="00000000" w:rsidRPr="00000000">
        <w:rPr>
          <w:rFonts w:ascii="Google Sans" w:cs="Google Sans" w:eastAsia="Google Sans" w:hAnsi="Google Sans"/>
          <w:color w:val="1f1f1f"/>
          <w:rtl w:val="0"/>
        </w:rPr>
        <w:t xml:space="preserve"> Introduces severe network latency to every read/write request, degrading the associate's UI experience. Creates a single point of failure (tight coupling).</w:t>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Option 2: Single Monolithic Kafka Topic for All Events (Rejected)</w:t>
      </w:r>
    </w:p>
    <w:p w:rsidR="00000000" w:rsidDel="00000000" w:rsidP="00000000" w:rsidRDefault="00000000" w:rsidRPr="00000000" w14:paraId="00000015">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Description:</w:t>
      </w:r>
      <w:r w:rsidDel="00000000" w:rsidR="00000000" w:rsidRPr="00000000">
        <w:rPr>
          <w:rFonts w:ascii="Google Sans" w:cs="Google Sans" w:eastAsia="Google Sans" w:hAnsi="Google Sans"/>
          <w:color w:val="1f1f1f"/>
          <w:rtl w:val="0"/>
        </w:rPr>
        <w:t xml:space="preserve"> All domains publish both state-changing events (writes) and inquiries (reads) to a single Kafka topic (e.g., mosaic.audit.events).</w:t>
      </w:r>
    </w:p>
    <w:p w:rsidR="00000000" w:rsidDel="00000000" w:rsidP="00000000" w:rsidRDefault="00000000" w:rsidRPr="00000000" w14:paraId="0000001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Pros:</w:t>
      </w:r>
      <w:r w:rsidDel="00000000" w:rsidR="00000000" w:rsidRPr="00000000">
        <w:rPr>
          <w:rFonts w:ascii="Google Sans" w:cs="Google Sans" w:eastAsia="Google Sans" w:hAnsi="Google Sans"/>
          <w:color w:val="1f1f1f"/>
          <w:rtl w:val="0"/>
        </w:rPr>
        <w:t xml:space="preserve"> Simplifies the consumer configuration (only one topic to monitor).</w:t>
      </w:r>
    </w:p>
    <w:p w:rsidR="00000000" w:rsidDel="00000000" w:rsidP="00000000" w:rsidRDefault="00000000" w:rsidRPr="00000000" w14:paraId="00000017">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Cons:</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"Noisy Neighbor" Risk:</w:t>
      </w:r>
      <w:r w:rsidDel="00000000" w:rsidR="00000000" w:rsidRPr="00000000">
        <w:rPr>
          <w:rFonts w:ascii="Google Sans" w:cs="Google Sans" w:eastAsia="Google Sans" w:hAnsi="Google Sans"/>
          <w:color w:val="1f1f1f"/>
          <w:rtl w:val="0"/>
        </w:rPr>
        <w:t xml:space="preserve"> High-volume read events (page views, searches) can flood partitions, delaying the processing of critical compliance mutations.</w:t>
      </w:r>
    </w:p>
    <w:p w:rsidR="00000000" w:rsidDel="00000000" w:rsidP="00000000" w:rsidRDefault="00000000" w:rsidRPr="00000000" w14:paraId="00000018">
      <w:pPr>
        <w:numPr>
          <w:ilvl w:val="1"/>
          <w:numId w:val="8"/>
        </w:numPr>
        <w:pBdr>
          <w:top w:space="0" w:sz="0" w:val="nil"/>
          <w:left w:space="0" w:sz="0" w:val="nil"/>
          <w:bottom w:space="0" w:sz="0" w:val="nil"/>
          <w:right w:space="0" w:sz="0" w:val="nil"/>
          <w:between w:space="0" w:sz="0" w:val="nil"/>
        </w:pBdr>
        <w:shd w:fill="auto" w:val="clear"/>
        <w:spacing w:after="120" w:line="275.9999942779541" w:lineRule="auto"/>
        <w:ind w:left="975" w:hanging="360"/>
      </w:pPr>
      <w:r w:rsidDel="00000000" w:rsidR="00000000" w:rsidRPr="00000000">
        <w:rPr>
          <w:rFonts w:ascii="Google Sans" w:cs="Google Sans" w:eastAsia="Google Sans" w:hAnsi="Google Sans"/>
          <w:b w:val="1"/>
          <w:bCs w:val="1"/>
          <w:color w:val="1f1f1f"/>
          <w:rtl w:val="0"/>
        </w:rPr>
        <w:t xml:space="preserve">Retention Costs:</w:t>
      </w:r>
      <w:r w:rsidDel="00000000" w:rsidR="00000000" w:rsidRPr="00000000">
        <w:rPr>
          <w:rFonts w:ascii="Google Sans" w:cs="Google Sans" w:eastAsia="Google Sans" w:hAnsi="Google Sans"/>
          <w:color w:val="1f1f1f"/>
          <w:rtl w:val="0"/>
        </w:rPr>
        <w:t xml:space="preserve"> Kafka retention policies apply at the topic level. Storing massive volumes of inquiry data for the same duration as high-priority mutation data inflates storage costs unnecessarily.</w:t>
      </w:r>
    </w:p>
    <w:p w:rsidR="00000000" w:rsidDel="00000000" w:rsidP="00000000" w:rsidRDefault="00000000" w:rsidRPr="00000000" w14:paraId="00000019">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Option 3: Event-Driven Audit via Dual Kafka Topics (Mutations vs. Inquiries) (Selected)</w:t>
      </w:r>
    </w:p>
    <w:p w:rsidR="00000000" w:rsidDel="00000000" w:rsidP="00000000" w:rsidRDefault="00000000" w:rsidRPr="00000000" w14:paraId="0000001A">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Description:</w:t>
      </w:r>
      <w:r w:rsidDel="00000000" w:rsidR="00000000" w:rsidRPr="00000000">
        <w:rPr>
          <w:rFonts w:ascii="Google Sans" w:cs="Google Sans" w:eastAsia="Google Sans" w:hAnsi="Google Sans"/>
          <w:color w:val="1f1f1f"/>
          <w:rtl w:val="0"/>
        </w:rPr>
        <w:t xml:space="preserve"> Domains publish asynchronous events to two distinct topics: mosaic.audit.mutations (writes) and mosaic.audit.inquiries (reads). The ActivityHub microservice consumes from both and persists to an ActivityLog microdatabase.</w:t>
      </w:r>
    </w:p>
    <w:p w:rsidR="00000000" w:rsidDel="00000000" w:rsidP="00000000" w:rsidRDefault="00000000" w:rsidRPr="00000000" w14:paraId="0000001B">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Pros:</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Zero UI Latency:</w:t>
      </w:r>
      <w:r w:rsidDel="00000000" w:rsidR="00000000" w:rsidRPr="00000000">
        <w:rPr>
          <w:rFonts w:ascii="Google Sans" w:cs="Google Sans" w:eastAsia="Google Sans" w:hAnsi="Google Sans"/>
          <w:color w:val="1f1f1f"/>
          <w:rtl w:val="0"/>
        </w:rPr>
        <w:t xml:space="preserve"> Publishing is fire-and-forget.</w:t>
      </w:r>
    </w:p>
    <w:p w:rsidR="00000000" w:rsidDel="00000000" w:rsidP="00000000" w:rsidRDefault="00000000" w:rsidRPr="00000000" w14:paraId="0000001C">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Cost/Performance Optimization:</w:t>
      </w:r>
      <w:r w:rsidDel="00000000" w:rsidR="00000000" w:rsidRPr="00000000">
        <w:rPr>
          <w:rFonts w:ascii="Google Sans" w:cs="Google Sans" w:eastAsia="Google Sans" w:hAnsi="Google Sans"/>
          <w:color w:val="1f1f1f"/>
          <w:rtl w:val="0"/>
        </w:rPr>
        <w:t xml:space="preserve"> Allows for aggressive, short-term retention policies on the high-volume inquiries topic, while keeping longer retention on the critical mutations topic.</w:t>
      </w:r>
    </w:p>
    <w:p w:rsidR="00000000" w:rsidDel="00000000" w:rsidP="00000000" w:rsidRDefault="00000000" w:rsidRPr="00000000" w14:paraId="0000001D">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Isolated Throughput:</w:t>
      </w:r>
      <w:r w:rsidDel="00000000" w:rsidR="00000000" w:rsidRPr="00000000">
        <w:rPr>
          <w:rFonts w:ascii="Google Sans" w:cs="Google Sans" w:eastAsia="Google Sans" w:hAnsi="Google Sans"/>
          <w:color w:val="1f1f1f"/>
          <w:rtl w:val="0"/>
        </w:rPr>
        <w:t xml:space="preserve"> High-volume searches will never block or delay the processing of critical state changes.</w:t>
      </w:r>
    </w:p>
    <w:p w:rsidR="00000000" w:rsidDel="00000000" w:rsidP="00000000" w:rsidRDefault="00000000" w:rsidRPr="00000000" w14:paraId="0000001E">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Cons:</w:t>
      </w:r>
      <w:r w:rsidDel="00000000" w:rsidR="00000000" w:rsidRPr="00000000">
        <w:rPr>
          <w:rFonts w:ascii="Google Sans" w:cs="Google Sans" w:eastAsia="Google Sans" w:hAnsi="Google Sans"/>
          <w:color w:val="1f1f1f"/>
          <w:rtl w:val="0"/>
        </w:rPr>
        <w:t xml:space="preserve"> Requires strict adherence to timestamp and ID generation standards (ULIDs) to reconstruct perfect chronological ordering across both topics at the database level.</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Decision Attributes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Category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Decision / 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Transport Layer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Kafka</w:t>
            </w:r>
            <w:r w:rsidDel="00000000" w:rsidR="00000000" w:rsidRPr="00000000">
              <w:rPr>
                <w:rFonts w:ascii="Google Sans" w:cs="Google Sans" w:eastAsia="Google Sans" w:hAnsi="Google Sans"/>
                <w:color w:val="1f1f1f"/>
                <w:rtl w:val="0"/>
              </w:rPr>
              <w:t xml:space="preserve"> (Fire-and-forget event publishing)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Consumer Service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ActivityHub Microservice</w:t>
            </w:r>
            <w:r w:rsidDel="00000000" w:rsidR="00000000" w:rsidRPr="00000000">
              <w:rPr>
                <w:rFonts w:ascii="Google Sans" w:cs="Google Sans" w:eastAsia="Google Sans" w:hAnsi="Google Sans"/>
                <w:color w:val="1f1f1f"/>
                <w:rtl w:val="0"/>
              </w:rPr>
              <w:t xml:space="preserve"> (Spring Boot)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Persistence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ActivityHub Microdatabase</w:t>
            </w:r>
            <w:r w:rsidDel="00000000" w:rsidR="00000000" w:rsidRPr="00000000">
              <w:rPr>
                <w:rFonts w:ascii="Google Sans" w:cs="Google Sans" w:eastAsia="Google Sans" w:hAnsi="Google Sans"/>
                <w:color w:val="1f1f1f"/>
                <w:rtl w:val="0"/>
              </w:rPr>
              <w:t xml:space="preserve"> (PostgreSQL)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Event Schema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Standardized Domain Event JSON (CloudEvents 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Inquiry/Read Tracking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Captured at the API Gateway / Microservice boundaries</w:t>
            </w:r>
          </w:p>
        </w:tc>
      </w:tr>
    </w:tbl>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Proposed Decisions</w:t>
      </w:r>
    </w:p>
    <w:p w:rsidR="00000000" w:rsidDel="00000000" w:rsidP="00000000" w:rsidRDefault="00000000" w:rsidRPr="00000000" w14:paraId="0000002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Dual-Topic Event Publishing</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throughput skew and optimize storage, Mosaic will utilize two distinct Kafka topics for audit logging:</w:t>
      </w:r>
    </w:p>
    <w:p w:rsidR="00000000" w:rsidDel="00000000" w:rsidP="00000000" w:rsidRDefault="00000000" w:rsidRPr="00000000" w14:paraId="0000002F">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mosaic.audit.mutations (High Value / Low Volume):</w:t>
      </w:r>
      <w:r w:rsidDel="00000000" w:rsidR="00000000" w:rsidRPr="00000000">
        <w:rPr>
          <w:rFonts w:ascii="Google Sans" w:cs="Google Sans" w:eastAsia="Google Sans" w:hAnsi="Google Sans"/>
          <w:color w:val="1f1f1f"/>
          <w:rtl w:val="0"/>
        </w:rPr>
        <w:t xml:space="preserve"> Used strictly for state-changing events (e.g., AddressUpdated, FundsTransferred, WorkflowApproved). This topic will have a longer Kafka retention policy (e.g., 7–14 days) for disaster recovery.</w:t>
      </w:r>
    </w:p>
    <w:p w:rsidR="00000000" w:rsidDel="00000000" w:rsidP="00000000" w:rsidRDefault="00000000" w:rsidRPr="00000000" w14:paraId="00000030">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mosaic.audit.inquiries (Low Value / High Volume):</w:t>
      </w:r>
      <w:r w:rsidDel="00000000" w:rsidR="00000000" w:rsidRPr="00000000">
        <w:rPr>
          <w:rFonts w:ascii="Google Sans" w:cs="Google Sans" w:eastAsia="Google Sans" w:hAnsi="Google Sans"/>
          <w:color w:val="1f1f1f"/>
          <w:rtl w:val="0"/>
        </w:rPr>
        <w:t xml:space="preserve"> Used for non-mutating associate activity (e.g., CustomerSearchExecuted, AccountDetailsViewed). This topic handles massive throughput and will have a short retention policy (e.g., 24 hours).</w:t>
      </w:r>
    </w:p>
    <w:p w:rsidR="00000000" w:rsidDel="00000000" w:rsidP="00000000" w:rsidRDefault="00000000" w:rsidRPr="00000000" w14:paraId="00000031">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The ActivityHub Consumer and Chronological Reconstruction</w:t>
      </w:r>
    </w:p>
    <w:p w:rsidR="00000000" w:rsidDel="00000000" w:rsidP="00000000" w:rsidRDefault="00000000" w:rsidRPr="00000000" w14:paraId="00000032">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Consumption:</w:t>
      </w:r>
      <w:r w:rsidDel="00000000" w:rsidR="00000000" w:rsidRPr="00000000">
        <w:rPr>
          <w:rFonts w:ascii="Google Sans" w:cs="Google Sans" w:eastAsia="Google Sans" w:hAnsi="Google Sans"/>
          <w:color w:val="1f1f1f"/>
          <w:rtl w:val="0"/>
        </w:rPr>
        <w:t xml:space="preserve"> The mosaic-activity-hub Spring Boot microservice will utilize distinct @KafkaListener configurations to consume from both topics simultaneously.</w:t>
      </w:r>
    </w:p>
    <w:p w:rsidR="00000000" w:rsidDel="00000000" w:rsidP="00000000" w:rsidRDefault="00000000" w:rsidRPr="00000000" w14:paraId="00000033">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Persistence:</w:t>
      </w:r>
      <w:r w:rsidDel="00000000" w:rsidR="00000000" w:rsidRPr="00000000">
        <w:rPr>
          <w:rFonts w:ascii="Google Sans" w:cs="Google Sans" w:eastAsia="Google Sans" w:hAnsi="Google Sans"/>
          <w:color w:val="1f1f1f"/>
          <w:rtl w:val="0"/>
        </w:rPr>
        <w:t xml:space="preserve"> Events are written into a single PostgreSQL ActivityLog microdatabase using JDBC batch inserts.</w:t>
      </w:r>
    </w:p>
    <w:p w:rsidR="00000000" w:rsidDel="00000000" w:rsidP="00000000" w:rsidRDefault="00000000" w:rsidRPr="00000000" w14:paraId="00000034">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Chronological Ordering:</w:t>
      </w:r>
      <w:r w:rsidDel="00000000" w:rsidR="00000000" w:rsidRPr="00000000">
        <w:rPr>
          <w:rFonts w:ascii="Google Sans" w:cs="Google Sans" w:eastAsia="Google Sans" w:hAnsi="Google Sans"/>
          <w:color w:val="1f1f1f"/>
          <w:rtl w:val="0"/>
        </w:rPr>
        <w:t xml:space="preserve"> Because Kafka does not guarantee global ordering across multiple topics, the ActivityHub database will reconstruct the exact activity timeline using the event's embedded timestamp (via ULID) when a compliance query is executed.</w:t>
      </w:r>
    </w:p>
    <w:p w:rsidR="00000000" w:rsidDel="00000000" w:rsidP="00000000" w:rsidRDefault="00000000" w:rsidRPr="00000000" w14:paraId="00000035">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Standardized Event Schema</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 events published to either topic must adhere to a strict CNCF CloudEvents envelope to ensure the ActivityHub consumer can parse payloads from any domain without needing continuous schema updates.</w:t>
      </w:r>
    </w:p>
    <w:p w:rsidR="00000000" w:rsidDel="00000000" w:rsidP="00000000" w:rsidRDefault="00000000" w:rsidRPr="00000000" w14:paraId="0000003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6.4 For Developers: Event Schema and ID Generation (ULID)</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guarantee perfect chronological reporting regardless of network latency or Kafka partition distribution, developers must adhere to the following schema and generation rules.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Universally Unique Lexicographically Sortable Identifiers (ULID)</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Developers must NOT use standard UUIDv4 for the eventId. All events must use a </w:t>
      </w:r>
      <w:r w:rsidDel="00000000" w:rsidR="00000000" w:rsidRPr="00000000">
        <w:rPr>
          <w:rFonts w:ascii="Google Sans" w:cs="Google Sans" w:eastAsia="Google Sans" w:hAnsi="Google Sans"/>
          <w:b w:val="1"/>
          <w:bCs w:val="1"/>
          <w:color w:val="1f1f1f"/>
          <w:rtl w:val="0"/>
        </w:rPr>
        <w:t xml:space="preserve">ULID</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ULIDs encode a millisecond-precision timestamp directly into the first 48 bits of the identifier.</w:t>
      </w:r>
    </w:p>
    <w:p w:rsidR="00000000" w:rsidDel="00000000" w:rsidP="00000000" w:rsidRDefault="00000000" w:rsidRPr="00000000" w14:paraId="0000003C">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This allows the PostgreSQL database to sort the timeline chronologically simply by querying the primary key index, ensuring lightning-fast compliance reports.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Origin Timestamp Enforcement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timestamp field must be generated at the absolute origin of the request (e.g., captured by the React UI or the API Gateway) rather than right before the Spring Boot service publishes to Kafka. This mitigates "clock drift" between different OpenShift pods.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JSON Schema Implementation: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JSON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"eventId"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"01HGW2G8X0ABCD1234EFGH5678"</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Must be a ULID</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"correlationId"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"a1b2c3d4-e5f6-7890-abcd-ef12"</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Ties to ADR-079 trace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"timestamp"</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"2026-04-20T12:05:30.125Z"</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Origin timestamp (UTC)</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"associateId"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"FCB_889123"</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Identity of the actor</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"domain"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"CustomerProfile"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The originating domain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"eventType"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"CustomerSearchExecuted"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Specific action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"eventCategory"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"INQUIRY"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"INQUIRY" or "MUTATION"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"payload"</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5f6368"/>
          <w:sz w:val="20"/>
          <w:szCs w:val="20"/>
          <w:shd w:fill="f0f4f9" w:val="clear"/>
          <w:rtl w:val="0"/>
        </w:rPr>
        <w:t xml:space="preserve">// Domain-specific data</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"searchCriteria"</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"lastName"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"Smith"</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"zipCode"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"28027"</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"resultsReturned"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14</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w:t>
        <w:br w:type="textWrapping"/>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Implementation Directives:</w:t>
      </w:r>
    </w:p>
    <w:p w:rsidR="00000000" w:rsidDel="00000000" w:rsidP="00000000" w:rsidRDefault="00000000" w:rsidRPr="00000000" w14:paraId="00000046">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Microservices must utilize a standard library (e.g., ulid-creator in Java) for ID generation.</w:t>
      </w:r>
    </w:p>
    <w:p w:rsidR="00000000" w:rsidDel="00000000" w:rsidP="00000000" w:rsidRDefault="00000000" w:rsidRPr="00000000" w14:paraId="00000047">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The ActivityHub consumer must utilize an upsert (ON CONFLICT DO NOTHING) strategy in PostgreSQL using the eventId to ensure idempotency if Kafka delivers the same message twice.</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Consequences</w:t>
      </w:r>
    </w:p>
    <w:p w:rsidR="00000000" w:rsidDel="00000000" w:rsidP="00000000" w:rsidRDefault="00000000" w:rsidRPr="00000000" w14:paraId="00000049">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Positive:</w:t>
      </w:r>
    </w:p>
    <w:p w:rsidR="00000000" w:rsidDel="00000000" w:rsidP="00000000" w:rsidRDefault="00000000" w:rsidRPr="00000000" w14:paraId="0000004A">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Complete, unalterable historical record of all associate actions without degrading system performance.</w:t>
      </w:r>
    </w:p>
    <w:p w:rsidR="00000000" w:rsidDel="00000000" w:rsidP="00000000" w:rsidRDefault="00000000" w:rsidRPr="00000000" w14:paraId="0000004B">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High resilience; if the database is down for maintenance, Kafka buffers the audit events safely.</w:t>
      </w:r>
    </w:p>
    <w:p w:rsidR="00000000" w:rsidDel="00000000" w:rsidP="00000000" w:rsidRDefault="00000000" w:rsidRPr="00000000" w14:paraId="0000004C">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Centralized queryability for compliance reporting.</w:t>
      </w:r>
    </w:p>
    <w:p w:rsidR="00000000" w:rsidDel="00000000" w:rsidP="00000000" w:rsidRDefault="00000000" w:rsidRPr="00000000" w14:paraId="0000004D">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Negative / Mitigations:</w:t>
      </w:r>
    </w:p>
    <w:p w:rsidR="00000000" w:rsidDel="00000000" w:rsidP="00000000" w:rsidRDefault="00000000" w:rsidRPr="00000000" w14:paraId="0000004E">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Storage Costs:</w:t>
      </w:r>
      <w:r w:rsidDel="00000000" w:rsidR="00000000" w:rsidRPr="00000000">
        <w:rPr>
          <w:rFonts w:ascii="Google Sans" w:cs="Google Sans" w:eastAsia="Google Sans" w:hAnsi="Google Sans"/>
          <w:color w:val="1f1f1f"/>
          <w:rtl w:val="0"/>
        </w:rPr>
        <w:t xml:space="preserve"> Storing every single search/read inquiry will result in a massive database footprint. We must implement an aggressive archival strategy (e.g., moving data older than 90 days to cold storage).</w:t>
      </w:r>
    </w:p>
    <w:p w:rsidR="00000000" w:rsidDel="00000000" w:rsidP="00000000" w:rsidRDefault="00000000" w:rsidRPr="00000000" w14:paraId="0000004F">
      <w:pPr>
        <w:numPr>
          <w:ilvl w:val="1"/>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PII/PCI Complexity:</w:t>
      </w:r>
      <w:r w:rsidDel="00000000" w:rsidR="00000000" w:rsidRPr="00000000">
        <w:rPr>
          <w:rFonts w:ascii="Google Sans" w:cs="Google Sans" w:eastAsia="Google Sans" w:hAnsi="Google Sans"/>
          <w:color w:val="1f1f1f"/>
          <w:rtl w:val="0"/>
        </w:rPr>
        <w:t xml:space="preserve"> Because the event payload may contain sensitive data, the ActivityHub database must implement strict Data at Rest encryption (ADR-00X).</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Related Decisions and References</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ADR-00X:</w:t>
      </w:r>
      <w:r w:rsidDel="00000000" w:rsidR="00000000" w:rsidRPr="00000000">
        <w:rPr>
          <w:rFonts w:ascii="Google Sans" w:cs="Google Sans" w:eastAsia="Google Sans" w:hAnsi="Google Sans"/>
          <w:color w:val="1f1f1f"/>
          <w:rtl w:val="0"/>
        </w:rPr>
        <w:t xml:space="preserve"> Cryptographic Standards for Data at Rest and In-Transit (The ActivityHub database must be encrypted as it will hold a culmination of sensitive domain data).</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ADR-077:</w:t>
      </w:r>
      <w:r w:rsidDel="00000000" w:rsidR="00000000" w:rsidRPr="00000000">
        <w:rPr>
          <w:rFonts w:ascii="Google Sans" w:cs="Google Sans" w:eastAsia="Google Sans" w:hAnsi="Google Sans"/>
          <w:color w:val="1f1f1f"/>
          <w:rtl w:val="0"/>
        </w:rPr>
        <w:t xml:space="preserve"> Adoption of Flowable for Mosaic Workflow Orchestration (Workflow lifecycle events will be published to this Kafka topic).</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ADR-078:</w:t>
      </w:r>
      <w:r w:rsidDel="00000000" w:rsidR="00000000" w:rsidRPr="00000000">
        <w:rPr>
          <w:rFonts w:ascii="Google Sans" w:cs="Google Sans" w:eastAsia="Google Sans" w:hAnsi="Google Sans"/>
          <w:color w:val="1f1f1f"/>
          <w:rtl w:val="0"/>
        </w:rPr>
        <w:t xml:space="preserve"> Cryptographic Key Lifecycle Management Policy.</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ADR-079:</w:t>
      </w:r>
      <w:r w:rsidDel="00000000" w:rsidR="00000000" w:rsidRPr="00000000">
        <w:rPr>
          <w:rFonts w:ascii="Google Sans" w:cs="Google Sans" w:eastAsia="Google Sans" w:hAnsi="Google Sans"/>
          <w:color w:val="1f1f1f"/>
          <w:rtl w:val="0"/>
        </w:rPr>
        <w:t xml:space="preserve"> Unified Exception Handling and Observability (The correlationId from the observability stack must be included in the Kafka event schema).</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CNCF CloudEvents Specification:</w:t>
      </w:r>
      <w:r w:rsidDel="00000000" w:rsidR="00000000" w:rsidRPr="00000000">
        <w:rPr>
          <w:rFonts w:ascii="Google Sans" w:cs="Google Sans" w:eastAsia="Google Sans" w:hAnsi="Google Sans"/>
          <w:color w:val="1f1f1f"/>
          <w:rtl w:val="0"/>
        </w:rPr>
        <w:t xml:space="preserve"> (Industry standard for event data description).</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Compliance Mapping</w:t>
      </w:r>
    </w:p>
    <w:p w:rsidR="00000000" w:rsidDel="00000000" w:rsidP="00000000" w:rsidRDefault="00000000" w:rsidRPr="00000000" w14:paraId="0000005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Information Security Policy:</w:t>
      </w:r>
      <w:r w:rsidDel="00000000" w:rsidR="00000000" w:rsidRPr="00000000">
        <w:rPr>
          <w:rFonts w:ascii="Google Sans" w:cs="Google Sans" w:eastAsia="Google Sans" w:hAnsi="Google Sans"/>
          <w:color w:val="1f1f1f"/>
          <w:rtl w:val="0"/>
        </w:rPr>
        <w:t xml:space="preserve"> Meets all criteria for associate activity monitoring and non-repudiation.</w:t>
      </w:r>
    </w:p>
    <w:p w:rsidR="00000000" w:rsidDel="00000000" w:rsidP="00000000" w:rsidRDefault="00000000" w:rsidRPr="00000000" w14:paraId="0000005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Data Retention Policy:</w:t>
      </w:r>
      <w:r w:rsidDel="00000000" w:rsidR="00000000" w:rsidRPr="00000000">
        <w:rPr>
          <w:rFonts w:ascii="Google Sans" w:cs="Google Sans" w:eastAsia="Google Sans" w:hAnsi="Google Sans"/>
          <w:color w:val="1f1f1f"/>
          <w:rtl w:val="0"/>
        </w:rPr>
        <w:t xml:space="preserve"> The ActivityHub architecture supports automated partitioning to facilitate legal holds and long-term compliance archival.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