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clarify, when we talk about the "client" in this context, we are looking 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Domain Microservices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(like the Customer Service or Prospect Service) acting as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consumers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your new platform-activity-hub-client library.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exactly how the application developers on your feature teams will write their code for all three scenarios, utilizing the infrastructure you just built for them.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Variant 1: The Aspect (Simple Read Logging)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Scenario: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developer is building a standard GET endpoint to retrieve a customer profile. They do not want to write any Kafka or logging logic.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Implementation: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They simply import your annotation and drop it on the controller method. The JwtMdcFilter we discussed earlier handles the associateId extraction automatically in the background.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com.mosaic.customer.controller;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com.mosaic.audit.aspect.AuditReadLog;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Imported from your shared library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com.mosaic.customer.service.CustomerService;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org.springframework.http.ResponseEntity;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org.springframework.web.bind.annotation.*;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@RestController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@RequestMapping("/api/v1/customers")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CustomerController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CustomerService customerService;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CustomerController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(CustomerService customerService)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.customerService = customerService;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@GetMapping("/{id}/profile")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@AuditReadLog(action = "CUSTOMER_PROFILE_VIEWED")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◄── The only line the developer writes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ResponseEntity&lt;CustomerProfile&gt;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getProfile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@PathVariable("id")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String customerId)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</w:t>
        <w:br w:type="textWrapping"/>
        <w:t xml:space="preserve">        CustomerProfile profile = customerService.getProfileById(customerId);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ResponseEntity.ok(profile);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Variant 2: The Programmatic Publisher (Complex Read/Auth)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Scenario: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developer is building a complex Customer Authentication flow (OTP validation). The logging depends on conditional business logic (e.g., verifying if the code matches), so the Aspect annotation is too rigid.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Implementation: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They inject your AsyncAuditPublisher (or a dedicated wrapper from your library) and explicitly push the payload asynchronously.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com.mosaic.customer.service;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com.fasterxml.jackson.databind.ObjectMapper;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com.mosaic.audit.publisher.AsyncAuditPublisher;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Imported from your shared library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org.slf4j.MDC;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org.springframework.stereotype.Service;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java.util.HashMap;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java.util.Map;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@Service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CustomerAuthService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AsyncAuditPublisher auditPublisher;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ObjectMapper objectMapper;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CustomerAuthService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(AsyncAuditPublisher auditPublisher, ObjectMapper objectMapper)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.auditPublisher = auditPublisher;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.objectMapper = objectMapper;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verifyOtp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(String customerId, String providedCode)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isValid = internalOtpCheck(customerId, providedCode);</w:t>
        <w:br w:type="textWrapping"/>
        <w:t xml:space="preserve">        String sessionId = MDC.get(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"sessionId"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Safely grab from the current thread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Build a highly specific payload based on the business outcome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Map&lt;String, Object&gt; payload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HashMap&lt;&gt;();</w:t>
        <w:br w:type="textWrapping"/>
        <w:t xml:space="preserve">        payload.put(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"actionType"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"OTP_AUTH_ATTEMPT"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payload.put(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"targetCustomerId"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customerId);</w:t>
        <w:br w:type="textWrapping"/>
        <w:t xml:space="preserve">        payload.put(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isValid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"SUCCESS"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"FAILED"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(!isValid) {</w:t>
        <w:br w:type="textWrapping"/>
        <w:t xml:space="preserve">            payload.put(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"failureReason"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"INVALID_CODE_PROVIDED"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Fire and forget to the background thread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auditPublisher.publishAsync(sessionId, objectMapper.writeValueAsString(payload));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(Exception e)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Log locally, do not block the user's authentication flow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isValid;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Variant 3: The State-Changing Event (Transactional Outbox)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Scenario: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developer in the Prospect domain is writing the logic to "Qualify" a prospect. They need to ensure the business state change and the audit event are committed atomically to SQL Server so the Interaction Hub gets the "Fat Event."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Implementation: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requires three small pieces of standard Spring Data code. The developer does not touch the Outbox repository directly.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The Event Record (Implementing your shared contract):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com.mosaic.prospect.domain.event;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com.mosaic.audit.outbox.DomainEvent;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The shared contract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record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ProspectQualifiedEvent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  <w:br w:type="textWrapping"/>
        <w:t xml:space="preserve">    String prospectId,</w:t>
        <w:br w:type="textWrapping"/>
        <w:t xml:space="preserve">    String assignedRepId,</w:t>
        <w:br w:type="textWrapping"/>
        <w:t xml:space="preserve">    String source</w:t>
        <w:br w:type="textWrapping"/>
        <w:t xml:space="preserve">) implements DomainEvent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String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getAggregateId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prospectId;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String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getAggregateType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"PROSPECT"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String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getEventType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"PROSPECT_QUALIFIED"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The Aggregate Root (The Entity):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com.mosaic.prospect.domain;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com.mosaic.prospect.domain.event.ProspectQualifiedEvent;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jakarta.persistence.*;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org.springframework.data.domain.AbstractAggregateRoot;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@Entity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@Table(name = "prospects")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AbstractAggregateRoot is a Spring Data helper that manages the @DomainEvents list for you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Prospect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extends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AbstractAggregateRoot&lt;Prospect&gt;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String id;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String status;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String assignedRepId;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qualify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(String source)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"QUALIFIED"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Register the event in memory. Spring Data will pull this on save().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registerEvent(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ProspectQualifiedEvent(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.assignedRepId, source));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The Application Service (The Transaction):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com.mosaic.prospect.service;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com.mosaic.prospect.domain.Prospect;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com.mosaic.prospect.repository.ProspectRepository;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org.springframework.stereotype.Service;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org.springframework.transaction.annotation.Transactional;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@Service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ProspectManagementService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ProspectRepository repository;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ProspectManagementService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(ProspectRepository repository)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.repository = repository;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@Transactional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◄── This guarantees atomicity for BOTH the Prospect and the Outbox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qualifyProspect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(String prospectId, String source)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    </w:t>
        <w:br w:type="textWrapping"/>
        <w:t xml:space="preserve">        Prospect prospect = repository.findById(prospectId)</w:t>
        <w:br w:type="textWrapping"/>
        <w:t xml:space="preserve">            .orElseThrow(()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RuntimeException(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"Prospect not found"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));</w:t>
        <w:br w:type="textWrapping"/>
        <w:br w:type="textWrapping"/>
        <w:t xml:space="preserve">        prospect.qualify(source);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When save() is called, Spring Data publishes the ProspectQualifiedEvent.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Your shared OutboxEventListener catches it and inserts it into dbo.outbox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within this exact same SQL Server transaction.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repository.save(prospect); 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you roll this out to the feature teams, do you plan to provide a starter template or an Nx workspace generator to automatically scaffold these event structures for new domain microservices?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