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True Isolation vs. The "Noisy Neighbor" Problem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Logical separation (schemas) is not physical separation.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SQL Server Risk:</w:t>
      </w:r>
      <w:r w:rsidDel="00000000" w:rsidR="00000000" w:rsidRPr="00000000">
        <w:rPr>
          <w:rFonts w:ascii="Google Sans" w:cs="Google Sans" w:eastAsia="Google Sans" w:hAnsi="Google Sans"/>
          <w:color w:val="1f1f1f"/>
          <w:rtl w:val="0"/>
        </w:rPr>
        <w:t xml:space="preserve"> In a single-instance SQL Server setup, all schemas share the same underlying compute, memory (buffer pool), and crucial system resources like tempdb. If the </w:t>
      </w:r>
      <w:r w:rsidDel="00000000" w:rsidR="00000000" w:rsidRPr="00000000">
        <w:rPr>
          <w:rFonts w:ascii="Google Sans" w:cs="Google Sans" w:eastAsia="Google Sans" w:hAnsi="Google Sans"/>
          <w:i w:val="1"/>
          <w:iCs w:val="1"/>
          <w:color w:val="1f1f1f"/>
          <w:rtl w:val="0"/>
        </w:rPr>
        <w:t xml:space="preserve">Activity Logs</w:t>
      </w:r>
      <w:r w:rsidDel="00000000" w:rsidR="00000000" w:rsidRPr="00000000">
        <w:rPr>
          <w:rFonts w:ascii="Google Sans" w:cs="Google Sans" w:eastAsia="Google Sans" w:hAnsi="Google Sans"/>
          <w:color w:val="1f1f1f"/>
          <w:rtl w:val="0"/>
        </w:rPr>
        <w:t xml:space="preserve"> microservice runs a massive, poorly optimized query, it will consume the shared CPU and RAM. This instantly degrades the performance of critical, unrelated domains like </w:t>
      </w:r>
      <w:r w:rsidDel="00000000" w:rsidR="00000000" w:rsidRPr="00000000">
        <w:rPr>
          <w:rFonts w:ascii="Google Sans" w:cs="Google Sans" w:eastAsia="Google Sans" w:hAnsi="Google Sans"/>
          <w:i w:val="1"/>
          <w:iCs w:val="1"/>
          <w:color w:val="1f1f1f"/>
          <w:rtl w:val="0"/>
        </w:rPr>
        <w:t xml:space="preserve">Customer Identity</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Loan Servicing</w:t>
      </w:r>
      <w:r w:rsidDel="00000000" w:rsidR="00000000" w:rsidRPr="00000000">
        <w:rPr>
          <w:rFonts w:ascii="Google Sans" w:cs="Google Sans" w:eastAsia="Google Sans" w:hAnsi="Google Sans"/>
          <w:color w:val="1f1f1f"/>
          <w:rtl w:val="0"/>
        </w:rPr>
        <w:t xml:space="preserve">. You have built microservices in the application layer, but coupled their performance at the database layer.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Postgres Advantage:</w:t>
      </w:r>
      <w:r w:rsidDel="00000000" w:rsidR="00000000" w:rsidRPr="00000000">
        <w:rPr>
          <w:rFonts w:ascii="Google Sans" w:cs="Google Sans" w:eastAsia="Google Sans" w:hAnsi="Google Sans"/>
          <w:color w:val="1f1f1f"/>
          <w:rtl w:val="0"/>
        </w:rPr>
        <w:t xml:space="preserve"> Because PostgreSQL is lightweight and unencumbered by licensing, the standard practice is to deploy physically isolated database instances (or lightweight containers/pods in Kubernetes) for each microservice. If the logging service spikes in CPU, it only affects the logging database. The core servicing domains remain completely unaffected, ensuring the resilience that a microservices architecture promises.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Blast Radius and Single Point of Failure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Microservices are designed so that if one piece fails, the rest of the application stays up.</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SQL Server Risk:</w:t>
      </w:r>
      <w:r w:rsidDel="00000000" w:rsidR="00000000" w:rsidRPr="00000000">
        <w:rPr>
          <w:rFonts w:ascii="Google Sans" w:cs="Google Sans" w:eastAsia="Google Sans" w:hAnsi="Google Sans"/>
          <w:color w:val="1f1f1f"/>
          <w:rtl w:val="0"/>
        </w:rPr>
        <w:t xml:space="preserve"> A single SQL Server instance represents a massive single point of failure. If the instance requires a reboot for a security patch, runs out of disk space, or suffers a crash, the entire Mosaic platform goes completely offline for all FCB Bank associates.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Postgres Advantage:</w:t>
      </w:r>
      <w:r w:rsidDel="00000000" w:rsidR="00000000" w:rsidRPr="00000000">
        <w:rPr>
          <w:rFonts w:ascii="Google Sans" w:cs="Google Sans" w:eastAsia="Google Sans" w:hAnsi="Google Sans"/>
          <w:color w:val="1f1f1f"/>
          <w:rtl w:val="0"/>
        </w:rPr>
        <w:t xml:space="preserve"> True database-per-service isolation means that if the </w:t>
      </w:r>
      <w:r w:rsidDel="00000000" w:rsidR="00000000" w:rsidRPr="00000000">
        <w:rPr>
          <w:rFonts w:ascii="Google Sans" w:cs="Google Sans" w:eastAsia="Google Sans" w:hAnsi="Google Sans"/>
          <w:i w:val="1"/>
          <w:iCs w:val="1"/>
          <w:color w:val="1f1f1f"/>
          <w:rtl w:val="0"/>
        </w:rPr>
        <w:t xml:space="preserve">Disputes</w:t>
      </w:r>
      <w:r w:rsidDel="00000000" w:rsidR="00000000" w:rsidRPr="00000000">
        <w:rPr>
          <w:rFonts w:ascii="Google Sans" w:cs="Google Sans" w:eastAsia="Google Sans" w:hAnsi="Google Sans"/>
          <w:color w:val="1f1f1f"/>
          <w:rtl w:val="0"/>
        </w:rPr>
        <w:t xml:space="preserve"> database requires maintenance or encounters an issue, only the disputes module in the React UI goes down. The associates can still use the rest of the platform to service customers.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Compute Efficiency for Dynamic Servicing Data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where the JSON argument ties directly into the single-server problem.</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SQL Server Risk:</w:t>
      </w:r>
      <w:r w:rsidDel="00000000" w:rsidR="00000000" w:rsidRPr="00000000">
        <w:rPr>
          <w:rFonts w:ascii="Google Sans" w:cs="Google Sans" w:eastAsia="Google Sans" w:hAnsi="Google Sans"/>
          <w:color w:val="1f1f1f"/>
          <w:rtl w:val="0"/>
        </w:rPr>
        <w:t xml:space="preserve"> SQL Server stores JSON as NVARCHAR (text) and has to parse that string at runtime every time you query it. String parsing is highly CPU-intensive. If your React/React Native frontends are firing thousands of dynamic Generic Service Requests and User Profile updates into a single SQL Server instance, that CPU overhead will drag down the entire shared server.</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Postgres Advantage:</w:t>
      </w:r>
      <w:r w:rsidDel="00000000" w:rsidR="00000000" w:rsidRPr="00000000">
        <w:rPr>
          <w:rFonts w:ascii="Google Sans" w:cs="Google Sans" w:eastAsia="Google Sans" w:hAnsi="Google Sans"/>
          <w:color w:val="1f1f1f"/>
          <w:rtl w:val="0"/>
        </w:rPr>
        <w:t xml:space="preserve"> PostgreSQL’s JSONB parses the JSON </w:t>
      </w:r>
      <w:r w:rsidDel="00000000" w:rsidR="00000000" w:rsidRPr="00000000">
        <w:rPr>
          <w:rFonts w:ascii="Google Sans" w:cs="Google Sans" w:eastAsia="Google Sans" w:hAnsi="Google Sans"/>
          <w:i w:val="1"/>
          <w:iCs w:val="1"/>
          <w:color w:val="1f1f1f"/>
          <w:rtl w:val="0"/>
        </w:rPr>
        <w:t xml:space="preserve">once</w:t>
      </w:r>
      <w:r w:rsidDel="00000000" w:rsidR="00000000" w:rsidRPr="00000000">
        <w:rPr>
          <w:rFonts w:ascii="Google Sans" w:cs="Google Sans" w:eastAsia="Google Sans" w:hAnsi="Google Sans"/>
          <w:color w:val="1f1f1f"/>
          <w:rtl w:val="0"/>
        </w:rPr>
        <w:t xml:space="preserve"> upon insertion and stores it in a decomposed binary format. When you query it using GIN indexes, there is virtually no CPU-heavy runtime parsing. This shifts the compute load off the database, which is critical for maintaining high performance across the servicing platform.</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CI/CD Velocity in GitLab and Nx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 server" model fundamentally clashes with modern, high-speed automated testing.</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SQL Server Risk:</w:t>
      </w:r>
      <w:r w:rsidDel="00000000" w:rsidR="00000000" w:rsidRPr="00000000">
        <w:rPr>
          <w:rFonts w:ascii="Google Sans" w:cs="Google Sans" w:eastAsia="Google Sans" w:hAnsi="Google Sans"/>
          <w:color w:val="1f1f1f"/>
          <w:rtl w:val="0"/>
        </w:rPr>
        <w:t xml:space="preserve"> To run proper integration tests in your GitLab CI pipelines for the Nx workspace, spinning up a full, heavy SQL Server Linux container for every test run is slow and resource-heavy.</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Postgres Advantage:</w:t>
      </w:r>
      <w:r w:rsidDel="00000000" w:rsidR="00000000" w:rsidRPr="00000000">
        <w:rPr>
          <w:rFonts w:ascii="Google Sans" w:cs="Google Sans" w:eastAsia="Google Sans" w:hAnsi="Google Sans"/>
          <w:color w:val="1f1f1f"/>
          <w:rtl w:val="0"/>
        </w:rPr>
        <w:t xml:space="preserve"> Ephemeral PostgreSQL containers are incredibly lightweight. When a developer makes a change in the Nx monorepo, the GitLab pipeline can instantly spin up a tiny Postgres container, run the specific microservice's integration tests against real JSONB columns, and tear it down in seconds. This keeps the developer feedback loop extremely tight.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Revised Pitch Summary for Infrastructure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"While utilizing multiple schemas on a single SQL Server provides logical organization, it introduces severe 'noisy neighbor' resource contention and creates a single point of failure for the entire Mosaic platform. If one domain's query spikes the shared CPU, all other microservices suffer. PostgreSQL allows us to deploy truly isolated, lightweight databases for each servicing domain, ensuring high availability. Furthermore, because our frontends rely on highly dynamic JSON payloads for Generic Service Requests, Postgres’s native JSONB indexing eliminates the CPU-heavy runtime parsing that would otherwise overwhelm a shared SQL Server instance."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