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Decision Record (ADR)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Title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Asynchronous Status Synchronization from Mosaic Platform to Salesforce via Kafka and MuleSoft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Proposed</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Mosaic servicing platform needs to communicate real-time status updates back to Salesforce when critical milestones are reached during customer onboarding and account origination journeys (e.g., onboarding in progress, failed, cancelled, completed).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Mosaic is deployed on-premises within the FCB datacenter, while Salesforce and its core API gateway, MuleSoft, reside in the cloud. The data payload required for these updates is highly lightweight, consisting primarily of an identifier (Relationship ID or Opportunity ID) and a corresponding status string. The integration must bridge the on-prem event-driven ecosystem with the cloud-based CRM securely and efficiently.</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Decision Drivers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API Governance:</w:t>
      </w:r>
      <w:r w:rsidDel="00000000" w:rsidR="00000000" w:rsidRPr="00000000">
        <w:rPr>
          <w:rFonts w:ascii="Google Sans" w:cs="Google Sans" w:eastAsia="Google Sans" w:hAnsi="Google Sans"/>
          <w:color w:val="1f1f1f"/>
          <w:rtl w:val="0"/>
        </w:rPr>
        <w:t xml:space="preserve"> Strict adherence to enterprise integration standards requiring external SaaS interactions to route through an API gateway for centralized auditing, rate limiting, and security policy enforcement.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Operational Simplicity:</w:t>
      </w:r>
      <w:r w:rsidDel="00000000" w:rsidR="00000000" w:rsidRPr="00000000">
        <w:rPr>
          <w:rFonts w:ascii="Google Sans" w:cs="Google Sans" w:eastAsia="Google Sans" w:hAnsi="Google Sans"/>
          <w:color w:val="1f1f1f"/>
          <w:rtl w:val="0"/>
        </w:rPr>
        <w:t xml:space="preserve"> Minimizing custom code maintenance, reducing overhead for the engineering team, and maximizing the utility of existing enterprise platform footprints.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Security &amp; Network Constraints:</w:t>
      </w:r>
      <w:r w:rsidDel="00000000" w:rsidR="00000000" w:rsidRPr="00000000">
        <w:rPr>
          <w:rFonts w:ascii="Google Sans" w:cs="Google Sans" w:eastAsia="Google Sans" w:hAnsi="Google Sans"/>
          <w:color w:val="1f1f1f"/>
          <w:rtl w:val="0"/>
        </w:rPr>
        <w:t xml:space="preserve"> Mitigating perimeter risks by avoiding inbound firewall rule exceptions from external public cloud NAT IPs into the internal corporate datacenter.</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Domain Decoupling:</w:t>
      </w:r>
      <w:r w:rsidDel="00000000" w:rsidR="00000000" w:rsidRPr="00000000">
        <w:rPr>
          <w:rFonts w:ascii="Google Sans" w:cs="Google Sans" w:eastAsia="Google Sans" w:hAnsi="Google Sans"/>
          <w:color w:val="1f1f1f"/>
          <w:rtl w:val="0"/>
        </w:rPr>
        <w:t xml:space="preserve"> Keeping internal servicing platform event schemas loosely coupled from downstream CRM target data structures (SObjects).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Considered Options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Direct Salesforce Consumption from On-Prem Kafka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Salesforce acts as a direct subscriber to the on-prem Kafka brokers.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Pros:</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Provides a direct implementation of the Pub/Sub pattern without intermediary middleware components.</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Eliminates operational management of a separate connector or consumer layer.</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w:t>
      </w:r>
    </w:p>
    <w:p w:rsidR="00000000" w:rsidDel="00000000" w:rsidP="00000000" w:rsidRDefault="00000000" w:rsidRPr="00000000" w14:paraId="00000015">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InfoSec Red Flag:</w:t>
      </w:r>
      <w:r w:rsidDel="00000000" w:rsidR="00000000" w:rsidRPr="00000000">
        <w:rPr>
          <w:rFonts w:ascii="Google Sans" w:cs="Google Sans" w:eastAsia="Google Sans" w:hAnsi="Google Sans"/>
          <w:color w:val="1f1f1f"/>
          <w:rtl w:val="0"/>
        </w:rPr>
        <w:t xml:space="preserve"> Requires opening inbound firewall ports (e.g., 9092/9093) from external public cloud IPs into the internal FCB datacenter, which violates core security policies.</w:t>
      </w:r>
    </w:p>
    <w:p w:rsidR="00000000" w:rsidDel="00000000" w:rsidP="00000000" w:rsidRDefault="00000000" w:rsidRPr="00000000" w14:paraId="00000016">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Technical Limitation:</w:t>
      </w:r>
      <w:r w:rsidDel="00000000" w:rsidR="00000000" w:rsidRPr="00000000">
        <w:rPr>
          <w:rFonts w:ascii="Google Sans" w:cs="Google Sans" w:eastAsia="Google Sans" w:hAnsi="Google Sans"/>
          <w:color w:val="1f1f1f"/>
          <w:rtl w:val="0"/>
        </w:rPr>
        <w:t xml:space="preserve"> Salesforce Core lacks a native, long-polling Kafka client, necessitating an unmanaged custom consumer proxy (e.g., Heroku) to bridge the transport layer.</w:t>
      </w:r>
    </w:p>
    <w:p w:rsidR="00000000" w:rsidDel="00000000" w:rsidP="00000000" w:rsidRDefault="00000000" w:rsidRPr="00000000" w14:paraId="00000017">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Maintenance Burden:</w:t>
      </w:r>
      <w:r w:rsidDel="00000000" w:rsidR="00000000" w:rsidRPr="00000000">
        <w:rPr>
          <w:rFonts w:ascii="Google Sans" w:cs="Google Sans" w:eastAsia="Google Sans" w:hAnsi="Google Sans"/>
          <w:color w:val="1f1f1f"/>
          <w:rtl w:val="0"/>
        </w:rPr>
        <w:t xml:space="preserve"> Infrastructure configurations become tightly coupled to Salesforce’s fluctuating public NAT IP ranges.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Confluent Salesforce Sink Connector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Kafka Connect runs on-premises and utilizes the premium Confluent Salesforce Sink Connector to push events directly to Salesforce SObjects or Platform Events.</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Pros:</w:t>
      </w:r>
    </w:p>
    <w:p w:rsidR="00000000" w:rsidDel="00000000" w:rsidP="00000000" w:rsidRDefault="00000000" w:rsidRPr="00000000" w14:paraId="0000001B">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Outbound Traffic Only:</w:t>
      </w:r>
      <w:r w:rsidDel="00000000" w:rsidR="00000000" w:rsidRPr="00000000">
        <w:rPr>
          <w:rFonts w:ascii="Google Sans" w:cs="Google Sans" w:eastAsia="Google Sans" w:hAnsi="Google Sans"/>
          <w:color w:val="1f1f1f"/>
          <w:rtl w:val="0"/>
        </w:rPr>
        <w:t xml:space="preserve"> Operates entirely via outbound HTTPS requests, eliminating inbound firewall security concerns.</w:t>
      </w:r>
    </w:p>
    <w:p w:rsidR="00000000" w:rsidDel="00000000" w:rsidP="00000000" w:rsidRDefault="00000000" w:rsidRPr="00000000" w14:paraId="0000001C">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Configuration-Driven:</w:t>
      </w:r>
      <w:r w:rsidDel="00000000" w:rsidR="00000000" w:rsidRPr="00000000">
        <w:rPr>
          <w:rFonts w:ascii="Google Sans" w:cs="Google Sans" w:eastAsia="Google Sans" w:hAnsi="Google Sans"/>
          <w:color w:val="1f1f1f"/>
          <w:rtl w:val="0"/>
        </w:rPr>
        <w:t xml:space="preserve"> Zero-code solution with native offset management, retries, and dead-letter queue (DLQ) support.</w:t>
      </w:r>
    </w:p>
    <w:p w:rsidR="00000000" w:rsidDel="00000000" w:rsidP="00000000" w:rsidRDefault="00000000" w:rsidRPr="00000000" w14:paraId="0000001D">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Licensing Included:</w:t>
      </w:r>
      <w:r w:rsidDel="00000000" w:rsidR="00000000" w:rsidRPr="00000000">
        <w:rPr>
          <w:rFonts w:ascii="Google Sans" w:cs="Google Sans" w:eastAsia="Google Sans" w:hAnsi="Google Sans"/>
          <w:color w:val="1f1f1f"/>
          <w:rtl w:val="0"/>
        </w:rPr>
        <w:t xml:space="preserve"> Fully leverages the bank's existing Confluent enterprise license.</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w:t>
      </w:r>
    </w:p>
    <w:p w:rsidR="00000000" w:rsidDel="00000000" w:rsidP="00000000" w:rsidRDefault="00000000" w:rsidRPr="00000000" w14:paraId="0000001F">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Bypasses API Governance:</w:t>
      </w:r>
      <w:r w:rsidDel="00000000" w:rsidR="00000000" w:rsidRPr="00000000">
        <w:rPr>
          <w:rFonts w:ascii="Google Sans" w:cs="Google Sans" w:eastAsia="Google Sans" w:hAnsi="Google Sans"/>
          <w:color w:val="1f1f1f"/>
          <w:rtl w:val="0"/>
        </w:rPr>
        <w:t xml:space="preserve"> Bypasses the MuleSoft API gateway entirely, violating enterprise standards for centralized auditing, rate limiting, and traffic monitoring.</w:t>
      </w:r>
    </w:p>
    <w:p w:rsidR="00000000" w:rsidDel="00000000" w:rsidP="00000000" w:rsidRDefault="00000000" w:rsidRPr="00000000" w14:paraId="00000020">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Schema Coupling:</w:t>
      </w:r>
      <w:r w:rsidDel="00000000" w:rsidR="00000000" w:rsidRPr="00000000">
        <w:rPr>
          <w:rFonts w:ascii="Google Sans" w:cs="Google Sans" w:eastAsia="Google Sans" w:hAnsi="Google Sans"/>
          <w:color w:val="1f1f1f"/>
          <w:rtl w:val="0"/>
        </w:rPr>
        <w:t xml:space="preserve"> Tightly binds Kafka data shapes to external CRM SObject schemas, making complex data transformations or payload enrichment difficult to manage.</w:t>
      </w:r>
    </w:p>
    <w:p w:rsidR="00000000" w:rsidDel="00000000" w:rsidP="00000000" w:rsidRDefault="00000000" w:rsidRPr="00000000" w14:paraId="00000021">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Infrastructure Lock-In:</w:t>
      </w:r>
      <w:r w:rsidDel="00000000" w:rsidR="00000000" w:rsidRPr="00000000">
        <w:rPr>
          <w:rFonts w:ascii="Google Sans" w:cs="Google Sans" w:eastAsia="Google Sans" w:hAnsi="Google Sans"/>
          <w:color w:val="1f1f1f"/>
          <w:rtl w:val="0"/>
        </w:rPr>
        <w:t xml:space="preserve"> Deeply tethers the integration layer to the Kafka Connect ecosystem, complicating future messaging broker migration strategies.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Custom Spring Boot Consumer to MuleSoft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dedicated on-prem Java microservice within the platform ecosystem consumes the topic, transforms the payload, and executes standard REST calls to the cloud-hosted MuleSoft API Gateway.</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Pros:</w:t>
      </w:r>
    </w:p>
    <w:p w:rsidR="00000000" w:rsidDel="00000000" w:rsidP="00000000" w:rsidRDefault="00000000" w:rsidRPr="00000000" w14:paraId="00000025">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Strict Governance &amp; Security:</w:t>
      </w:r>
      <w:r w:rsidDel="00000000" w:rsidR="00000000" w:rsidRPr="00000000">
        <w:rPr>
          <w:rFonts w:ascii="Google Sans" w:cs="Google Sans" w:eastAsia="Google Sans" w:hAnsi="Google Sans"/>
          <w:color w:val="1f1f1f"/>
          <w:rtl w:val="0"/>
        </w:rPr>
        <w:t xml:space="preserve"> Routes traffic cleanly through outbound HTTPS to MuleSoft, honoring standard API-led connectivity and InfoSec monitoring.</w:t>
      </w:r>
    </w:p>
    <w:p w:rsidR="00000000" w:rsidDel="00000000" w:rsidP="00000000" w:rsidRDefault="00000000" w:rsidRPr="00000000" w14:paraId="00000026">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Anti-Corruption Layer:</w:t>
      </w:r>
      <w:r w:rsidDel="00000000" w:rsidR="00000000" w:rsidRPr="00000000">
        <w:rPr>
          <w:rFonts w:ascii="Google Sans" w:cs="Google Sans" w:eastAsia="Google Sans" w:hAnsi="Google Sans"/>
          <w:color w:val="1f1f1f"/>
          <w:rtl w:val="0"/>
        </w:rPr>
        <w:t xml:space="preserve"> Acts as a clean buffer to map internal domain schemas into generic external API contracts, isolating internal data models.</w:t>
      </w:r>
    </w:p>
    <w:p w:rsidR="00000000" w:rsidDel="00000000" w:rsidP="00000000" w:rsidRDefault="00000000" w:rsidRPr="00000000" w14:paraId="00000027">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Broker Agnostic:</w:t>
      </w:r>
      <w:r w:rsidDel="00000000" w:rsidR="00000000" w:rsidRPr="00000000">
        <w:rPr>
          <w:rFonts w:ascii="Google Sans" w:cs="Google Sans" w:eastAsia="Google Sans" w:hAnsi="Google Sans"/>
          <w:color w:val="1f1f1f"/>
          <w:rtl w:val="0"/>
        </w:rPr>
        <w:t xml:space="preserve"> Keeps transformation logic completely decoupled from the transport layer; switching messaging brokers only requires updating client annotations.</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w:t>
      </w:r>
    </w:p>
    <w:p w:rsidR="00000000" w:rsidDel="00000000" w:rsidP="00000000" w:rsidRDefault="00000000" w:rsidRPr="00000000" w14:paraId="00000029">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Development Overhead:</w:t>
      </w:r>
      <w:r w:rsidDel="00000000" w:rsidR="00000000" w:rsidRPr="00000000">
        <w:rPr>
          <w:rFonts w:ascii="Google Sans" w:cs="Google Sans" w:eastAsia="Google Sans" w:hAnsi="Google Sans"/>
          <w:color w:val="1f1f1f"/>
          <w:rtl w:val="0"/>
        </w:rPr>
        <w:t xml:space="preserve"> Requires building, deploying, and maintaining custom application code for an exceptionally simple data payload.</w:t>
      </w:r>
    </w:p>
    <w:p w:rsidR="00000000" w:rsidDel="00000000" w:rsidP="00000000" w:rsidRDefault="00000000" w:rsidRPr="00000000" w14:paraId="0000002A">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Operational Risk:</w:t>
      </w:r>
      <w:r w:rsidDel="00000000" w:rsidR="00000000" w:rsidRPr="00000000">
        <w:rPr>
          <w:rFonts w:ascii="Google Sans" w:cs="Google Sans" w:eastAsia="Google Sans" w:hAnsi="Google Sans"/>
          <w:color w:val="1f1f1f"/>
          <w:rtl w:val="0"/>
        </w:rPr>
        <w:t xml:space="preserve"> Error handling, circuit breaking, and retry/DLQ logic must be custom-coded and maintained within the application rather than handled natively by infrastructure.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Kafka HTTP Sink Connector to MuleSoft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Kafka Connect leverages a generic out-of-the-box HTTP Sink Connector to stream events as generic outbound REST webhooks directly to the cloud-hosted MuleSoft API Gateway.</w:t>
      </w:r>
    </w:p>
    <w:p w:rsidR="00000000" w:rsidDel="00000000" w:rsidP="00000000" w:rsidRDefault="00000000" w:rsidRPr="00000000" w14:paraId="0000002D">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Pros:</w:t>
      </w:r>
    </w:p>
    <w:p w:rsidR="00000000" w:rsidDel="00000000" w:rsidP="00000000" w:rsidRDefault="00000000" w:rsidRPr="00000000" w14:paraId="0000002E">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Zero Custom Code:</w:t>
      </w:r>
      <w:r w:rsidDel="00000000" w:rsidR="00000000" w:rsidRPr="00000000">
        <w:rPr>
          <w:rFonts w:ascii="Google Sans" w:cs="Google Sans" w:eastAsia="Google Sans" w:hAnsi="Google Sans"/>
          <w:color w:val="1f1f1f"/>
          <w:rtl w:val="0"/>
        </w:rPr>
        <w:t xml:space="preserve"> Fully configuration-driven, offloading subscription tracking, backoff retries, and DLQ routing to a hardened infrastructure tier.</w:t>
      </w:r>
    </w:p>
    <w:p w:rsidR="00000000" w:rsidDel="00000000" w:rsidP="00000000" w:rsidRDefault="00000000" w:rsidRPr="00000000" w14:paraId="0000002F">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Preserves API Governance:</w:t>
      </w:r>
      <w:r w:rsidDel="00000000" w:rsidR="00000000" w:rsidRPr="00000000">
        <w:rPr>
          <w:rFonts w:ascii="Google Sans" w:cs="Google Sans" w:eastAsia="Google Sans" w:hAnsi="Google Sans"/>
          <w:color w:val="1f1f1f"/>
          <w:rtl w:val="0"/>
        </w:rPr>
        <w:t xml:space="preserve"> Authenticates and routes directly through MuleSoft, maintaining centralized audit trails, access controls, and traffic enforcement.</w:t>
      </w:r>
    </w:p>
    <w:p w:rsidR="00000000" w:rsidDel="00000000" w:rsidP="00000000" w:rsidRDefault="00000000" w:rsidRPr="00000000" w14:paraId="00000030">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Low Lock-In Risk:</w:t>
      </w:r>
      <w:r w:rsidDel="00000000" w:rsidR="00000000" w:rsidRPr="00000000">
        <w:rPr>
          <w:rFonts w:ascii="Google Sans" w:cs="Google Sans" w:eastAsia="Google Sans" w:hAnsi="Google Sans"/>
          <w:color w:val="1f1f1f"/>
          <w:rtl w:val="0"/>
        </w:rPr>
        <w:t xml:space="preserve"> Preserves future flexibility. If the underlying broker changes, the destination endpoint (MuleSoft REST API) remains entirely unchanged, and only the webhook publisher tier is swapped.</w:t>
      </w:r>
    </w:p>
    <w:p w:rsidR="00000000" w:rsidDel="00000000" w:rsidP="00000000" w:rsidRDefault="00000000" w:rsidRPr="00000000" w14:paraId="00000031">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Optimized for Simple Payloads:</w:t>
      </w:r>
      <w:r w:rsidDel="00000000" w:rsidR="00000000" w:rsidRPr="00000000">
        <w:rPr>
          <w:rFonts w:ascii="Google Sans" w:cs="Google Sans" w:eastAsia="Google Sans" w:hAnsi="Google Sans"/>
          <w:color w:val="1f1f1f"/>
          <w:rtl w:val="0"/>
        </w:rPr>
        <w:t xml:space="preserve"> Perfectly suited for lightweight milestone events where complex, nested transformations are unnecessary.</w:t>
      </w:r>
    </w:p>
    <w:p w:rsidR="00000000" w:rsidDel="00000000" w:rsidP="00000000" w:rsidRDefault="00000000" w:rsidRPr="00000000" w14:paraId="0000003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w:t>
      </w:r>
    </w:p>
    <w:p w:rsidR="00000000" w:rsidDel="00000000" w:rsidP="00000000" w:rsidRDefault="00000000" w:rsidRPr="00000000" w14:paraId="00000033">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Dependency on Upstream Idempotency:</w:t>
      </w:r>
      <w:r w:rsidDel="00000000" w:rsidR="00000000" w:rsidRPr="00000000">
        <w:rPr>
          <w:rFonts w:ascii="Google Sans" w:cs="Google Sans" w:eastAsia="Google Sans" w:hAnsi="Google Sans"/>
          <w:color w:val="1f1f1f"/>
          <w:rtl w:val="0"/>
        </w:rPr>
        <w:t xml:space="preserve"> Relies heavily on the receiving MuleSoft/Salesforce endpoint to safely handle duplicate message deliveries caused by network retries.</w:t>
      </w:r>
    </w:p>
    <w:p w:rsidR="00000000" w:rsidDel="00000000" w:rsidP="00000000" w:rsidRDefault="00000000" w:rsidRPr="00000000" w14:paraId="00000034">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Gateway Overhead:</w:t>
      </w:r>
      <w:r w:rsidDel="00000000" w:rsidR="00000000" w:rsidRPr="00000000">
        <w:rPr>
          <w:rFonts w:ascii="Google Sans" w:cs="Google Sans" w:eastAsia="Google Sans" w:hAnsi="Google Sans"/>
          <w:color w:val="1f1f1f"/>
          <w:rtl w:val="0"/>
        </w:rPr>
        <w:t xml:space="preserve"> Introduces HTTP overhead compared to raw TCP streaming protocols, though negligible for this low-frequency use case.</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Decision Outcome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Chosen Option: Option 4 (Kafka HTTP Sink Connector to MuleSoft)</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Rationale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that the Salesforce Integration Team is actively building a dedicated MuleSoft endpoint to absorb update details, Option 4 provides the optimal balance of zero-code maintainability, strict security alignment, and architectural future-proofing.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pushing updates via standard outbound HTTPS REST hooks to MuleSoft, we eliminate the need to build or maintain a custom Spring Boot microservice. Simultaneously, we avoid the InfoSec risks of direct exposure (Option 1) and respect enterprise API gateway governance by refusing to bypass MuleSoft (Option 2).</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Details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&amp; Authentication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HTTP Sink Connector will traverse the perimeter via outbound port 443. It will be configured to authenticate with the cloud-hosted MuleSoft Gateway utilizing </w:t>
      </w:r>
      <w:r w:rsidDel="00000000" w:rsidR="00000000" w:rsidRPr="00000000">
        <w:rPr>
          <w:rFonts w:ascii="Google Sans" w:cs="Google Sans" w:eastAsia="Google Sans" w:hAnsi="Google Sans"/>
          <w:b w:val="1"/>
          <w:bCs w:val="1"/>
          <w:color w:val="1f1f1f"/>
          <w:rtl w:val="0"/>
        </w:rPr>
        <w:t xml:space="preserve">OAuth 2.0 (Client Credentials grant)</w:t>
      </w:r>
      <w:r w:rsidDel="00000000" w:rsidR="00000000" w:rsidRPr="00000000">
        <w:rPr>
          <w:rFonts w:ascii="Google Sans" w:cs="Google Sans" w:eastAsia="Google Sans" w:hAnsi="Google Sans"/>
          <w:color w:val="1f1f1f"/>
          <w:rtl w:val="0"/>
        </w:rPr>
        <w:t xml:space="preserve">, enabling automatic token retrieval and rotation directly within Kafka Connect.</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Contract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decoupling, the payload structure will remain generic and abstract away Salesforce internal schema attributes: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"sourceSystem"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"MOSAIC"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"referenceId"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"0018W00002NlXzBQAV"</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"referenceType"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"OPPORTUNITY"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"COMPLETED"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"2026-06-08T10:30:00Z"</w:t>
      </w:r>
      <w:r w:rsidDel="00000000" w:rsidR="00000000" w:rsidRPr="00000000">
        <w:rPr>
          <w:rFonts w:ascii="Google Sans" w:cs="Google Sans" w:eastAsia="Google Sans" w:hAnsi="Google Sans"/>
          <w:color w:val="1f1f1f"/>
          <w:shd w:fill="141414" w:val="clear"/>
          <w:rtl w:val="0"/>
        </w:rPr>
        <w:br w:type="textWrapping"/>
        <w:t xml:space="preserve">}</w:t>
        <w:br w:type="textWrapping"/>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Fault Tolerance &amp; Error Handling</w:t>
      </w:r>
    </w:p>
    <w:p w:rsidR="00000000" w:rsidDel="00000000" w:rsidP="00000000" w:rsidRDefault="00000000" w:rsidRPr="00000000" w14:paraId="00000045">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Retries:</w:t>
      </w:r>
      <w:r w:rsidDel="00000000" w:rsidR="00000000" w:rsidRPr="00000000">
        <w:rPr>
          <w:rFonts w:ascii="Google Sans" w:cs="Google Sans" w:eastAsia="Google Sans" w:hAnsi="Google Sans"/>
          <w:color w:val="1f1f1f"/>
          <w:rtl w:val="0"/>
        </w:rPr>
        <w:t xml:space="preserve"> The connector will be configured with exponential backoff retries for transient 5xx server or gateway errors.</w:t>
      </w:r>
    </w:p>
    <w:p w:rsidR="00000000" w:rsidDel="00000000" w:rsidP="00000000" w:rsidRDefault="00000000" w:rsidRPr="00000000" w14:paraId="00000046">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Dead Letter Queue (DLQ):</w:t>
      </w:r>
      <w:r w:rsidDel="00000000" w:rsidR="00000000" w:rsidRPr="00000000">
        <w:rPr>
          <w:rFonts w:ascii="Google Sans" w:cs="Google Sans" w:eastAsia="Google Sans" w:hAnsi="Google Sans"/>
          <w:color w:val="1f1f1f"/>
          <w:rtl w:val="0"/>
        </w:rPr>
        <w:t xml:space="preserve"> To prevent malformed payloads or persistent client-side errors (4xx) from blocking topic partitions, a DLQ topic will be configured to intercept failed deliveries for operational alerting.</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Consequences</w:t>
      </w:r>
    </w:p>
    <w:p w:rsidR="00000000" w:rsidDel="00000000" w:rsidP="00000000" w:rsidRDefault="00000000" w:rsidRPr="00000000" w14:paraId="00000048">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Positive:</w:t>
      </w:r>
      <w:r w:rsidDel="00000000" w:rsidR="00000000" w:rsidRPr="00000000">
        <w:rPr>
          <w:rFonts w:ascii="Google Sans" w:cs="Google Sans" w:eastAsia="Google Sans" w:hAnsi="Google Sans"/>
          <w:color w:val="1f1f1f"/>
          <w:rtl w:val="0"/>
        </w:rPr>
        <w:t xml:space="preserve"> Zero application-level code footprints to maintain or patch. Full alignment with corporate InfoSec and integration design patterns. Complete insulation from downstream CRM changes.</w:t>
      </w:r>
    </w:p>
    <w:p w:rsidR="00000000" w:rsidDel="00000000" w:rsidP="00000000" w:rsidRDefault="00000000" w:rsidRPr="00000000" w14:paraId="00000049">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Negative/Risks:</w:t>
      </w:r>
      <w:r w:rsidDel="00000000" w:rsidR="00000000" w:rsidRPr="00000000">
        <w:rPr>
          <w:rFonts w:ascii="Google Sans" w:cs="Google Sans" w:eastAsia="Google Sans" w:hAnsi="Google Sans"/>
          <w:color w:val="1f1f1f"/>
          <w:rtl w:val="0"/>
        </w:rPr>
        <w:t xml:space="preserve"> Requires strict enforcement of </w:t>
      </w:r>
      <w:r w:rsidDel="00000000" w:rsidR="00000000" w:rsidRPr="00000000">
        <w:rPr>
          <w:rFonts w:ascii="Google Sans" w:cs="Google Sans" w:eastAsia="Google Sans" w:hAnsi="Google Sans"/>
          <w:b w:val="1"/>
          <w:bCs w:val="1"/>
          <w:color w:val="1f1f1f"/>
          <w:rtl w:val="0"/>
        </w:rPr>
        <w:t xml:space="preserve">idempotency</w:t>
      </w:r>
      <w:r w:rsidDel="00000000" w:rsidR="00000000" w:rsidRPr="00000000">
        <w:rPr>
          <w:rFonts w:ascii="Google Sans" w:cs="Google Sans" w:eastAsia="Google Sans" w:hAnsi="Google Sans"/>
          <w:color w:val="1f1f1f"/>
          <w:rtl w:val="0"/>
        </w:rPr>
        <w:t xml:space="preserve"> within the MuleSoft orchestration layer or Salesforce target logic, as network drops during acknowledgment phases will trigger duplicate webhook dispatches from Kafka Connect.</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Compliance Mapping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decision perfectly adheres to the FCB Architecture standard requiring all cross-perimeter cloud integrations to execute over encrypted outbound channels (TLS 1.3) and funnel strictly through certified API Gateway topology for centralized logging, security scanning, and transaction monitoring.</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Appendices</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MuleSoft Endpoint Target OpenAPI Specification (TBD)</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Kafka Connect JSON Declarative Configuration Spec (TBD)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Google Sans" w:cs="Google Sans" w:eastAsia="Google Sans" w:hAnsi="Google Sans"/>
          <w:i w:val="1"/>
          <w:iCs w:val="1"/>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