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ADR-042: Federated Anti-Corruption Layers (ACL) for Enterprise Data Integration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Accepted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Date:</w:t>
      </w:r>
      <w:r w:rsidDel="00000000" w:rsidR="00000000" w:rsidRPr="00000000">
        <w:rPr>
          <w:rFonts w:ascii="Google Sans" w:cs="Google Sans" w:eastAsia="Google Sans" w:hAnsi="Google Sans"/>
          <w:color w:val="1f1f1f"/>
          <w:rtl w:val="0"/>
        </w:rPr>
        <w:t xml:space="preserve"> April 8,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Domain:</w:t>
      </w:r>
      <w:r w:rsidDel="00000000" w:rsidR="00000000" w:rsidRPr="00000000">
        <w:rPr>
          <w:rFonts w:ascii="Google Sans" w:cs="Google Sans" w:eastAsia="Google Sans" w:hAnsi="Google Sans"/>
          <w:color w:val="1f1f1f"/>
          <w:rtl w:val="0"/>
        </w:rPr>
        <w:t xml:space="preserve"> Mosaic Servicing Platform &amp; Velocity Origination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Subject:</w:t>
      </w:r>
      <w:r w:rsidDel="00000000" w:rsidR="00000000" w:rsidRPr="00000000">
        <w:rPr>
          <w:rFonts w:ascii="Google Sans" w:cs="Google Sans" w:eastAsia="Google Sans" w:hAnsi="Google Sans"/>
          <w:color w:val="1f1f1f"/>
          <w:rtl w:val="0"/>
        </w:rPr>
        <w:t xml:space="preserve"> Event mapping and integration strategy for the Enterprise Data ODS.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Context and Problem Statement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Citizens Bank requires capability domains (Velocity and Mosaic) to publish business events to the Enterprise Data team for ingestion into the Enterprise ODS. The Data team requires these events to conform to a standardized, enterprise-wide Canonical JSON Schema.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need to establish an integration pattern that satisfies the Data team's schema requirements without tightly coupling application release cycles, leaking internal database schemas, or forcing capability teams to adopt enterprise reporting logic within their core business applications.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Decision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will adopt the </w:t>
      </w:r>
      <w:r w:rsidDel="00000000" w:rsidR="00000000" w:rsidRPr="00000000">
        <w:rPr>
          <w:rFonts w:ascii="Google Sans" w:cs="Google Sans" w:eastAsia="Google Sans" w:hAnsi="Google Sans"/>
          <w:b w:val="1"/>
          <w:bCs w:val="1"/>
          <w:color w:val="1f1f1f"/>
          <w:rtl w:val="0"/>
        </w:rPr>
        <w:t xml:space="preserve">Federated Anti-Corruption Layer (ACL)</w:t>
      </w:r>
      <w:r w:rsidDel="00000000" w:rsidR="00000000" w:rsidRPr="00000000">
        <w:rPr>
          <w:rFonts w:ascii="Google Sans" w:cs="Google Sans" w:eastAsia="Google Sans" w:hAnsi="Google Sans"/>
          <w:color w:val="1f1f1f"/>
          <w:rtl w:val="0"/>
        </w:rPr>
        <w:t xml:space="preserve"> pattern (Option 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Each capability domain (Velocity and Mosaic) will take ownership of its own integration pipeline. The domains will build, host, and maintain dedicated, standalone Translator microservices.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Rules: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Native Event Publishing:</w:t>
      </w:r>
      <w:r w:rsidDel="00000000" w:rsidR="00000000" w:rsidRPr="00000000">
        <w:rPr>
          <w:rFonts w:ascii="Google Sans" w:cs="Google Sans" w:eastAsia="Google Sans" w:hAnsi="Google Sans"/>
          <w:color w:val="1f1f1f"/>
          <w:rtl w:val="0"/>
        </w:rPr>
        <w:t xml:space="preserve"> Core applications (React/Spring Boot for Mosaic, Angular/.NET for Velocity) will publish "fat events" in their native data structures to an internal, domain-specific Kafka topic.</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Stateless Translation:</w:t>
      </w:r>
      <w:r w:rsidDel="00000000" w:rsidR="00000000" w:rsidRPr="00000000">
        <w:rPr>
          <w:rFonts w:ascii="Google Sans" w:cs="Google Sans" w:eastAsia="Google Sans" w:hAnsi="Google Sans"/>
          <w:color w:val="1f1f1f"/>
          <w:rtl w:val="0"/>
        </w:rPr>
        <w:t xml:space="preserve"> The dedicated Translator ACL microservice will consume the native event and perform strict in-memory JSON-to-JSON mapping to the Canonical Schema. The ACL is prohibited from making external API or database lookups.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Handoff via Proxy:</w:t>
      </w:r>
      <w:r w:rsidDel="00000000" w:rsidR="00000000" w:rsidRPr="00000000">
        <w:rPr>
          <w:rFonts w:ascii="Google Sans" w:cs="Google Sans" w:eastAsia="Google Sans" w:hAnsi="Google Sans"/>
          <w:color w:val="1f1f1f"/>
          <w:rtl w:val="0"/>
        </w:rPr>
        <w:t xml:space="preserve"> The Translator ACL will perform an HTTP POST of the Canonical JSON payload to the Data team's InteractionHub (Kafka REST Proxy).</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Sub-Domain Scaling:</w:t>
      </w:r>
      <w:r w:rsidDel="00000000" w:rsidR="00000000" w:rsidRPr="00000000">
        <w:rPr>
          <w:rFonts w:ascii="Google Sans" w:cs="Google Sans" w:eastAsia="Google Sans" w:hAnsi="Google Sans"/>
          <w:color w:val="1f1f1f"/>
          <w:rtl w:val="0"/>
        </w:rPr>
        <w:t xml:space="preserve"> As domains grow (e.g., Mosaic Personal vs. Mosaic Business), domains will scale by spinning up additional, dedicated ACL microservices rather than consolidating into a single domain monolith.</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Data Flow Diagram (Target Architecture)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Code snippet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flowchart LR</w:t>
        <w:br w:type="textWrapping"/>
        <w:t xml:space="preserve">    %% Target Architecture: Federated ACL with REST Proxy</w:t>
        <w:br w:type="textWrapping"/>
        <w:t xml:space="preserve">    </w:t>
        <w:br w:type="textWrapping"/>
        <w:t xml:space="preserve">    subgraph Velocity Domain [🟩 Velocity Bounded Context]</w:t>
        <w:br w:type="textWrapping"/>
        <w:t xml:space="preserve">        direction TB</w:t>
        <w:br w:type="textWrapping"/>
        <w:t xml:space="preserve">        V_App[Velocity Origination App &lt;br/&gt; .NET / Angular]</w:t>
        <w:br w:type="textWrapping"/>
        <w:t xml:space="preserve">        V_Topic[(Velocity Native &lt;br/&gt; Kafka Topic)]</w:t>
        <w:br w:type="textWrapping"/>
        <w:t xml:space="preserve">        V_ACL[[Velocity Translator ACL &lt;br/&gt; .NET Microservice]]</w:t>
        <w:br w:type="textWrapping"/>
        <w:t xml:space="preserve">        </w:t>
        <w:br w:type="textWrapping"/>
        <w:t xml:space="preserve">        V_App --&gt;|1. Publishes Fat Event| V_Topic</w:t>
        <w:br w:type="textWrapping"/>
        <w:t xml:space="preserve">        V_Topic --&gt;|2. Consumes Native Event| V_ACL</w:t>
        <w:br w:type="textWrapping"/>
        <w:t xml:space="preserve">    end</w:t>
        <w:br w:type="textWrapping"/>
        <w:br w:type="textWrapping"/>
        <w:t xml:space="preserve">    subgraph Mosaic Domain [🟦 Mosaic Bounded Context]</w:t>
        <w:br w:type="textWrapping"/>
        <w:t xml:space="preserve">        direction TB</w:t>
        <w:br w:type="textWrapping"/>
        <w:t xml:space="preserve">        M_App[Mosaic Servicing App &lt;br/&gt; Spring Boot / Flowable]</w:t>
        <w:br w:type="textWrapping"/>
        <w:t xml:space="preserve">        M_Topic[(Mosaic Native &lt;br/&gt; Kafka Topic)]</w:t>
        <w:br w:type="textWrapping"/>
        <w:t xml:space="preserve">        M_ACL[[Mosaic Translator ACL &lt;br/&gt; Spring Boot Microservice]]</w:t>
        <w:br w:type="textWrapping"/>
        <w:t xml:space="preserve">        </w:t>
        <w:br w:type="textWrapping"/>
        <w:t xml:space="preserve">        M_App --&gt;|1. Publishes Fat Event| M_Topic</w:t>
        <w:br w:type="textWrapping"/>
        <w:t xml:space="preserve">        M_Topic --&gt;|2. Consumes Native Event| M_ACL</w:t>
        <w:br w:type="textWrapping"/>
        <w:t xml:space="preserve">    end</w:t>
        <w:br w:type="textWrapping"/>
        <w:br w:type="textWrapping"/>
        <w:t xml:space="preserve">    subgraph Data Domain [🟧 Enterprise Data Domain]</w:t>
        <w:br w:type="textWrapping"/>
        <w:t xml:space="preserve">        direction TB</w:t>
        <w:br w:type="textWrapping"/>
        <w:t xml:space="preserve">        HubProxy[InteractionHub &lt;br/&gt; Kafka REST Proxy]</w:t>
        <w:br w:type="textWrapping"/>
        <w:t xml:space="preserve">        EntTopic[(Enterprise Canonical &lt;br/&gt; Kafka Topic)]</w:t>
        <w:br w:type="textWrapping"/>
        <w:t xml:space="preserve">        ODS[(Enterprise ODS)]</w:t>
        <w:br w:type="textWrapping"/>
        <w:t xml:space="preserve">        </w:t>
        <w:br w:type="textWrapping"/>
        <w:t xml:space="preserve">        HubProxy --&gt;|4. Produces Record to| EntTopic</w:t>
        <w:br w:type="textWrapping"/>
        <w:t xml:space="preserve">        EntTopic --&gt;|5. Ingests via Sink Connector| ODS</w:t>
        <w:br w:type="textWrapping"/>
        <w:t xml:space="preserve">    end</w:t>
        <w:br w:type="textWrapping"/>
        <w:br w:type="textWrapping"/>
        <w:t xml:space="preserve">    %% Cross-Domain Translation Flows</w:t>
        <w:br w:type="textWrapping"/>
        <w:t xml:space="preserve">    V_ACL --&gt;|3. HTTP POST Canonical JSON| HubProxy</w:t>
        <w:br w:type="textWrapping"/>
        <w:t xml:space="preserve">    M_ACL --&gt;|3. HTTP POST Canonical JSON| HubProxy</w:t>
        <w:br w:type="textWrapping"/>
        <w:br w:type="textWrapping"/>
        <w:t xml:space="preserve">    %% Styling to match the ownership matrix</w:t>
        <w:br w:type="textWrapping"/>
        <w:t xml:space="preserve">    classDef velocity fill:#e6ffe6,stroke:#009933,stroke-width:2px,color:#000;</w:t>
        <w:br w:type="textWrapping"/>
        <w:t xml:space="preserve">    classDef mosaic fill:#e6f2ff,stroke:#0066cc,stroke-width:2px,color:#000;</w:t>
        <w:br w:type="textWrapping"/>
        <w:t xml:space="preserve">    classDef data fill:#fff2e6,stroke:#cc6600,stroke-width:2px,color:#000;</w:t>
        <w:br w:type="textWrapping"/>
        <w:t xml:space="preserve">    </w:t>
        <w:br w:type="textWrapping"/>
        <w:t xml:space="preserve">    class V_App,V_Topic,V_ACL velocity;</w:t>
        <w:br w:type="textWrapping"/>
        <w:t xml:space="preserve">    class M_App,M_Topic,M_ACL mosaic;</w:t>
        <w:br w:type="textWrapping"/>
        <w:t xml:space="preserve">    class HubProxy,EntTopic,ODS data;</w:t>
        <w:br w:type="textWrapping"/>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Consequences (Trade-offs)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Positive Impacts (Pros)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Strict Domain Isolation:</w:t>
      </w:r>
      <w:r w:rsidDel="00000000" w:rsidR="00000000" w:rsidRPr="00000000">
        <w:rPr>
          <w:rFonts w:ascii="Google Sans" w:cs="Google Sans" w:eastAsia="Google Sans" w:hAnsi="Google Sans"/>
          <w:color w:val="1f1f1f"/>
          <w:rtl w:val="0"/>
        </w:rPr>
        <w:t xml:space="preserve"> Mosaic and Velocity release cycles are completely decoupled.</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Zero Operational Cross-Contamination:</w:t>
      </w:r>
      <w:r w:rsidDel="00000000" w:rsidR="00000000" w:rsidRPr="00000000">
        <w:rPr>
          <w:rFonts w:ascii="Google Sans" w:cs="Google Sans" w:eastAsia="Google Sans" w:hAnsi="Google Sans"/>
          <w:color w:val="1f1f1f"/>
          <w:rtl w:val="0"/>
        </w:rPr>
        <w:t xml:space="preserve"> If the Velocity translator experiences downtime, Mosaic servicing events continue to flow to the ODS uninterrupted.</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Temporal Decoupling:</w:t>
      </w:r>
      <w:r w:rsidDel="00000000" w:rsidR="00000000" w:rsidRPr="00000000">
        <w:rPr>
          <w:rFonts w:ascii="Google Sans" w:cs="Google Sans" w:eastAsia="Google Sans" w:hAnsi="Google Sans"/>
          <w:color w:val="1f1f1f"/>
          <w:rtl w:val="0"/>
        </w:rPr>
        <w:t xml:space="preserve"> By utilizing the InteractionHub (Kafka REST Proxy), the domain capability teams are insulated from ODS database locks or maintenance windows.</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Protects Internal Architecture:</w:t>
      </w:r>
      <w:r w:rsidDel="00000000" w:rsidR="00000000" w:rsidRPr="00000000">
        <w:rPr>
          <w:rFonts w:ascii="Google Sans" w:cs="Google Sans" w:eastAsia="Google Sans" w:hAnsi="Google Sans"/>
          <w:color w:val="1f1f1f"/>
          <w:rtl w:val="0"/>
        </w:rPr>
        <w:t xml:space="preserve"> Domain database schemas are protected from becoming enterprise API contracts.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Negative Impacts (Cons)</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Capacity Bottleneck:</w:t>
      </w:r>
      <w:r w:rsidDel="00000000" w:rsidR="00000000" w:rsidRPr="00000000">
        <w:rPr>
          <w:rFonts w:ascii="Google Sans" w:cs="Google Sans" w:eastAsia="Google Sans" w:hAnsi="Google Sans"/>
          <w:color w:val="1f1f1f"/>
          <w:rtl w:val="0"/>
        </w:rPr>
        <w:t xml:space="preserve"> Requires simultaneous engineering capacity from all domain teams to build infrastructure, potentially pulling resources from core banking features.</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Duplicated Infrastructure:</w:t>
      </w:r>
      <w:r w:rsidDel="00000000" w:rsidR="00000000" w:rsidRPr="00000000">
        <w:rPr>
          <w:rFonts w:ascii="Google Sans" w:cs="Google Sans" w:eastAsia="Google Sans" w:hAnsi="Google Sans"/>
          <w:color w:val="1f1f1f"/>
          <w:rtl w:val="0"/>
        </w:rPr>
        <w:t xml:space="preserve"> Multiplies compute, hosting, and pipeline costs across the bank.</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Maintenance Drift:</w:t>
      </w:r>
      <w:r w:rsidDel="00000000" w:rsidR="00000000" w:rsidRPr="00000000">
        <w:rPr>
          <w:rFonts w:ascii="Google Sans" w:cs="Google Sans" w:eastAsia="Google Sans" w:hAnsi="Google Sans"/>
          <w:color w:val="1f1f1f"/>
          <w:rtl w:val="0"/>
        </w:rPr>
        <w:t xml:space="preserve"> Updates to the Canonical schema require synchronized code deployments across disparate tech stacks (Java vs. .NET).</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Fragmented Observability:</w:t>
      </w:r>
      <w:r w:rsidDel="00000000" w:rsidR="00000000" w:rsidRPr="00000000">
        <w:rPr>
          <w:rFonts w:ascii="Google Sans" w:cs="Google Sans" w:eastAsia="Google Sans" w:hAnsi="Google Sans"/>
          <w:color w:val="1f1f1f"/>
          <w:rtl w:val="0"/>
        </w:rPr>
        <w:t xml:space="preserve"> Error handling and DLQ management must be built from scratch by each domain team.</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Alternatives Considered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review board evaluated three distinct integration patterns before selecting the Federated ACL.</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Architecture Summary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 Ownership Breakdown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Data-Centric (Native Kafka to Flink)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Applications explicitly publish native domain events to Kafka. The Data team consumes native topics and transforms them into Canonical using streaming infra (Flink).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Publish Mosaic native events to Kafka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Publish Velocity native events to Kafka</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Build/maintain Flink mapping logic</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Maintain Canonical Schema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Explicit Event Contracts:</w:t>
            </w:r>
            <w:r w:rsidDel="00000000" w:rsidR="00000000" w:rsidRPr="00000000">
              <w:rPr>
                <w:rFonts w:ascii="Google Sans" w:cs="Google Sans" w:eastAsia="Google Sans" w:hAnsi="Google Sans"/>
                <w:color w:val="1f1f1f"/>
                <w:rtl w:val="0"/>
              </w:rPr>
              <w:t xml:space="preserve"> Bypasses CDC, protecting internal DB schemas.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Total App Autonomy:</w:t>
            </w:r>
            <w:r w:rsidDel="00000000" w:rsidR="00000000" w:rsidRPr="00000000">
              <w:rPr>
                <w:rFonts w:ascii="Google Sans" w:cs="Google Sans" w:eastAsia="Google Sans" w:hAnsi="Google Sans"/>
                <w:color w:val="1f1f1f"/>
                <w:rtl w:val="0"/>
              </w:rPr>
              <w:t xml:space="preserve"> Zero mapping logic required from domain teams.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Platform Bottleneck:</w:t>
            </w:r>
            <w:r w:rsidDel="00000000" w:rsidR="00000000" w:rsidRPr="00000000">
              <w:rPr>
                <w:rFonts w:ascii="Google Sans" w:cs="Google Sans" w:eastAsia="Google Sans" w:hAnsi="Google Sans"/>
                <w:color w:val="1f1f1f"/>
                <w:rtl w:val="0"/>
              </w:rPr>
              <w:t xml:space="preserve"> Data team becomes the sole bottleneck for enterprise mapping.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Domain Knowledge Gap:</w:t>
            </w:r>
            <w:r w:rsidDel="00000000" w:rsidR="00000000" w:rsidRPr="00000000">
              <w:rPr>
                <w:rFonts w:ascii="Google Sans" w:cs="Google Sans" w:eastAsia="Google Sans" w:hAnsi="Google Sans"/>
                <w:color w:val="1f1f1f"/>
                <w:rtl w:val="0"/>
              </w:rPr>
              <w:t xml:space="preserve"> Data engineers lack nuanced business context, leading to mapping errors.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Federated ACL (Selected)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Each domain team builds, hosts, and maintains their own dedicated Translator microservice to map and publish 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Provide Canonical JSON Schema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Build/host Mosaic Translator microservice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Build/host Velocity Translator microservice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Delivers Exact Payload:</w:t>
            </w:r>
            <w:r w:rsidDel="00000000" w:rsidR="00000000" w:rsidRPr="00000000">
              <w:rPr>
                <w:rFonts w:ascii="Google Sans" w:cs="Google Sans" w:eastAsia="Google Sans" w:hAnsi="Google Sans"/>
                <w:color w:val="1f1f1f"/>
                <w:rtl w:val="0"/>
              </w:rPr>
              <w:t xml:space="preserve"> Gives the Data team the exact body requested.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Strict Domain Isolation:</w:t>
            </w:r>
            <w:r w:rsidDel="00000000" w:rsidR="00000000" w:rsidRPr="00000000">
              <w:rPr>
                <w:rFonts w:ascii="Google Sans" w:cs="Google Sans" w:eastAsia="Google Sans" w:hAnsi="Google Sans"/>
                <w:color w:val="1f1f1f"/>
                <w:rtl w:val="0"/>
              </w:rPr>
              <w:t xml:space="preserve"> No shared dependencies.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Duplicated Infra &amp; Cost:</w:t>
            </w:r>
            <w:r w:rsidDel="00000000" w:rsidR="00000000" w:rsidRPr="00000000">
              <w:rPr>
                <w:rFonts w:ascii="Google Sans" w:cs="Google Sans" w:eastAsia="Google Sans" w:hAnsi="Google Sans"/>
                <w:color w:val="1f1f1f"/>
                <w:rtl w:val="0"/>
              </w:rPr>
              <w:t xml:space="preserve"> Multiplies compute and pipeline costs across the bank.</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Maintenance Drift:</w:t>
            </w:r>
            <w:r w:rsidDel="00000000" w:rsidR="00000000" w:rsidRPr="00000000">
              <w:rPr>
                <w:rFonts w:ascii="Google Sans" w:cs="Google Sans" w:eastAsia="Google Sans" w:hAnsi="Google Sans"/>
                <w:color w:val="1f1f1f"/>
                <w:rtl w:val="0"/>
              </w:rPr>
              <w:t xml:space="preserve"> Requires synchronized code deployments.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Translation-as-a-Service (TaaS)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central stateless engine outside the core platforms. Domains provide declarative mapping files (e.g., JSONata) via an automated GitOps pipeline.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Provide Canonical Schema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Build/host centralized TaaS Engine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Define Mosaic mapping rules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Define Velocity mapping rules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Maximum Infra Efficiency (DRY):</w:t>
            </w:r>
            <w:r w:rsidDel="00000000" w:rsidR="00000000" w:rsidRPr="00000000">
              <w:rPr>
                <w:rFonts w:ascii="Google Sans" w:cs="Google Sans" w:eastAsia="Google Sans" w:hAnsi="Google Sans"/>
                <w:color w:val="1f1f1f"/>
                <w:rtl w:val="0"/>
              </w:rPr>
              <w:t xml:space="preserve"> Eliminates duplicated hosting.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Low Developer Friction:</w:t>
            </w:r>
            <w:r w:rsidDel="00000000" w:rsidR="00000000" w:rsidRPr="00000000">
              <w:rPr>
                <w:rFonts w:ascii="Google Sans" w:cs="Google Sans" w:eastAsia="Google Sans" w:hAnsi="Google Sans"/>
                <w:color w:val="1f1f1f"/>
                <w:rtl w:val="0"/>
              </w:rPr>
              <w:t xml:space="preserve"> Engineers only write configuration files.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ODS Delivery Risk:</w:t>
            </w:r>
            <w:r w:rsidDel="00000000" w:rsidR="00000000" w:rsidRPr="00000000">
              <w:rPr>
                <w:rFonts w:ascii="Google Sans" w:cs="Google Sans" w:eastAsia="Google Sans" w:hAnsi="Google Sans"/>
                <w:color w:val="1f1f1f"/>
                <w:rtl w:val="0"/>
              </w:rPr>
              <w:t xml:space="preserve"> Creates a single point of failure for enterprise data delivery.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High CI/CD Maturity Required:</w:t>
            </w:r>
            <w:r w:rsidDel="00000000" w:rsidR="00000000" w:rsidRPr="00000000">
              <w:rPr>
                <w:rFonts w:ascii="Google Sans" w:cs="Google Sans" w:eastAsia="Google Sans" w:hAnsi="Google Sans"/>
                <w:color w:val="1f1f1f"/>
                <w:rtl w:val="0"/>
              </w:rPr>
              <w:t xml:space="preserve"> Automated validation gates are complex to build initially.</w:t>
            </w:r>
          </w:p>
        </w:tc>
      </w:tr>
    </w:tbl>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Appendix: Rejected Alternative Architecture (Option 3 - TaaS)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Translation-as-a-Service was considered for its infrastructure efficiency but ultimately rejected in favor of the strict operational isolation provided by Option 2.</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Code snippet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flowchart LR</w:t>
        <w:br w:type="textWrapping"/>
        <w:t xml:space="preserve">    %% Data Flow Diagram for Option 3: Translation-as-a-Service (TaaS)</w:t>
        <w:br w:type="textWrapping"/>
        <w:t xml:space="preserve">    </w:t>
        <w:br w:type="textWrapping"/>
        <w:t xml:space="preserve">    subgraph Velocity Domain [🟩 Velocity Bounded Context]</w:t>
        <w:br w:type="textWrapping"/>
        <w:t xml:space="preserve">        direction TB</w:t>
        <w:br w:type="textWrapping"/>
        <w:t xml:space="preserve">        V_App[Velocity Origination App]</w:t>
        <w:br w:type="textWrapping"/>
        <w:t xml:space="preserve">        V_Topic[(Velocity Native Topic)]</w:t>
        <w:br w:type="textWrapping"/>
        <w:t xml:space="preserve">        V_Repo[Velocity Git Repo &lt;br/&gt; mapping.jsonata]</w:t>
        <w:br w:type="textWrapping"/>
        <w:t xml:space="preserve">        </w:t>
        <w:br w:type="textWrapping"/>
        <w:t xml:space="preserve">        V_App --&gt;|1. Publishes Native Event| V_Topic</w:t>
        <w:br w:type="textWrapping"/>
        <w:t xml:space="preserve">    end</w:t>
        <w:br w:type="textWrapping"/>
        <w:br w:type="textWrapping"/>
        <w:t xml:space="preserve">    subgraph Mosaic Domain [🟦 Mosaic Bounded Context]</w:t>
        <w:br w:type="textWrapping"/>
        <w:t xml:space="preserve">        direction TB</w:t>
        <w:br w:type="textWrapping"/>
        <w:t xml:space="preserve">        M_App[Mosaic Servicing App]</w:t>
        <w:br w:type="textWrapping"/>
        <w:t xml:space="preserve">        M_Topic[(Mosaic Native Topic)]</w:t>
        <w:br w:type="textWrapping"/>
        <w:t xml:space="preserve">        M_Repo[Mosaic Git Repo &lt;br/&gt; mapping.jsonata]</w:t>
        <w:br w:type="textWrapping"/>
        <w:t xml:space="preserve">        </w:t>
        <w:br w:type="textWrapping"/>
        <w:t xml:space="preserve">        M_App --&gt;|1. Publishes Native Event| M_Topic</w:t>
        <w:br w:type="textWrapping"/>
        <w:t xml:space="preserve">    end</w:t>
        <w:br w:type="textWrapping"/>
        <w:br w:type="textWrapping"/>
        <w:t xml:space="preserve">    subgraph TaaS Platform [⚙️ Stand-Alone TaaS Platform]</w:t>
        <w:br w:type="textWrapping"/>
        <w:t xml:space="preserve">        direction TB</w:t>
        <w:br w:type="textWrapping"/>
        <w:t xml:space="preserve">        GitOps[CI/CD GitOps Pipeline &lt;br/&gt; Validation &amp; Deployment]</w:t>
        <w:br w:type="textWrapping"/>
        <w:t xml:space="preserve">        Engine[[Centralized Translation Engine &lt;br/&gt; Stateless]]</w:t>
        <w:br w:type="textWrapping"/>
        <w:t xml:space="preserve">        </w:t>
        <w:br w:type="textWrapping"/>
        <w:t xml:space="preserve">        V_Repo -.-&gt;|2. Commits Rules| GitOps</w:t>
        <w:br w:type="textWrapping"/>
        <w:t xml:space="preserve">        M_Repo -.-&gt;|2. Commits Rules| GitOps</w:t>
        <w:br w:type="textWrapping"/>
        <w:t xml:space="preserve">        GitOps -.-&gt;|3. Loads Validated Config| Engine</w:t>
        <w:br w:type="textWrapping"/>
        <w:t xml:space="preserve">        </w:t>
        <w:br w:type="textWrapping"/>
        <w:t xml:space="preserve">        V_Topic --&gt;|4. Consumes Native Event| Engine</w:t>
        <w:br w:type="textWrapping"/>
        <w:t xml:space="preserve">        M_Topic --&gt;|4. Consumes Native Event| Engine</w:t>
        <w:br w:type="textWrapping"/>
        <w:t xml:space="preserve">    end</w:t>
        <w:br w:type="textWrapping"/>
        <w:br w:type="textWrapping"/>
        <w:t xml:space="preserve">    subgraph Data Domain [🟧 Enterprise Data Domain]</w:t>
        <w:br w:type="textWrapping"/>
        <w:t xml:space="preserve">        direction TB</w:t>
        <w:br w:type="textWrapping"/>
        <w:t xml:space="preserve">        HubProxy[InteractionHub &lt;br/&gt; Kafka REST Proxy]</w:t>
        <w:br w:type="textWrapping"/>
        <w:t xml:space="preserve">        EntTopic[(Enterprise Canonical Topic)]</w:t>
        <w:br w:type="textWrapping"/>
        <w:t xml:space="preserve">        ODS[(Enterprise ODS)]</w:t>
        <w:br w:type="textWrapping"/>
        <w:t xml:space="preserve">        </w:t>
        <w:br w:type="textWrapping"/>
        <w:t xml:space="preserve">        HubProxy --&gt;|6. Produces Record to| EntTopic</w:t>
        <w:br w:type="textWrapping"/>
        <w:t xml:space="preserve">        EntTopic --&gt;|7. Ingests via Sink Connector| ODS</w:t>
        <w:br w:type="textWrapping"/>
        <w:t xml:space="preserve">    end</w:t>
        <w:br w:type="textWrapping"/>
        <w:br w:type="textWrapping"/>
        <w:t xml:space="preserve">    %% Cross-Domain Translation Flows</w:t>
        <w:br w:type="textWrapping"/>
        <w:t xml:space="preserve">    Engine --&gt;|5. HTTP POST Canonical JSON| HubProxy</w:t>
        <w:br w:type="textWrapping"/>
        <w:br w:type="textWrapping"/>
        <w:t xml:space="preserve">    %% Styling </w:t>
        <w:br w:type="textWrapping"/>
        <w:t xml:space="preserve">    classDef velocity fill:#e6ffe6,stroke:#009933,stroke-width:2px,color:#000;</w:t>
        <w:br w:type="textWrapping"/>
        <w:t xml:space="preserve">    classDef mosaic fill:#e6f2ff,stroke:#0066cc,stroke-width:2px,color:#000;</w:t>
        <w:br w:type="textWrapping"/>
        <w:t xml:space="preserve">    classDef taas fill:#f2e6ff,stroke:#6600cc,stroke-width:2px,color:#000;</w:t>
        <w:br w:type="textWrapping"/>
        <w:t xml:space="preserve">    classDef data fill:#fff2e6,stroke:#cc6600,stroke-width:2px,color:#000;</w:t>
        <w:br w:type="textWrapping"/>
        <w:t xml:space="preserve">    </w:t>
        <w:br w:type="textWrapping"/>
        <w:t xml:space="preserve">    class V_App,V_Topic,V_Repo velocity;</w:t>
        <w:br w:type="textWrapping"/>
        <w:t xml:space="preserve">    class M_App,M_Topic,M_Repo mosaic;</w:t>
        <w:br w:type="textWrapping"/>
        <w:t xml:space="preserve">    class GitOps,Engine taas;</w:t>
        <w:br w:type="textWrapping"/>
        <w:t xml:space="preserve">    class HubProxy,EntTopic,ODS data;</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