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Times" w:hAnsi="Times" w:cs="Times"/>
          <w:sz w:val="24"/>
          <w:sz-cs w:val="24"/>
          <w:color w:val="1B1C1D"/>
        </w:rPr>
        <w:t xml:space="preserve">RAA Integration: Digital Solution Design Document</w:t>
      </w:r>
    </w:p>
    <w:p>
      <w:pPr>
        <w:spacing w:after="120"/>
      </w:pPr>
      <w:r>
        <w:rPr>
          <w:rFonts w:ascii="Times" w:hAnsi="Times" w:cs="Times"/>
          <w:sz w:val="24"/>
          <w:sz-cs w:val="24"/>
          <w:color w:val="1B1C1D"/>
        </w:rPr>
        <w:t xml:space="preserve">Executive Summary</w:t>
      </w:r>
    </w:p>
    <w:p>
      <w:pPr>
        <w:spacing w:after="240"/>
      </w:pPr>
      <w:r>
        <w:rPr>
          <w:rFonts w:ascii="Times" w:hAnsi="Times" w:cs="Times"/>
          <w:sz w:val="24"/>
          <w:sz-cs w:val="24"/>
          <w:color w:val="1B1C1D"/>
        </w:rPr>
        <w:t xml:space="preserve">This document outlines the technical solution approach for integrating the Bank's Online and Mobile Banking applications with the MSS RAA Platform. The core objective is to enable a seamless, secure, and user-friendly experience for customers to open a RAA account. The solution leverages a modern, API-first architecture, incorporating a Backend for Frontend (BFF) layer to orchestrate complex business logic, dedicated microservices for customer data management, and a robust CIAM (Customer Identity and Access Management) solution for authentication and security.</w:t>
      </w:r>
    </w:p>
    <w:p>
      <w:pPr>
        <w:spacing w:after="120"/>
      </w:pPr>
      <w:r>
        <w:rPr>
          <w:rFonts w:ascii="Times" w:hAnsi="Times" w:cs="Times"/>
          <w:sz w:val="24"/>
          <w:sz-cs w:val="24"/>
          <w:color w:val="1B1C1D"/>
        </w:rPr>
        <w:t xml:space="preserve">Functional Requirements</w:t>
      </w:r>
    </w:p>
    <w:p>
      <w:pPr>
        <w:spacing w:after="120"/>
      </w:pPr>
      <w:r>
        <w:rPr>
          <w:rFonts w:ascii="Times" w:hAnsi="Times" w:cs="Times"/>
          <w:sz w:val="24"/>
          <w:sz-cs w:val="24"/>
          <w:color w:val="1B1C1D"/>
        </w:rPr>
        <w:t xml:space="preserve">The following section details the specific functional requirements that must be met to successfully implement the RAA integration.</w:t>
      </w:r>
    </w:p>
    <w:p>
      <w:pPr>
        <w:ind w:left="720"/>
      </w:pPr>
      <w:r>
        <w:rPr>
          <w:rFonts w:ascii="Times" w:hAnsi="Times" w:cs="Times"/>
          <w:sz w:val="24"/>
          <w:sz-cs w:val="24"/>
          <w:b/>
          <w:color w:val="1B1C1D"/>
        </w:rPr>
        <w:t xml:space="preserve"/>
        <w:tab/>
        <w:t xml:space="preserve">•</w:t>
        <w:tab/>
        <w:t xml:space="preserve">User Authentication &amp; SSO:</w:t>
      </w:r>
      <w:r>
        <w:rPr>
          <w:rFonts w:ascii="Times" w:hAnsi="Times" w:cs="Times"/>
          <w:sz w:val="24"/>
          <w:sz-cs w:val="24"/>
          <w:color w:val="1B1C1D"/>
        </w:rPr>
        <w:t xml:space="preserve"> The solution must support user authentication via CIAM. Upon successful login, the Online/Mobile Banking app must seamlessly launch the RAA Onboarding UI in a new browser tab.</w:t>
      </w:r>
    </w:p>
    <w:p>
      <w:pPr>
        <w:ind w:left="720"/>
      </w:pPr>
      <w:r>
        <w:rPr>
          <w:rFonts w:ascii="Times" w:hAnsi="Times" w:cs="Times"/>
          <w:sz w:val="24"/>
          <w:sz-cs w:val="24"/>
          <w:b/>
          <w:color w:val="1B1C1D"/>
        </w:rPr>
        <w:t xml:space="preserve"/>
        <w:tab/>
        <w:t xml:space="preserve">•</w:t>
        <w:tab/>
        <w:t xml:space="preserve">Customer Profile Retrieval:</w:t>
      </w:r>
      <w:r>
        <w:rPr>
          <w:rFonts w:ascii="Times" w:hAnsi="Times" w:cs="Times"/>
          <w:sz w:val="24"/>
          <w:sz-cs w:val="24"/>
          <w:color w:val="1B1C1D"/>
        </w:rPr>
        <w:t xml:space="preserve"> The RAA Onboarding UI must retrieve the customer’s profile information (demographics, contact, employment) for display and verification.</w:t>
      </w:r>
    </w:p>
    <w:p>
      <w:pPr>
        <w:ind w:left="720"/>
      </w:pPr>
      <w:r>
        <w:rPr>
          <w:rFonts w:ascii="Times" w:hAnsi="Times" w:cs="Times"/>
          <w:sz w:val="24"/>
          <w:sz-cs w:val="24"/>
          <w:b/>
          <w:color w:val="1B1C1D"/>
        </w:rPr>
        <w:t xml:space="preserve"/>
        <w:tab/>
        <w:t xml:space="preserve">•</w:t>
        <w:tab/>
        <w:t xml:space="preserve">Step-Up Authentication (MFA):</w:t>
      </w:r>
      <w:r>
        <w:rPr>
          <w:rFonts w:ascii="Times" w:hAnsi="Times" w:cs="Times"/>
          <w:sz w:val="24"/>
          <w:sz-cs w:val="24"/>
          <w:color w:val="1B1C1D"/>
        </w:rPr>
        <w:t xml:space="preserve"> The solution must initiate a step-up authentication process via CIAM when a customer attempts to update sensitive profile information. This process includes generating an OTP and verifying it.</w:t>
      </w:r>
    </w:p>
    <w:p>
      <w:pPr>
        <w:ind w:left="720"/>
      </w:pPr>
      <w:r>
        <w:rPr>
          <w:rFonts w:ascii="Times" w:hAnsi="Times" w:cs="Times"/>
          <w:sz w:val="24"/>
          <w:sz-cs w:val="24"/>
          <w:b/>
          <w:color w:val="1B1C1D"/>
        </w:rPr>
        <w:t xml:space="preserve"/>
        <w:tab/>
        <w:t xml:space="preserve">•</w:t>
        <w:tab/>
        <w:t xml:space="preserve">Customer Data Updates:</w:t>
      </w:r>
      <w:r>
        <w:rPr>
          <w:rFonts w:ascii="Times" w:hAnsi="Times" w:cs="Times"/>
          <w:sz w:val="24"/>
          <w:sz-cs w:val="24"/>
          <w:color w:val="1B1C1D"/>
        </w:rPr>
        <w:t xml:space="preserve"> The solution must provide functionality for customers to update their phone number, email address, physical address, and employment information. Each update must be handled by a dedicated API call to the Customer Profile Service.</w:t>
      </w:r>
    </w:p>
    <w:p>
      <w:pPr>
        <w:ind w:left="720"/>
      </w:pPr>
      <w:r>
        <w:rPr>
          <w:rFonts w:ascii="Times" w:hAnsi="Times" w:cs="Times"/>
          <w:sz w:val="24"/>
          <w:sz-cs w:val="24"/>
          <w:b/>
          <w:color w:val="1B1C1D"/>
        </w:rPr>
        <w:t xml:space="preserve"/>
        <w:tab/>
        <w:t xml:space="preserve">•</w:t>
        <w:tab/>
        <w:t xml:space="preserve">Data Validation:</w:t>
      </w:r>
      <w:r>
        <w:rPr>
          <w:rFonts w:ascii="Times" w:hAnsi="Times" w:cs="Times"/>
          <w:sz w:val="24"/>
          <w:sz-cs w:val="24"/>
          <w:color w:val="1B1C1D"/>
        </w:rPr>
        <w:t xml:space="preserve"> The RAA Onboarding UI must display a real-time validation of customer information fetched from the core banking systems.</w:t>
      </w:r>
    </w:p>
    <w:p>
      <w:pPr>
        <w:ind w:left="720"/>
      </w:pPr>
      <w:r>
        <w:rPr>
          <w:rFonts w:ascii="Times" w:hAnsi="Times" w:cs="Times"/>
          <w:sz w:val="24"/>
          <w:sz-cs w:val="24"/>
          <w:b/>
          <w:color w:val="1B1C1D"/>
        </w:rPr>
        <w:t xml:space="preserve"/>
        <w:tab/>
        <w:t xml:space="preserve">•</w:t>
        <w:tab/>
        <w:t xml:space="preserve">SSO to MSS:</w:t>
      </w:r>
      <w:r>
        <w:rPr>
          <w:rFonts w:ascii="Times" w:hAnsi="Times" w:cs="Times"/>
          <w:sz w:val="24"/>
          <w:sz-cs w:val="24"/>
          <w:color w:val="1B1C1D"/>
        </w:rPr>
        <w:t xml:space="preserve"> The RAA Onboarding UI must successfully perform Single Sign-On to the MSS platform, passing a valid identity token to complete the handoff.</w:t>
      </w:r>
    </w:p>
    <w:p>
      <w:pPr>
        <w:ind w:left="720"/>
      </w:pPr>
      <w:r>
        <w:rPr>
          <w:rFonts w:ascii="Times" w:hAnsi="Times" w:cs="Times"/>
          <w:sz w:val="24"/>
          <w:sz-cs w:val="24"/>
          <w:b/>
          <w:color w:val="1B1C1D"/>
        </w:rPr>
        <w:t xml:space="preserve"/>
        <w:tab/>
        <w:t xml:space="preserve">•</w:t>
        <w:tab/>
        <w:t xml:space="preserve">MSS API Consumption:</w:t>
      </w:r>
      <w:r>
        <w:rPr>
          <w:rFonts w:ascii="Times" w:hAnsi="Times" w:cs="Times"/>
          <w:sz w:val="24"/>
          <w:sz-cs w:val="24"/>
          <w:color w:val="1B1C1D"/>
        </w:rPr>
        <w:t xml:space="preserve"> The MSS platform must successfully call the bank's APIs (via the Bank API Gateway) to fetch pre-populated customer data and a list of accounts for funding.</w:t>
      </w:r>
    </w:p>
    <w:p>
      <w:pPr>
        <w:ind w:left="720"/>
      </w:pPr>
      <w:r>
        <w:rPr>
          <w:rFonts w:ascii="Times" w:hAnsi="Times" w:cs="Times"/>
          <w:sz w:val="24"/>
          <w:sz-cs w:val="24"/>
          <w:b/>
          <w:color w:val="1B1C1D"/>
        </w:rPr>
        <w:t xml:space="preserve"/>
        <w:tab/>
        <w:t xml:space="preserve">•</w:t>
        <w:tab/>
        <w:t xml:space="preserve">Account Creation:</w:t>
      </w:r>
      <w:r>
        <w:rPr>
          <w:rFonts w:ascii="Times" w:hAnsi="Times" w:cs="Times"/>
          <w:sz w:val="24"/>
          <w:sz-cs w:val="24"/>
          <w:color w:val="1B1C1D"/>
        </w:rPr>
        <w:t xml:space="preserve"> Upon completion of the account opening workflow on MSS, the platform must successfully initiate a call to the </w:t>
      </w:r>
      <w:r>
        <w:rPr>
          <w:rFonts w:ascii="Times" w:hAnsi="Times" w:cs="Times"/>
          <w:sz w:val="24"/>
          <w:sz-cs w:val="24"/>
          <w:b/>
          <w:color w:val="1B1C1D"/>
        </w:rPr>
        <w:t xml:space="preserve">Pershing Platform</w:t>
      </w:r>
      <w:r>
        <w:rPr>
          <w:rFonts w:ascii="Times" w:hAnsi="Times" w:cs="Times"/>
          <w:sz w:val="24"/>
          <w:sz-cs w:val="24"/>
          <w:color w:val="1B1C1D"/>
        </w:rPr>
        <w:t xml:space="preserve"> to create and store the new RAA account.</w:t>
      </w:r>
    </w:p>
    <w:p>
      <w:pPr>
        <w:ind w:left="720"/>
        <w:spacing w:after="120"/>
      </w:pPr>
      <w:r>
        <w:rPr>
          <w:rFonts w:ascii="Times" w:hAnsi="Times" w:cs="Times"/>
          <w:sz w:val="24"/>
          <w:sz-cs w:val="24"/>
          <w:b/>
          <w:color w:val="1B1C1D"/>
        </w:rPr>
        <w:t xml:space="preserve"/>
        <w:tab/>
        <w:t xml:space="preserve">•</w:t>
        <w:tab/>
        <w:t xml:space="preserve">Error Handling:</w:t>
      </w:r>
      <w:r>
        <w:rPr>
          <w:rFonts w:ascii="Times" w:hAnsi="Times" w:cs="Times"/>
          <w:sz w:val="24"/>
          <w:sz-cs w:val="24"/>
          <w:color w:val="1B1C1D"/>
        </w:rPr>
        <w:t xml:space="preserve"> The solution must gracefully handle and log errors at each stage of the process, including API failures, authentication issues, and data validation errors, providing clear feedback to the user and relevant teams.</w:t>
      </w:r>
    </w:p>
    <w:p>
      <w:pPr>
        <w:spacing w:before="120" w:after="120"/>
      </w:pPr>
      <w:r>
        <w:rPr>
          <w:rFonts w:ascii="Times" w:hAnsi="Times" w:cs="Times"/>
          <w:sz w:val="24"/>
          <w:sz-cs w:val="24"/>
          <w:color w:val="1B1C1D"/>
        </w:rPr>
        <w:t xml:space="preserve">Non-Functional Requirements</w:t>
      </w:r>
    </w:p>
    <w:p>
      <w:pPr>
        <w:spacing w:after="120"/>
      </w:pPr>
      <w:r>
        <w:rPr>
          <w:rFonts w:ascii="Times" w:hAnsi="Times" w:cs="Times"/>
          <w:sz w:val="24"/>
          <w:sz-cs w:val="24"/>
          <w:color w:val="1B1C1D"/>
        </w:rPr>
        <w:t xml:space="preserve">This solution is designed to meet the following non-functional requirements to ensure a high-quality user experience and a robust system.</w:t>
      </w:r>
    </w:p>
    <w:p>
      <w:pPr>
        <w:ind w:left="720"/>
      </w:pPr>
      <w:r>
        <w:rPr>
          <w:rFonts w:ascii="Times" w:hAnsi="Times" w:cs="Times"/>
          <w:sz w:val="24"/>
          <w:sz-cs w:val="24"/>
          <w:b/>
          <w:color w:val="1B1C1D"/>
        </w:rPr>
        <w:t xml:space="preserve"/>
        <w:tab/>
        <w:t xml:space="preserve">•</w:t>
        <w:tab/>
        <w:t xml:space="preserve">Performance:</w:t>
      </w:r>
      <w:r>
        <w:rPr>
          <w:rFonts w:ascii="Times" w:hAnsi="Times" w:cs="Times"/>
          <w:sz w:val="24"/>
          <w:sz-cs w:val="24"/>
          <w:color w:val="1B1C1D"/>
        </w:rPr>
        <w:t xml:space="preserve"> All API calls from the RAA Onboarding UI and the MSS platform to the bank's services must have a response time of less than 500ms under expected load.</w:t>
      </w:r>
    </w:p>
    <w:p>
      <w:pPr>
        <w:ind w:left="720"/>
      </w:pPr>
      <w:r>
        <w:rPr>
          <w:rFonts w:ascii="Times" w:hAnsi="Times" w:cs="Times"/>
          <w:sz w:val="24"/>
          <w:sz-cs w:val="24"/>
          <w:b/>
          <w:color w:val="1B1C1D"/>
        </w:rPr>
        <w:t xml:space="preserve"/>
        <w:tab/>
        <w:t xml:space="preserve">•</w:t>
        <w:tab/>
        <w:t xml:space="preserve">Scalability:</w:t>
      </w:r>
      <w:r>
        <w:rPr>
          <w:rFonts w:ascii="Times" w:hAnsi="Times" w:cs="Times"/>
          <w:sz w:val="24"/>
          <w:sz-cs w:val="24"/>
          <w:color w:val="1B1C1D"/>
        </w:rPr>
        <w:t xml:space="preserve"> The bank-built microservices and BFF must be stateless and horizontally scalable to handle up to a 10x increase in concurrent users during peak usage periods.</w:t>
      </w:r>
    </w:p>
    <w:p>
      <w:pPr>
        <w:ind w:left="720"/>
      </w:pPr>
      <w:r>
        <w:rPr>
          <w:rFonts w:ascii="Times" w:hAnsi="Times" w:cs="Times"/>
          <w:sz w:val="24"/>
          <w:sz-cs w:val="24"/>
          <w:b/>
          <w:color w:val="1B1C1D"/>
        </w:rPr>
        <w:t xml:space="preserve"/>
        <w:tab/>
        <w:t xml:space="preserve">•</w:t>
        <w:tab/>
        <w:t xml:space="preserve">Reliability &amp; Resilience:</w:t>
      </w:r>
      <w:r>
        <w:rPr>
          <w:rFonts w:ascii="Times" w:hAnsi="Times" w:cs="Times"/>
          <w:sz w:val="24"/>
          <w:sz-cs w:val="24"/>
          <w:color w:val="1B1C1D"/>
        </w:rPr>
        <w:t xml:space="preserve"> The solution must be resilient to component failures. It will implement a retry mechanism with exponential backoff for external API calls and circuit breakers to prevent cascading failures. The platform will have a 99.9% uptime target.</w:t>
      </w:r>
    </w:p>
    <w:p>
      <w:pPr>
        <w:ind w:left="720"/>
      </w:pPr>
      <w:r>
        <w:rPr>
          <w:rFonts w:ascii="Times" w:hAnsi="Times" w:cs="Times"/>
          <w:sz w:val="24"/>
          <w:sz-cs w:val="24"/>
          <w:b/>
          <w:color w:val="1B1C1D"/>
        </w:rPr>
        <w:t xml:space="preserve"/>
        <w:tab/>
        <w:t xml:space="preserve">•</w:t>
        <w:tab/>
        <w:t xml:space="preserve">Security:</w:t>
      </w:r>
      <w:r>
        <w:rPr>
          <w:rFonts w:ascii="Times" w:hAnsi="Times" w:cs="Times"/>
          <w:sz w:val="24"/>
          <w:sz-cs w:val="24"/>
          <w:color w:val="1B1C1D"/>
        </w:rPr>
        <w:t xml:space="preserve"> All communication must be encrypted via HTTPS. The solution must adhere to bank-wide security policies, including strict access controls and data encryption at rest and in transit.</w:t>
      </w:r>
    </w:p>
    <w:p>
      <w:pPr>
        <w:ind w:left="720"/>
      </w:pPr>
      <w:r>
        <w:rPr>
          <w:rFonts w:ascii="Times" w:hAnsi="Times" w:cs="Times"/>
          <w:sz w:val="24"/>
          <w:sz-cs w:val="24"/>
          <w:b/>
          <w:color w:val="1B1C1D"/>
        </w:rPr>
        <w:t xml:space="preserve"/>
        <w:tab/>
        <w:t xml:space="preserve">•</w:t>
        <w:tab/>
        <w:t xml:space="preserve">Maintainability:</w:t>
      </w:r>
      <w:r>
        <w:rPr>
          <w:rFonts w:ascii="Times" w:hAnsi="Times" w:cs="Times"/>
          <w:sz w:val="24"/>
          <w:sz-cs w:val="24"/>
          <w:color w:val="1B1C1D"/>
        </w:rPr>
        <w:t xml:space="preserve"> The microservices architecture, clear API contracts, and comprehensive documentation will ensure the system is easy to maintain and evolve.</w:t>
      </w:r>
    </w:p>
    <w:p>
      <w:pPr>
        <w:ind w:left="720"/>
        <w:spacing w:after="120"/>
      </w:pPr>
      <w:r>
        <w:rPr>
          <w:rFonts w:ascii="Times" w:hAnsi="Times" w:cs="Times"/>
          <w:sz w:val="24"/>
          <w:sz-cs w:val="24"/>
          <w:b/>
          <w:color w:val="1B1C1D"/>
        </w:rPr>
        <w:t xml:space="preserve"/>
        <w:tab/>
        <w:t xml:space="preserve">•</w:t>
        <w:tab/>
        <w:t xml:space="preserve">Usability:</w:t>
      </w:r>
      <w:r>
        <w:rPr>
          <w:rFonts w:ascii="Times" w:hAnsi="Times" w:cs="Times"/>
          <w:sz w:val="24"/>
          <w:sz-cs w:val="24"/>
          <w:color w:val="1B1C1D"/>
        </w:rPr>
        <w:t xml:space="preserve"> The RAA Onboarding UI will provide a clear, intuitive, and mobile-responsive interface. The user journey should be simple and require minimal steps.</w:t>
      </w:r>
    </w:p>
    <w:p>
      <w:pPr>
        <w:spacing w:before="120" w:after="120"/>
      </w:pPr>
      <w:r>
        <w:rPr>
          <w:rFonts w:ascii="Times" w:hAnsi="Times" w:cs="Times"/>
          <w:sz w:val="24"/>
          <w:sz-cs w:val="24"/>
          <w:color w:val="1B1C1D"/>
        </w:rPr>
        <w:t xml:space="preserve">Architecture Overview</w:t>
      </w:r>
    </w:p>
    <w:p>
      <w:pPr>
        <w:spacing w:after="120"/>
      </w:pPr>
      <w:r>
        <w:rPr>
          <w:rFonts w:ascii="Times" w:hAnsi="Times" w:cs="Times"/>
          <w:sz w:val="24"/>
          <w:sz-cs w:val="24"/>
          <w:color w:val="1B1C1D"/>
        </w:rPr>
        <w:t xml:space="preserve">The technical solution is based on a decoupled, API-first architecture. It follows the C4 model's principles to define and visualize the system at different levels of abstraction. The core of the solution is the orchestration of new bank-owned microservices by a Backend for Frontend (BFF) layer.</w:t>
      </w:r>
    </w:p>
    <w:p>
      <w:pPr>
        <w:ind w:left="720"/>
      </w:pPr>
      <w:r>
        <w:rPr>
          <w:rFonts w:ascii="Times" w:hAnsi="Times" w:cs="Times"/>
          <w:sz w:val="24"/>
          <w:sz-cs w:val="24"/>
          <w:b/>
          <w:color w:val="1B1C1D"/>
        </w:rPr>
        <w:t xml:space="preserve"/>
        <w:tab/>
        <w:t xml:space="preserve">•</w:t>
        <w:tab/>
        <w:t xml:space="preserve">Component Breakdown:</w:t>
      </w:r>
      <w:r>
        <w:rPr>
          <w:rFonts w:ascii="Times" w:hAnsi="Times" w:cs="Times"/>
          <w:sz w:val="24"/>
          <w:sz-cs w:val="24"/>
          <w:color w:val="1B1C1D"/>
        </w:rPr>
        <w:t xml:space="preserve"> The system is composed of several key components, including the vendor-provided banking applications and core systems, the new bank-built RAA Onboarding UI and microservices (RAA BFF, Customer Profile Service, Account Service), and external platforms like MSS, Pershing, and CIAM.</w:t>
      </w:r>
    </w:p>
    <w:p>
      <w:pPr>
        <w:ind w:left="720"/>
        <w:spacing w:after="120"/>
      </w:pPr>
      <w:r>
        <w:rPr>
          <w:rFonts w:ascii="Times" w:hAnsi="Times" w:cs="Times"/>
          <w:sz w:val="24"/>
          <w:sz-cs w:val="24"/>
          <w:b/>
          <w:color w:val="1B1C1D"/>
        </w:rPr>
        <w:t xml:space="preserve"/>
        <w:tab/>
        <w:t xml:space="preserve">•</w:t>
        <w:tab/>
        <w:t xml:space="preserve">Integration Flow:</w:t>
      </w:r>
      <w:r>
        <w:rPr>
          <w:rFonts w:ascii="Times" w:hAnsi="Times" w:cs="Times"/>
          <w:sz w:val="24"/>
          <w:sz-cs w:val="24"/>
          <w:color w:val="1B1C1D"/>
        </w:rPr>
        <w:t xml:space="preserve"> The process begins with a user on a vendor-managed application and transitions to a bank-managed UI for a specific workflow. This UI then uses a dedicated BFF to orchestrate calls to the bank's internal services, abstracting complexity. The final step involves Single Sign-On to a third-party platform that then initiates its own calls to bank APIs and external systems.</w:t>
      </w:r>
    </w:p>
    <w:p>
      <w:pPr>
        <w:spacing w:before="120" w:after="120"/>
      </w:pPr>
      <w:r>
        <w:rPr>
          <w:rFonts w:ascii="Times" w:hAnsi="Times" w:cs="Times"/>
          <w:sz w:val="24"/>
          <w:sz-cs w:val="24"/>
          <w:color w:val="1B1C1D"/>
        </w:rPr>
        <w:t xml:space="preserve">API &amp; Integration Design</w:t>
      </w:r>
    </w:p>
    <w:p>
      <w:pPr>
        <w:spacing w:after="120"/>
      </w:pPr>
      <w:r>
        <w:rPr>
          <w:rFonts w:ascii="Times" w:hAnsi="Times" w:cs="Times"/>
          <w:sz w:val="24"/>
          <w:sz-cs w:val="24"/>
          <w:color w:val="1B1C1D"/>
        </w:rPr>
        <w:t xml:space="preserve">All communication between the new bank-built components will be based on REST APIs over HTTPS.</w:t>
      </w:r>
    </w:p>
    <w:p>
      <w:pPr>
        <w:ind w:left="720"/>
      </w:pPr>
      <w:r>
        <w:rPr>
          <w:rFonts w:ascii="Times" w:hAnsi="Times" w:cs="Times"/>
          <w:sz w:val="24"/>
          <w:sz-cs w:val="24"/>
          <w:b/>
          <w:color w:val="1B1C1D"/>
        </w:rPr>
        <w:t xml:space="preserve"/>
        <w:tab/>
        <w:t xml:space="preserve">•</w:t>
        <w:tab/>
        <w:t xml:space="preserve">API Gateway:</w:t>
      </w:r>
      <w:r>
        <w:rPr>
          <w:rFonts w:ascii="Times" w:hAnsi="Times" w:cs="Times"/>
          <w:sz w:val="24"/>
          <w:sz-cs w:val="24"/>
          <w:color w:val="1B1C1D"/>
        </w:rPr>
        <w:t xml:space="preserve"> The Bank API Gateway acts as a reverse proxy, routing incoming requests from external systems (like MSS) to the appropriate internal microservices. It will also handle authentication and rate-limiting.</w:t>
      </w:r>
    </w:p>
    <w:p>
      <w:pPr>
        <w:ind w:left="720"/>
      </w:pPr>
      <w:r>
        <w:rPr>
          <w:rFonts w:ascii="Times" w:hAnsi="Times" w:cs="Times"/>
          <w:sz w:val="24"/>
          <w:sz-cs w:val="24"/>
          <w:b/>
          <w:color w:val="1B1C1D"/>
        </w:rPr>
        <w:t xml:space="preserve"/>
        <w:tab/>
        <w:t xml:space="preserve">•</w:t>
        <w:tab/>
        <w:t xml:space="preserve">Internal Communication:</w:t>
      </w:r>
      <w:r>
        <w:rPr>
          <w:rFonts w:ascii="Times" w:hAnsi="Times" w:cs="Times"/>
          <w:sz w:val="24"/>
          <w:sz-cs w:val="24"/>
          <w:color w:val="1B1C1D"/>
        </w:rPr>
        <w:t xml:space="preserve"> The RAA BFF will directly communicate with Customer Profile Service and Account Service without routing through the Bank API Gateway, as they are co-located in the same OpenShift/Rancher namespace.</w:t>
      </w:r>
    </w:p>
    <w:p>
      <w:pPr>
        <w:ind w:left="720"/>
      </w:pPr>
      <w:r>
        <w:rPr>
          <w:rFonts w:ascii="Times" w:hAnsi="Times" w:cs="Times"/>
          <w:sz w:val="24"/>
          <w:sz-cs w:val="24"/>
          <w:b/>
          <w:color w:val="1B1C1D"/>
        </w:rPr>
        <w:t xml:space="preserve"/>
        <w:tab/>
        <w:t xml:space="preserve">•</w:t>
        <w:tab/>
        <w:t xml:space="preserve">API Endpoints:</w:t>
      </w:r>
    </w:p>
    <w:p>
      <w:pPr>
        <w:ind w:left="1440"/>
      </w:pPr>
      <w:r>
        <w:rPr>
          <w:rFonts w:ascii="Times" w:hAnsi="Times" w:cs="Times"/>
          <w:sz w:val="24"/>
          <w:sz-cs w:val="24"/>
          <w:b/>
          <w:color w:val="1B1C1D"/>
        </w:rPr>
        <w:t xml:space="preserve"/>
        <w:tab/>
        <w:t xml:space="preserve">•</w:t>
        <w:tab/>
        <w:t xml:space="preserve">GET /customer/profile:</w:t>
      </w:r>
      <w:r>
        <w:rPr>
          <w:rFonts w:ascii="Times" w:hAnsi="Times" w:cs="Times"/>
          <w:sz w:val="24"/>
          <w:sz-cs w:val="24"/>
          <w:color w:val="1B1C1D"/>
        </w:rPr>
        <w:t xml:space="preserve"> Called by the RAA BFF to retrieve customer demographics and due diligence information.</w:t>
      </w:r>
    </w:p>
    <w:p>
      <w:pPr>
        <w:ind w:left="1440"/>
      </w:pPr>
      <w:r>
        <w:rPr>
          <w:rFonts w:ascii="Times" w:hAnsi="Times" w:cs="Times"/>
          <w:sz w:val="24"/>
          <w:sz-cs w:val="24"/>
          <w:b/>
          <w:color w:val="1B1C1D"/>
        </w:rPr>
        <w:t xml:space="preserve"/>
        <w:tab/>
        <w:t xml:space="preserve">•</w:t>
        <w:tab/>
        <w:t xml:space="preserve">GET /accounts:</w:t>
      </w:r>
      <w:r>
        <w:rPr>
          <w:rFonts w:ascii="Times" w:hAnsi="Times" w:cs="Times"/>
          <w:sz w:val="24"/>
          <w:sz-cs w:val="24"/>
          <w:color w:val="1B1C1D"/>
        </w:rPr>
        <w:t xml:space="preserve"> Called by the MSS platform to retrieve a list of customer accounts for funding.</w:t>
      </w:r>
    </w:p>
    <w:p>
      <w:pPr>
        <w:ind w:left="1440"/>
      </w:pPr>
      <w:r>
        <w:rPr>
          <w:rFonts w:ascii="Times" w:hAnsi="Times" w:cs="Times"/>
          <w:sz w:val="24"/>
          <w:sz-cs w:val="24"/>
          <w:b/>
          <w:color w:val="1B1C1D"/>
        </w:rPr>
        <w:t xml:space="preserve"/>
        <w:tab/>
        <w:t xml:space="preserve">•</w:t>
        <w:tab/>
        <w:t xml:space="preserve">POST /profile/update/{field}:</w:t>
      </w:r>
      <w:r>
        <w:rPr>
          <w:rFonts w:ascii="Times" w:hAnsi="Times" w:cs="Times"/>
          <w:sz w:val="24"/>
          <w:sz-cs w:val="24"/>
          <w:color w:val="1B1C1D"/>
        </w:rPr>
        <w:t xml:space="preserve"> A set of dedicated APIs (/update/mobilePhone, /update/email, etc.) called by the RAA BFF to update specific customer data fields.</w:t>
      </w:r>
    </w:p>
    <w:p>
      <w:pPr>
        <w:ind w:left="720"/>
        <w:spacing w:after="120"/>
      </w:pPr>
      <w:r>
        <w:rPr>
          <w:rFonts w:ascii="Times" w:hAnsi="Times" w:cs="Times"/>
          <w:sz w:val="24"/>
          <w:sz-cs w:val="24"/>
          <w:b/>
          <w:color w:val="1B1C1D"/>
        </w:rPr>
        <w:t xml:space="preserve"/>
        <w:tab/>
        <w:t xml:space="preserve">•</w:t>
        <w:tab/>
        <w:t xml:space="preserve">SSO Integration:</w:t>
      </w:r>
      <w:r>
        <w:rPr>
          <w:rFonts w:ascii="Times" w:hAnsi="Times" w:cs="Times"/>
          <w:sz w:val="24"/>
          <w:sz-cs w:val="24"/>
          <w:color w:val="1B1C1D"/>
        </w:rPr>
        <w:t xml:space="preserve"> The solution uses an </w:t>
      </w:r>
      <w:r>
        <w:rPr>
          <w:rFonts w:ascii="Times" w:hAnsi="Times" w:cs="Times"/>
          <w:sz w:val="24"/>
          <w:sz-cs w:val="24"/>
          <w:b/>
          <w:color w:val="1B1C1D"/>
        </w:rPr>
        <w:t xml:space="preserve">OpenID Connect (OIDC)</w:t>
      </w:r>
      <w:r>
        <w:rPr>
          <w:rFonts w:ascii="Times" w:hAnsi="Times" w:cs="Times"/>
          <w:sz w:val="24"/>
          <w:sz-cs w:val="24"/>
          <w:color w:val="1B1C1D"/>
        </w:rPr>
        <w:t xml:space="preserve"> flow for SSO. The RAA Onboarding UI initiates an authorization request with CIAM, which then redirects the user with an identity token to MSS.</w:t>
      </w:r>
    </w:p>
    <w:p>
      <w:pPr>
        <w:spacing w:before="120" w:after="120"/>
      </w:pPr>
      <w:r>
        <w:rPr>
          <w:rFonts w:ascii="Times" w:hAnsi="Times" w:cs="Times"/>
          <w:sz w:val="24"/>
          <w:sz-cs w:val="24"/>
          <w:color w:val="1B1C1D"/>
        </w:rPr>
        <w:t xml:space="preserve">Data and Domain Modeling</w:t>
      </w:r>
    </w:p>
    <w:p>
      <w:pPr>
        <w:spacing w:after="120"/>
      </w:pPr>
      <w:r>
        <w:rPr>
          <w:rFonts w:ascii="Times" w:hAnsi="Times" w:cs="Times"/>
          <w:sz w:val="24"/>
          <w:sz-cs w:val="24"/>
          <w:color w:val="1B1C1D"/>
        </w:rPr>
        <w:t xml:space="preserve">The solution operates on several key data entities, which are mapped between the different systems.</w:t>
      </w:r>
    </w:p>
    <w:p>
      <w:pPr>
        <w:ind w:left="720"/>
      </w:pPr>
      <w:r>
        <w:rPr>
          <w:rFonts w:ascii="Times" w:hAnsi="Times" w:cs="Times"/>
          <w:sz w:val="24"/>
          <w:sz-cs w:val="24"/>
          <w:b/>
          <w:color w:val="1B1C1D"/>
        </w:rPr>
        <w:t xml:space="preserve"/>
        <w:tab/>
        <w:t xml:space="preserve">•</w:t>
        <w:tab/>
        <w:t xml:space="preserve">Customer Profile:</w:t>
      </w:r>
      <w:r>
        <w:rPr>
          <w:rFonts w:ascii="Times" w:hAnsi="Times" w:cs="Times"/>
          <w:sz w:val="24"/>
          <w:sz-cs w:val="24"/>
          <w:color w:val="1B1C1D"/>
        </w:rPr>
        <w:t xml:space="preserve"> Contains core customer information including name, taxID, mobilePhone, emailAddress, physicalAddress, and employmentInformation. The Customer Profile Service is the authoritative source for this data within the new bank ecosystem.</w:t>
      </w:r>
    </w:p>
    <w:p>
      <w:pPr>
        <w:ind w:left="720"/>
      </w:pPr>
      <w:r>
        <w:rPr>
          <w:rFonts w:ascii="Times" w:hAnsi="Times" w:cs="Times"/>
          <w:sz w:val="24"/>
          <w:sz-cs w:val="24"/>
          <w:b/>
          <w:color w:val="1B1C1D"/>
        </w:rPr>
        <w:t xml:space="preserve"/>
        <w:tab/>
        <w:t xml:space="preserve">•</w:t>
        <w:tab/>
        <w:t xml:space="preserve">Account:</w:t>
      </w:r>
      <w:r>
        <w:rPr>
          <w:rFonts w:ascii="Times" w:hAnsi="Times" w:cs="Times"/>
          <w:sz w:val="24"/>
          <w:sz-cs w:val="24"/>
          <w:color w:val="1B1C1D"/>
        </w:rPr>
        <w:t xml:space="preserve"> Contains details for a customer's accounts, including accountNumber, accountType, and balance. The Account Service retrieves this from the core banking system.</w:t>
      </w:r>
    </w:p>
    <w:p>
      <w:pPr>
        <w:ind w:left="720"/>
      </w:pPr>
      <w:r>
        <w:rPr>
          <w:rFonts w:ascii="Times" w:hAnsi="Times" w:cs="Times"/>
          <w:sz w:val="24"/>
          <w:sz-cs w:val="24"/>
          <w:b/>
          <w:color w:val="1B1C1D"/>
        </w:rPr>
        <w:t xml:space="preserve"/>
        <w:tab/>
        <w:t xml:space="preserve">•</w:t>
        <w:tab/>
        <w:t xml:space="preserve">RAA Account:</w:t>
      </w:r>
      <w:r>
        <w:rPr>
          <w:rFonts w:ascii="Times" w:hAnsi="Times" w:cs="Times"/>
          <w:sz w:val="24"/>
          <w:sz-cs w:val="24"/>
          <w:color w:val="1B1C1D"/>
        </w:rPr>
        <w:t xml:space="preserve"> The new account entity created on the MSS and Pershing platforms. It is linked to the customer's profile and funded from one of their existing accounts.</w:t>
      </w:r>
    </w:p>
    <w:p>
      <w:pPr>
        <w:ind w:left="720"/>
        <w:spacing w:after="120"/>
      </w:pPr>
      <w:r>
        <w:rPr>
          <w:rFonts w:ascii="Times" w:hAnsi="Times" w:cs="Times"/>
          <w:sz w:val="24"/>
          <w:sz-cs w:val="24"/>
          <w:b/>
          <w:color w:val="1B1C1D"/>
        </w:rPr>
        <w:t xml:space="preserve"/>
        <w:tab/>
        <w:t xml:space="preserve">•</w:t>
        <w:tab/>
        <w:t xml:space="preserve">Data Mapping:</w:t>
      </w:r>
      <w:r>
        <w:rPr>
          <w:rFonts w:ascii="Times" w:hAnsi="Times" w:cs="Times"/>
          <w:sz w:val="24"/>
          <w:sz-cs w:val="24"/>
          <w:color w:val="1B1C1D"/>
        </w:rPr>
        <w:t xml:space="preserve"> The Customer Profile Service is responsible for mapping data fields from the CodeConnect API into a normalized format for consumption by the RAA BFF and MSS.</w:t>
      </w:r>
    </w:p>
    <w:p>
      <w:pPr>
        <w:spacing w:before="120" w:after="120"/>
      </w:pPr>
      <w:r>
        <w:rPr>
          <w:rFonts w:ascii="Times" w:hAnsi="Times" w:cs="Times"/>
          <w:sz w:val="24"/>
          <w:sz-cs w:val="24"/>
          <w:color w:val="1B1C1D"/>
        </w:rPr>
        <w:t xml:space="preserve">Security Design</w:t>
      </w:r>
    </w:p>
    <w:p>
      <w:pPr>
        <w:spacing w:after="120"/>
      </w:pPr>
      <w:r>
        <w:rPr>
          <w:rFonts w:ascii="Times" w:hAnsi="Times" w:cs="Times"/>
          <w:sz w:val="24"/>
          <w:sz-cs w:val="24"/>
          <w:color w:val="1B1C1D"/>
        </w:rPr>
        <w:t xml:space="preserve">Security is a critical component of the design. The solution employs multiple layers of security to protect customer data.</w:t>
      </w:r>
    </w:p>
    <w:p>
      <w:pPr>
        <w:ind w:left="720"/>
      </w:pPr>
      <w:r>
        <w:rPr>
          <w:rFonts w:ascii="Times" w:hAnsi="Times" w:cs="Times"/>
          <w:sz w:val="24"/>
          <w:sz-cs w:val="24"/>
          <w:b/>
          <w:color w:val="1B1C1D"/>
        </w:rPr>
        <w:t xml:space="preserve"/>
        <w:tab/>
        <w:t xml:space="preserve">•</w:t>
        <w:tab/>
        <w:t xml:space="preserve">Authentication &amp; Authorization:</w:t>
      </w:r>
      <w:r>
        <w:rPr>
          <w:rFonts w:ascii="Times" w:hAnsi="Times" w:cs="Times"/>
          <w:sz w:val="24"/>
          <w:sz-cs w:val="24"/>
          <w:color w:val="1B1C1D"/>
        </w:rPr>
        <w:t xml:space="preserve"> All users are authenticated by the CIAM using a robust, bank-approved authentication flow. API access is secured with tokens (JWTs) issued by CIAM and validated by the Bank API Gateway and individual microservices.</w:t>
      </w:r>
    </w:p>
    <w:p>
      <w:pPr>
        <w:ind w:left="720"/>
      </w:pPr>
      <w:r>
        <w:rPr>
          <w:rFonts w:ascii="Times" w:hAnsi="Times" w:cs="Times"/>
          <w:sz w:val="24"/>
          <w:sz-cs w:val="24"/>
          <w:b/>
          <w:color w:val="1B1C1D"/>
        </w:rPr>
        <w:t xml:space="preserve"/>
        <w:tab/>
        <w:t xml:space="preserve">•</w:t>
        <w:tab/>
        <w:t xml:space="preserve">Step-Up Authentication:</w:t>
      </w:r>
      <w:r>
        <w:rPr>
          <w:rFonts w:ascii="Times" w:hAnsi="Times" w:cs="Times"/>
          <w:sz w:val="24"/>
          <w:sz-cs w:val="24"/>
          <w:color w:val="1B1C1D"/>
        </w:rPr>
        <w:t xml:space="preserve"> For high-risk operations (e.g., updating customer profile details), a dedicated step-up authentication flow is triggered. This involves a request for an OTP from CIAM, which is delivered via Twilio, and verified before the update is processed.</w:t>
      </w:r>
    </w:p>
    <w:p>
      <w:pPr>
        <w:ind w:left="720"/>
      </w:pPr>
      <w:r>
        <w:rPr>
          <w:rFonts w:ascii="Times" w:hAnsi="Times" w:cs="Times"/>
          <w:sz w:val="24"/>
          <w:sz-cs w:val="24"/>
          <w:b/>
          <w:color w:val="1B1C1D"/>
        </w:rPr>
        <w:t xml:space="preserve"/>
        <w:tab/>
        <w:t xml:space="preserve">•</w:t>
        <w:tab/>
        <w:t xml:space="preserve">Secure Communication:</w:t>
      </w:r>
      <w:r>
        <w:rPr>
          <w:rFonts w:ascii="Times" w:hAnsi="Times" w:cs="Times"/>
          <w:sz w:val="24"/>
          <w:sz-cs w:val="24"/>
          <w:color w:val="1B1C1D"/>
        </w:rPr>
        <w:t xml:space="preserve"> All data is transmitted over TLS/HTTPS to ensure it is encrypted in transit. The new microservices are deployed in a secure, firewalled network within the bank's infrastructure.</w:t>
      </w:r>
    </w:p>
    <w:p>
      <w:pPr>
        <w:ind w:left="720"/>
        <w:spacing w:after="120"/>
      </w:pPr>
      <w:r>
        <w:rPr>
          <w:rFonts w:ascii="Times" w:hAnsi="Times" w:cs="Times"/>
          <w:sz w:val="24"/>
          <w:sz-cs w:val="24"/>
          <w:b/>
          <w:color w:val="1B1C1D"/>
        </w:rPr>
        <w:t xml:space="preserve"/>
        <w:tab/>
        <w:t xml:space="preserve">•</w:t>
        <w:tab/>
        <w:t xml:space="preserve">Data Protection:</w:t>
      </w:r>
      <w:r>
        <w:rPr>
          <w:rFonts w:ascii="Times" w:hAnsi="Times" w:cs="Times"/>
          <w:sz w:val="24"/>
          <w:sz-cs w:val="24"/>
          <w:color w:val="1B1C1D"/>
        </w:rPr>
        <w:t xml:space="preserve"> Customer data will be protected in accordance with data privacy regulations. The solution will avoid storing sensitive data where not strictly necessary and will use a read-through cache model to retrieve data directly from the Core Banking System.</w:t>
      </w:r>
    </w:p>
    <w:p>
      <w:pPr>
        <w:spacing w:before="120" w:after="120"/>
      </w:pPr>
      <w:r>
        <w:rPr>
          <w:rFonts w:ascii="Times" w:hAnsi="Times" w:cs="Times"/>
          <w:sz w:val="24"/>
          <w:sz-cs w:val="24"/>
          <w:color w:val="1B1C1D"/>
        </w:rPr>
        <w:t xml:space="preserve">UX to API Mapping</w:t>
      </w:r>
    </w:p>
    <w:p>
      <w:pPr>
        <w:spacing w:after="120"/>
      </w:pPr>
      <w:r>
        <w:rPr>
          <w:rFonts w:ascii="Times" w:hAnsi="Times" w:cs="Times"/>
          <w:sz w:val="24"/>
          <w:sz-cs w:val="24"/>
          <w:color w:val="1B1C1D"/>
        </w:rPr>
        <w:t xml:space="preserve">The user experience on the RAA Onboarding UI is directly mapped to the following API calls made by the RAA BFF.</w:t>
      </w:r>
    </w:p>
    <w:p>
      <w:pPr>
        <w:ind w:left="720"/>
      </w:pPr>
      <w:r>
        <w:rPr>
          <w:rFonts w:ascii="Times" w:hAnsi="Times" w:cs="Times"/>
          <w:sz w:val="24"/>
          <w:sz-cs w:val="24"/>
          <w:b/>
          <w:color w:val="1B1C1D"/>
        </w:rPr>
        <w:t xml:space="preserve"/>
        <w:tab/>
        <w:t xml:space="preserve">•</w:t>
        <w:tab/>
        <w:t xml:space="preserve">UI Load:</w:t>
      </w:r>
      <w:r>
        <w:rPr>
          <w:rFonts w:ascii="Times" w:hAnsi="Times" w:cs="Times"/>
          <w:sz w:val="24"/>
          <w:sz-cs w:val="24"/>
          <w:color w:val="1B1C1D"/>
        </w:rPr>
        <w:t xml:space="preserve"> The RAA Onboarding UI sends a request to a single GET /customer/profile endpoint on the RAA BFF. This request fetches all necessary customer data for display on a single screen.</w:t>
      </w:r>
    </w:p>
    <w:p>
      <w:pPr>
        <w:ind w:left="720"/>
      </w:pPr>
      <w:r>
        <w:rPr>
          <w:rFonts w:ascii="Times" w:hAnsi="Times" w:cs="Times"/>
          <w:sz w:val="24"/>
          <w:sz-cs w:val="24"/>
          <w:b/>
          <w:color w:val="1B1C1D"/>
        </w:rPr>
        <w:t xml:space="preserve"/>
        <w:tab/>
        <w:t xml:space="preserve">•</w:t>
        <w:tab/>
        <w:t xml:space="preserve">Edit Button Click:</w:t>
      </w:r>
      <w:r>
        <w:rPr>
          <w:rFonts w:ascii="Times" w:hAnsi="Times" w:cs="Times"/>
          <w:sz w:val="24"/>
          <w:sz-cs w:val="24"/>
          <w:color w:val="1B1C1D"/>
        </w:rPr>
        <w:t xml:space="preserve"> When a customer clicks an "Edit" button for a specific section (e.g., Mobile Phone), the UI sends a request to the RAA BFF to initiate the step-up authentication flow (/mfa/devices and /mfa/otp).</w:t>
      </w:r>
    </w:p>
    <w:p>
      <w:pPr>
        <w:ind w:left="720"/>
      </w:pPr>
      <w:r>
        <w:rPr>
          <w:rFonts w:ascii="Times" w:hAnsi="Times" w:cs="Times"/>
          <w:sz w:val="24"/>
          <w:sz-cs w:val="24"/>
          <w:b/>
          <w:color w:val="1B1C1D"/>
        </w:rPr>
        <w:t xml:space="preserve"/>
        <w:tab/>
        <w:t xml:space="preserve">•</w:t>
        <w:tab/>
        <w:t xml:space="preserve">Form Submission:</w:t>
      </w:r>
      <w:r>
        <w:rPr>
          <w:rFonts w:ascii="Times" w:hAnsi="Times" w:cs="Times"/>
          <w:sz w:val="24"/>
          <w:sz-cs w:val="24"/>
          <w:color w:val="1B1C1D"/>
        </w:rPr>
        <w:t xml:space="preserve"> When the customer submits a form with updated information, the RAA Onboarding UI calls a specific POST /profile/update/{field} API endpoint on the RAA BFF, passing the updated data.</w:t>
      </w:r>
    </w:p>
    <w:p>
      <w:pPr>
        <w:ind w:left="720"/>
        <w:spacing w:after="120"/>
      </w:pPr>
      <w:r>
        <w:rPr>
          <w:rFonts w:ascii="Times" w:hAnsi="Times" w:cs="Times"/>
          <w:sz w:val="24"/>
          <w:sz-cs w:val="24"/>
          <w:b/>
          <w:color w:val="1B1C1D"/>
        </w:rPr>
        <w:t xml:space="preserve"/>
        <w:tab/>
        <w:t xml:space="preserve">•</w:t>
        <w:tab/>
        <w:t xml:space="preserve">Onboarding Completion:</w:t>
      </w:r>
      <w:r>
        <w:rPr>
          <w:rFonts w:ascii="Times" w:hAnsi="Times" w:cs="Times"/>
          <w:sz w:val="24"/>
          <w:sz-cs w:val="24"/>
          <w:color w:val="1B1C1D"/>
        </w:rPr>
        <w:t xml:space="preserve"> When the user is ready to proceed to MSS, the RAA Onboarding UI performs a URL redirect to CIAM to initiate the SSO flow.</w:t>
      </w:r>
    </w:p>
    <w:p>
      <w:pPr>
        <w:spacing w:before="120" w:after="120"/>
      </w:pPr>
      <w:r>
        <w:rPr>
          <w:rFonts w:ascii="Times" w:hAnsi="Times" w:cs="Times"/>
          <w:sz w:val="24"/>
          <w:sz-cs w:val="24"/>
          <w:color w:val="1B1C1D"/>
        </w:rPr>
        <w:t xml:space="preserve">Error Handling and Resilience</w:t>
      </w:r>
    </w:p>
    <w:p>
      <w:pPr>
        <w:spacing w:after="120"/>
      </w:pPr>
      <w:r>
        <w:rPr>
          <w:rFonts w:ascii="Times" w:hAnsi="Times" w:cs="Times"/>
          <w:sz w:val="24"/>
          <w:sz-cs w:val="24"/>
          <w:color w:val="1B1C1D"/>
        </w:rPr>
        <w:t xml:space="preserve">A robust error-handling strategy is essential for a reliable system.</w:t>
      </w:r>
    </w:p>
    <w:p>
      <w:pPr>
        <w:ind w:left="720"/>
      </w:pPr>
      <w:r>
        <w:rPr>
          <w:rFonts w:ascii="Times" w:hAnsi="Times" w:cs="Times"/>
          <w:sz w:val="24"/>
          <w:sz-cs w:val="24"/>
          <w:b/>
          <w:color w:val="1B1C1D"/>
        </w:rPr>
        <w:t xml:space="preserve"/>
        <w:tab/>
        <w:t xml:space="preserve">•</w:t>
        <w:tab/>
        <w:t xml:space="preserve">API Failure:</w:t>
      </w:r>
      <w:r>
        <w:rPr>
          <w:rFonts w:ascii="Times" w:hAnsi="Times" w:cs="Times"/>
          <w:sz w:val="24"/>
          <w:sz-cs w:val="24"/>
          <w:color w:val="1B1C1D"/>
        </w:rPr>
        <w:t xml:space="preserve"> All API calls will be wrapped in try-catch blocks. The RAA BFF will implement a retry mechanism for transient errors and will use a circuit breaker pattern to prevent repeated calls to an unhealthy downstream service.</w:t>
      </w:r>
    </w:p>
    <w:p>
      <w:pPr>
        <w:ind w:left="720"/>
      </w:pPr>
      <w:r>
        <w:rPr>
          <w:rFonts w:ascii="Times" w:hAnsi="Times" w:cs="Times"/>
          <w:sz w:val="24"/>
          <w:sz-cs w:val="24"/>
          <w:b/>
          <w:color w:val="1B1C1D"/>
        </w:rPr>
        <w:t xml:space="preserve"/>
        <w:tab/>
        <w:t xml:space="preserve">•</w:t>
        <w:tab/>
        <w:t xml:space="preserve">Customer Feedback:</w:t>
      </w:r>
      <w:r>
        <w:rPr>
          <w:rFonts w:ascii="Times" w:hAnsi="Times" w:cs="Times"/>
          <w:sz w:val="24"/>
          <w:sz-cs w:val="24"/>
          <w:color w:val="1B1C1D"/>
        </w:rPr>
        <w:t xml:space="preserve"> The RAA Onboarding UI will display clear, user-friendly messages for any errors, such as a failed OTP verification or an invalid phone number format.</w:t>
      </w:r>
    </w:p>
    <w:p>
      <w:pPr>
        <w:ind w:left="720"/>
        <w:spacing w:after="120"/>
      </w:pPr>
      <w:r>
        <w:rPr>
          <w:rFonts w:ascii="Times" w:hAnsi="Times" w:cs="Times"/>
          <w:sz w:val="24"/>
          <w:sz-cs w:val="24"/>
          <w:b/>
          <w:color w:val="1B1C1D"/>
        </w:rPr>
        <w:t xml:space="preserve"/>
        <w:tab/>
        <w:t xml:space="preserve">•</w:t>
        <w:tab/>
        <w:t xml:space="preserve">Centralized Logging:</w:t>
      </w:r>
      <w:r>
        <w:rPr>
          <w:rFonts w:ascii="Times" w:hAnsi="Times" w:cs="Times"/>
          <w:sz w:val="24"/>
          <w:sz-cs w:val="24"/>
          <w:color w:val="1B1C1D"/>
        </w:rPr>
        <w:t xml:space="preserve"> Detailed logging will be implemented across all new microservices, capturing request/response details and error messages. These logs will be sent to a centralized logging solution for monitoring and analysis.</w:t>
      </w:r>
    </w:p>
    <w:p>
      <w:pPr>
        <w:spacing w:before="120" w:after="120"/>
      </w:pPr>
      <w:r>
        <w:rPr>
          <w:rFonts w:ascii="Times" w:hAnsi="Times" w:cs="Times"/>
          <w:sz w:val="24"/>
          <w:sz-cs w:val="24"/>
          <w:color w:val="1B1C1D"/>
        </w:rPr>
        <w:t xml:space="preserve">Compliance and Accessibility</w:t>
      </w:r>
    </w:p>
    <w:p>
      <w:pPr>
        <w:spacing w:after="120"/>
      </w:pPr>
      <w:r>
        <w:rPr>
          <w:rFonts w:ascii="Times" w:hAnsi="Times" w:cs="Times"/>
          <w:sz w:val="24"/>
          <w:sz-cs w:val="24"/>
          <w:color w:val="1B1C1D"/>
        </w:rPr>
        <w:t xml:space="preserve">The solution will be developed with a focus on regulatory compliance and accessibility.</w:t>
      </w:r>
    </w:p>
    <w:p>
      <w:pPr>
        <w:ind w:left="720"/>
      </w:pPr>
      <w:r>
        <w:rPr>
          <w:rFonts w:ascii="Times" w:hAnsi="Times" w:cs="Times"/>
          <w:sz w:val="24"/>
          <w:sz-cs w:val="24"/>
          <w:b/>
          <w:color w:val="1B1C1D"/>
        </w:rPr>
        <w:t xml:space="preserve"/>
        <w:tab/>
        <w:t xml:space="preserve">•</w:t>
        <w:tab/>
        <w:t xml:space="preserve">Compliance:</w:t>
      </w:r>
      <w:r>
        <w:rPr>
          <w:rFonts w:ascii="Times" w:hAnsi="Times" w:cs="Times"/>
          <w:sz w:val="24"/>
          <w:sz-cs w:val="24"/>
          <w:color w:val="1B1C1D"/>
        </w:rPr>
        <w:t xml:space="preserve"> The system will adhere to all relevant financial regulations. The step-up authentication and secure data handling are designed to meet or exceed current best practices for protecting sensitive customer data.</w:t>
      </w:r>
    </w:p>
    <w:p>
      <w:pPr>
        <w:ind w:left="720"/>
        <w:spacing w:after="120"/>
      </w:pPr>
      <w:r>
        <w:rPr>
          <w:rFonts w:ascii="Times" w:hAnsi="Times" w:cs="Times"/>
          <w:sz w:val="24"/>
          <w:sz-cs w:val="24"/>
          <w:b/>
          <w:color w:val="1B1C1D"/>
        </w:rPr>
        <w:t xml:space="preserve"/>
        <w:tab/>
        <w:t xml:space="preserve">•</w:t>
        <w:tab/>
        <w:t xml:space="preserve">Accessibility:</w:t>
      </w:r>
      <w:r>
        <w:rPr>
          <w:rFonts w:ascii="Times" w:hAnsi="Times" w:cs="Times"/>
          <w:sz w:val="24"/>
          <w:sz-cs w:val="24"/>
          <w:color w:val="1B1C1D"/>
        </w:rPr>
        <w:t xml:space="preserve"> The RAA Onboarding UI will be developed in compliance with </w:t>
      </w:r>
      <w:r>
        <w:rPr>
          <w:rFonts w:ascii="Times" w:hAnsi="Times" w:cs="Times"/>
          <w:sz w:val="24"/>
          <w:sz-cs w:val="24"/>
          <w:b/>
          <w:color w:val="1B1C1D"/>
        </w:rPr>
        <w:t xml:space="preserve">WCAG 2.1 AA</w:t>
      </w:r>
      <w:r>
        <w:rPr>
          <w:rFonts w:ascii="Times" w:hAnsi="Times" w:cs="Times"/>
          <w:sz w:val="24"/>
          <w:sz-cs w:val="24"/>
          <w:color w:val="1B1C1D"/>
        </w:rPr>
        <w:t xml:space="preserve"> standards to ensure it is usable by individuals with disabilities. This includes proper semantic HTML, keyboard navigation support, and clear visual contrast.</w:t>
      </w:r>
    </w:p>
    <w:p>
      <w:pPr>
        <w:spacing w:before="120" w:after="120"/>
      </w:pPr>
      <w:r>
        <w:rPr>
          <w:rFonts w:ascii="Times" w:hAnsi="Times" w:cs="Times"/>
          <w:sz w:val="24"/>
          <w:sz-cs w:val="24"/>
          <w:color w:val="1B1C1D"/>
        </w:rPr>
        <w:t xml:space="preserve">DevOps and Release Strategy</w:t>
      </w:r>
    </w:p>
    <w:p>
      <w:pPr>
        <w:spacing w:after="120"/>
      </w:pPr>
      <w:r>
        <w:rPr>
          <w:rFonts w:ascii="Times" w:hAnsi="Times" w:cs="Times"/>
          <w:sz w:val="24"/>
          <w:sz-cs w:val="24"/>
          <w:color w:val="1B1C1D"/>
        </w:rPr>
        <w:t xml:space="preserve">A comprehensive DevOps strategy will ensure a smooth and automated path from development to production.</w:t>
      </w:r>
    </w:p>
    <w:p>
      <w:pPr>
        <w:ind w:left="720"/>
      </w:pPr>
      <w:r>
        <w:rPr>
          <w:rFonts w:ascii="Times" w:hAnsi="Times" w:cs="Times"/>
          <w:sz w:val="24"/>
          <w:sz-cs w:val="24"/>
          <w:b/>
          <w:color w:val="1B1C1D"/>
        </w:rPr>
        <w:t xml:space="preserve"/>
        <w:tab/>
        <w:t xml:space="preserve">•</w:t>
        <w:tab/>
        <w:t xml:space="preserve">CI/CD Pipeline:</w:t>
      </w:r>
      <w:r>
        <w:rPr>
          <w:rFonts w:ascii="Times" w:hAnsi="Times" w:cs="Times"/>
          <w:sz w:val="24"/>
          <w:sz-cs w:val="24"/>
          <w:color w:val="1B1C1D"/>
        </w:rPr>
        <w:t xml:space="preserve"> A CI/CD pipeline will be established for the RAA Onboarding UI and the new microservices. The pipeline will automate code building, unit testing, security scanning, and container image creation.</w:t>
      </w:r>
    </w:p>
    <w:p>
      <w:pPr>
        <w:ind w:left="720"/>
      </w:pPr>
      <w:r>
        <w:rPr>
          <w:rFonts w:ascii="Times" w:hAnsi="Times" w:cs="Times"/>
          <w:sz w:val="24"/>
          <w:sz-cs w:val="24"/>
          <w:b/>
          <w:color w:val="1B1C1D"/>
        </w:rPr>
        <w:t xml:space="preserve"/>
        <w:tab/>
        <w:t xml:space="preserve">•</w:t>
        <w:tab/>
        <w:t xml:space="preserve">Containerization:</w:t>
      </w:r>
      <w:r>
        <w:rPr>
          <w:rFonts w:ascii="Times" w:hAnsi="Times" w:cs="Times"/>
          <w:sz w:val="24"/>
          <w:sz-cs w:val="24"/>
          <w:color w:val="1B1C1D"/>
        </w:rPr>
        <w:t xml:space="preserve"> The RAA BFF and all new microservices will be containerized using </w:t>
      </w:r>
      <w:r>
        <w:rPr>
          <w:rFonts w:ascii="Times" w:hAnsi="Times" w:cs="Times"/>
          <w:sz w:val="24"/>
          <w:sz-cs w:val="24"/>
          <w:b/>
          <w:color w:val="1B1C1D"/>
        </w:rPr>
        <w:t xml:space="preserve">Docker</w:t>
      </w:r>
      <w:r>
        <w:rPr>
          <w:rFonts w:ascii="Times" w:hAnsi="Times" w:cs="Times"/>
          <w:sz w:val="24"/>
          <w:sz-cs w:val="24"/>
          <w:color w:val="1B1C1D"/>
        </w:rPr>
        <w:t xml:space="preserve"> and deployed on </w:t>
      </w:r>
      <w:r>
        <w:rPr>
          <w:rFonts w:ascii="Times" w:hAnsi="Times" w:cs="Times"/>
          <w:sz w:val="24"/>
          <w:sz-cs w:val="24"/>
          <w:b/>
          <w:color w:val="1B1C1D"/>
        </w:rPr>
        <w:t xml:space="preserve">OpenShift/Rancher</w:t>
      </w:r>
      <w:r>
        <w:rPr>
          <w:rFonts w:ascii="Times" w:hAnsi="Times" w:cs="Times"/>
          <w:sz w:val="24"/>
          <w:sz-cs w:val="24"/>
          <w:color w:val="1B1C1D"/>
        </w:rPr>
        <w:t xml:space="preserve">.</w:t>
      </w:r>
    </w:p>
    <w:p>
      <w:pPr>
        <w:ind w:left="720"/>
      </w:pPr>
      <w:r>
        <w:rPr>
          <w:rFonts w:ascii="Times" w:hAnsi="Times" w:cs="Times"/>
          <w:sz w:val="24"/>
          <w:sz-cs w:val="24"/>
          <w:b/>
          <w:color w:val="1B1C1D"/>
        </w:rPr>
        <w:t xml:space="preserve"/>
        <w:tab/>
        <w:t xml:space="preserve">•</w:t>
        <w:tab/>
        <w:t xml:space="preserve">Release Plan:</w:t>
      </w:r>
      <w:r>
        <w:rPr>
          <w:rFonts w:ascii="Times" w:hAnsi="Times" w:cs="Times"/>
          <w:sz w:val="24"/>
          <w:sz-cs w:val="24"/>
          <w:color w:val="1B1C1D"/>
        </w:rPr>
        <w:t xml:space="preserve"> The rollout will follow a phased approach:</w:t>
      </w:r>
    </w:p>
    <w:p>
      <w:pPr>
        <w:ind w:left="1440"/>
      </w:pPr>
      <w:r>
        <w:rPr>
          <w:rFonts w:ascii="Times" w:hAnsi="Times" w:cs="Times"/>
          <w:sz w:val="24"/>
          <w:sz-cs w:val="24"/>
          <w:b/>
          <w:color w:val="1B1C1D"/>
        </w:rPr>
        <w:t xml:space="preserve"/>
        <w:tab/>
        <w:t xml:space="preserve">•</w:t>
        <w:tab/>
        <w:t xml:space="preserve">Pilot:</w:t>
      </w:r>
      <w:r>
        <w:rPr>
          <w:rFonts w:ascii="Times" w:hAnsi="Times" w:cs="Times"/>
          <w:sz w:val="24"/>
          <w:sz-cs w:val="24"/>
          <w:color w:val="1B1C1D"/>
        </w:rPr>
        <w:t xml:space="preserve"> A pilot program with a small group of internal users to test the end-to-end flow and gather feedback.</w:t>
      </w:r>
    </w:p>
    <w:p>
      <w:pPr>
        <w:ind w:left="1440"/>
      </w:pPr>
      <w:r>
        <w:rPr>
          <w:rFonts w:ascii="Times" w:hAnsi="Times" w:cs="Times"/>
          <w:sz w:val="24"/>
          <w:sz-cs w:val="24"/>
          <w:b/>
          <w:color w:val="1B1C1D"/>
        </w:rPr>
        <w:t xml:space="preserve"/>
        <w:tab/>
        <w:t xml:space="preserve">•</w:t>
        <w:tab/>
        <w:t xml:space="preserve">Phased Rollout:</w:t>
      </w:r>
      <w:r>
        <w:rPr>
          <w:rFonts w:ascii="Times" w:hAnsi="Times" w:cs="Times"/>
          <w:sz w:val="24"/>
          <w:sz-cs w:val="24"/>
          <w:color w:val="1B1C1D"/>
        </w:rPr>
        <w:t xml:space="preserve"> A controlled release to a small percentage of the customer base, gradually increasing the rollout percentage.</w:t>
      </w:r>
    </w:p>
    <w:p>
      <w:pPr>
        <w:ind w:left="1440"/>
        <w:spacing w:after="120"/>
      </w:pPr>
      <w:r>
        <w:rPr>
          <w:rFonts w:ascii="Times" w:hAnsi="Times" w:cs="Times"/>
          <w:sz w:val="24"/>
          <w:sz-cs w:val="24"/>
          <w:b/>
          <w:color w:val="1B1C1D"/>
        </w:rPr>
        <w:t xml:space="preserve"/>
        <w:tab/>
        <w:t xml:space="preserve">•</w:t>
        <w:tab/>
        <w:t xml:space="preserve">Full Release:</w:t>
      </w:r>
      <w:r>
        <w:rPr>
          <w:rFonts w:ascii="Times" w:hAnsi="Times" w:cs="Times"/>
          <w:sz w:val="24"/>
          <w:sz-cs w:val="24"/>
          <w:color w:val="1B1C1D"/>
        </w:rPr>
        <w:t xml:space="preserve"> A full launch once all metrics and feedback confirm a successful and stable rollout.</w:t>
      </w:r>
    </w:p>
    <w:p>
      <w:pPr>
        <w:spacing w:before="120" w:after="120"/>
      </w:pPr>
      <w:r>
        <w:rPr>
          <w:rFonts w:ascii="Times" w:hAnsi="Times" w:cs="Times"/>
          <w:sz w:val="24"/>
          <w:sz-cs w:val="24"/>
          <w:color w:val="1B1C1D"/>
        </w:rPr>
        <w:t xml:space="preserve">Rollout and Support Plan</w:t>
      </w:r>
    </w:p>
    <w:p>
      <w:pPr>
        <w:spacing w:after="120"/>
      </w:pPr>
      <w:r>
        <w:rPr>
          <w:rFonts w:ascii="Times" w:hAnsi="Times" w:cs="Times"/>
          <w:sz w:val="24"/>
          <w:sz-cs w:val="24"/>
          <w:color w:val="1B1C1D"/>
        </w:rPr>
        <w:t xml:space="preserve">This plan outlines the pre-launch activities, go-live support, and post-launch monitoring.</w:t>
      </w:r>
    </w:p>
    <w:p>
      <w:pPr>
        <w:ind w:left="720"/>
      </w:pPr>
      <w:r>
        <w:rPr>
          <w:rFonts w:ascii="Times" w:hAnsi="Times" w:cs="Times"/>
          <w:sz w:val="24"/>
          <w:sz-cs w:val="24"/>
          <w:b/>
          <w:color w:val="1B1C1D"/>
        </w:rPr>
        <w:t xml:space="preserve"/>
        <w:tab/>
        <w:t xml:space="preserve">•</w:t>
        <w:tab/>
        <w:t xml:space="preserve">Readiness Checklist:</w:t>
      </w:r>
      <w:r>
        <w:rPr>
          <w:rFonts w:ascii="Times" w:hAnsi="Times" w:cs="Times"/>
          <w:sz w:val="24"/>
          <w:sz-cs w:val="24"/>
          <w:color w:val="1B1C1D"/>
        </w:rPr>
        <w:t xml:space="preserve"> A comprehensive checklist will be completed before the go-live date, ensuring all environments, APIs, and monitoring tools are ready.</w:t>
      </w:r>
    </w:p>
    <w:p>
      <w:pPr>
        <w:ind w:left="720"/>
      </w:pPr>
      <w:r>
        <w:rPr>
          <w:rFonts w:ascii="Times" w:hAnsi="Times" w:cs="Times"/>
          <w:sz w:val="24"/>
          <w:sz-cs w:val="24"/>
          <w:b/>
          <w:color w:val="1B1C1D"/>
        </w:rPr>
        <w:t xml:space="preserve"/>
        <w:tab/>
        <w:t xml:space="preserve">•</w:t>
        <w:tab/>
        <w:t xml:space="preserve">Support Model:</w:t>
      </w:r>
      <w:r>
        <w:rPr>
          <w:rFonts w:ascii="Times" w:hAnsi="Times" w:cs="Times"/>
          <w:sz w:val="24"/>
          <w:sz-cs w:val="24"/>
          <w:color w:val="1B1C1D"/>
        </w:rPr>
        <w:t xml:space="preserve"> A tiered support model will be established, with Level 1 support from the existing call center, and Level 2 support from the product and development teams for troubleshooting.</w:t>
      </w:r>
    </w:p>
    <w:p>
      <w:pPr>
        <w:ind w:left="720"/>
        <w:spacing w:after="120"/>
      </w:pPr>
      <w:r>
        <w:rPr>
          <w:rFonts w:ascii="Times" w:hAnsi="Times" w:cs="Times"/>
          <w:sz w:val="24"/>
          <w:sz-cs w:val="24"/>
          <w:b/>
          <w:color w:val="1B1C1D"/>
        </w:rPr>
        <w:t xml:space="preserve"/>
        <w:tab/>
        <w:t xml:space="preserve">•</w:t>
        <w:tab/>
        <w:t xml:space="preserve">Monitoring &amp; Alerts:</w:t>
      </w:r>
      <w:r>
        <w:rPr>
          <w:rFonts w:ascii="Times" w:hAnsi="Times" w:cs="Times"/>
          <w:sz w:val="24"/>
          <w:sz-cs w:val="24"/>
          <w:color w:val="1B1C1D"/>
        </w:rPr>
        <w:t xml:space="preserve"> Monitoring dashboards and alerts will be configured to track key performance indicators (KPIs) and alert the support team of any issues in real-time. This includes API response times, error rates, and system uptime.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