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ADR-044: Workflow Engine Standardization (Flowable)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Proposed / Accepted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2026-01-02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Retention &amp; Assisted Servicing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Tags: #backend #workflow #java #springboot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Problem Description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 introducing complex, multi-step servicing flows (specifically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Retention Offers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extend beyond simple request/response cycles. These flows have distinct requirements that our current stateless microservice architecture cannot handle efficiently: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Long-running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Offers may remain "pending" for days waiting for customer acceptance or manager approval.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Audit/Compliance: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assisted channels, we must log every state transition (who offered what, when, and the outcome) for compliance.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 Logic Complexity: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Hard-coding "if/else" logic for retention eligibility inside Java services makes the code difficult to maintain and visualize.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need a standardized engine to orchestrate these states without reinventing persistence layers or polling mechanisms for every new feature.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Decision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will integrate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Flowable (v6.x)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standard workflow engine for the Assisted Channels and Retention domains.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Deployment Model: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Embedded Spring Boot dependency (sharing the host service's lifecycle).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Relational DB (PostgreSQL/Oracle) utilizing existing datasources.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Options Analysis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evaluated the following options against our requirements for Spring Boot compatibility, licensing, and overhead.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A: Custom (Status Quo)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B: Flowable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C: Camunda 7/8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D: jBPM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State 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Manual (DB Tables + Cron)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(BPMN/CMMN)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(BPMN/DMN)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(BPMN/Drools)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Spring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(Starters available)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 (KIE Server focus)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Licensing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Apache 2.0 (Open Source)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7: Apache / 8: Proprietary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Apache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(Maintenance burden)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Low/Medium (Embedded)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 (7) / High (8 requires Zeebe broker)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(Heavy ecosystem)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UI/Visuals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Flowable IDM/Admin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Camunda Modeler (Best in class)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Business Central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Justification for Flowable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selected Flowable primarily for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lightweight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CMMN capabilities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Assisted Channel Alignment (CMMN vs. BPMN):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While Retention offers are structured (BPMN), general servicing in Assisted Channels is often non-linear. Flowable has strong support for CMMN (Case Management), allowing bankers to trigger ad-hoc tasks without being forced into a rigid path.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Technical Stack Fit: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Flowable originated as a fork of Activiti and allows for an "Embedded Engine" pattern. We can include it as a Maven/Gradle dependency. It creates its own tables in our existing schema, meaning no new infrastructure (servers/clusters) is required to start.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Licensing: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core engine is Apache 2.0 licensed, allowing us to deploy freely to production without immediate commercial vendor lock-in, while maintaining an upgrade path to enterprise support if scaling requirements change.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Implementation Guidelines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put complex business logic in the BPMN XML. Use JavaDelegates to call out to our Spring Beans. The workflow should only orchestrate the flow, not execute the calculation.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process definitions must be versioned in Git alongside the source code.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Operational dashboards will be exposed via the internal admin portal for support teams to view "stuck" retention flows.</w:t>
      </w:r>
    </w:p>
    <w:p w:rsidR="00000000" w:rsidDel="00000000" w:rsidP="00000000" w:rsidRDefault="00000000" w:rsidRPr="00000000" w14:paraId="0000003A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ox90iy1tctd0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References &amp; Learning Resources</w:t>
      </w:r>
    </w:p>
    <w:p w:rsidR="00000000" w:rsidDel="00000000" w:rsidP="00000000" w:rsidRDefault="00000000" w:rsidRPr="00000000" w14:paraId="0000003B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engineers new to Flowable, please review the official documentation below: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Getting Started: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="275.9999942779541" w:lineRule="auto"/>
        <w:ind w:left="870" w:hanging="360"/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Flowable Open Source Home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Overview of the ecosystem.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</w:pP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Getting Started Guide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A 10-minute tutorial on deploying a simple process.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Documentation: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line="275.9999942779541" w:lineRule="auto"/>
        <w:ind w:left="870" w:hanging="360"/>
      </w:pP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BPMN 2.0 User Guide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For structured flows like Retention Offers.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CMMN 1.1 User Guide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For ad-hoc "Case Management" flows used in Assisted Servicing.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Development: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line="275.9999942779541" w:lineRule="auto"/>
        <w:ind w:left="870" w:hanging="360"/>
      </w:pP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Spring Boot Integration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How to configure the embedded engine in our microservices.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120" w:before="0" w:beforeAutospacing="0" w:line="275.9999942779541" w:lineRule="auto"/>
        <w:ind w:left="870" w:hanging="360"/>
      </w:pP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REST API Swagger Docs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Reference for the out-of-the-box APIs.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umentation.flowable.com/latest/develop/core-swagger" TargetMode="External"/><Relationship Id="rId10" Type="http://schemas.openxmlformats.org/officeDocument/2006/relationships/hyperlink" Target="https://www.flowable.com/open-source/docs/bpmn/ch05a-Spring-Boot" TargetMode="External"/><Relationship Id="rId9" Type="http://schemas.openxmlformats.org/officeDocument/2006/relationships/hyperlink" Target="https://www.google.com/search?q=https://www.flowable.com/open-source/docs/cmmn/ch01-Introdu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lowable.com/open-source" TargetMode="External"/><Relationship Id="rId7" Type="http://schemas.openxmlformats.org/officeDocument/2006/relationships/hyperlink" Target="https://www.flowable.com/open-source/docs/bpmn/ch02-GettingStarted" TargetMode="External"/><Relationship Id="rId8" Type="http://schemas.openxmlformats.org/officeDocument/2006/relationships/hyperlink" Target="https://www.flowable.com/open-source/docs/bpmn/ch07a-BPMN-Introdu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