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is a fantastic addition. "Centralized Engine, Decentralized Logic" is exactly the kind of crisp, memorable phrasing that sticks in an executive's mind long after the meeting is over. It perfectly summarizes the value proposition in five words.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updated matrix with that phrasing locked into Option 3.</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Team Ownership Legend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[Mosaic Team]</w:t>
      </w:r>
      <w:r w:rsidDel="00000000" w:rsidR="00000000" w:rsidRPr="00000000">
        <w:rPr>
          <w:rFonts w:ascii="Google Sans" w:cs="Google Sans" w:eastAsia="Google Sans" w:hAnsi="Google Sans"/>
          <w:color w:val="1f1f1f"/>
          <w:rtl w:val="0"/>
        </w:rPr>
        <w:t xml:space="preserve">: React/Spring Boot (Servicing, Flowable, Platform Engineering)</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[Velocity Team]</w:t>
      </w:r>
      <w:r w:rsidDel="00000000" w:rsidR="00000000" w:rsidRPr="00000000">
        <w:rPr>
          <w:rFonts w:ascii="Google Sans" w:cs="Google Sans" w:eastAsia="Google Sans" w:hAnsi="Google Sans"/>
          <w:color w:val="1f1f1f"/>
          <w:rtl w:val="0"/>
        </w:rPr>
        <w:t xml:space="preserve">: Angular/.NET (Account Origination)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[Data Team]</w:t>
      </w:r>
      <w:r w:rsidDel="00000000" w:rsidR="00000000" w:rsidRPr="00000000">
        <w:rPr>
          <w:rFonts w:ascii="Google Sans" w:cs="Google Sans" w:eastAsia="Google Sans" w:hAnsi="Google Sans"/>
          <w:color w:val="1f1f1f"/>
          <w:rtl w:val="0"/>
        </w:rPr>
        <w:t xml:space="preserve">: Enterprise Data (InteractionHub, Canonical Schema, ODS)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Architectural Options Comparison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Summary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Ownership Breakdown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Data-Centric (CDC to Medallion via Flink)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dump raw state via Outbox. The integration and mapping effort shifts downstream, where the Data team transforms native events to Canonical using streaming infra (Flink).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Publish Mosaic native events to outbox/topic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Publish Velocity native events to outbox/topic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Provide CDC/ingestion pipelines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Build/maintain Flink mapping logic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Maintain Canonical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Total app autonomy (no enterprise data logic in microservices).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Centralized, modern data engineering.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Requires mature, highly available Flink/streaming infrastructure.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Canonical modeling is delayed until downstream processing is 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Federated ACL (Strict Microservice Ownership)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domain team builds, hosts, and maintains their own dedicated Translator microservice to map and publish data. This completely decentralizes the integration effort across the organization.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Provide Canonical JSON Schema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Build/host Mosaic Translator microservice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Map Mosaic servicing events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Build/host Velocity Translator microservice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Map Velocity origination events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Delivers exact Canonical payload Data team requested.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Strict Domain-Driven isolation.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Requires simultaneous engineering capacity from domain teams to achieve day-one integration.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Duplicated infrastructure and operational overhead across the bank.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Translation-as-a-Service (Centralized Engine, Decentralized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Mosaic hosts one central stateless engine. Domains provide declarative mapping files via an automated GitOps pipeline.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Provide Canonical JSON Schema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Build/host centralized TaaS Engine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Build CI/CD automated validation pipeline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Map Mosaic servicing events (.jsonata)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Map Velocity origination events (.jsonata)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Maximum infra efficiency (DRY).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Clear boundaries: Data owns schema, Domains own logic, Platform owns compute.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Effortless onboarding for future apps.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Mosaic takes on centralized compute risk (single point of failure).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Requires high CI/CD maturity to build the automated validation gates.</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