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Enterprise Workflow Tooling &amp; Internal Engine Management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Status:</w:t>
      </w:r>
      <w:r w:rsidDel="00000000" w:rsidR="00000000" w:rsidRPr="00000000">
        <w:rPr>
          <w:rFonts w:ascii="Google Sans" w:cs="Google Sans" w:eastAsia="Google Sans" w:hAnsi="Google Sans"/>
          <w:color w:val="1f1f1f"/>
          <w:rtl w:val="0"/>
        </w:rPr>
        <w:t xml:space="preserve"> Proposed (July 2026)</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System:</w:t>
      </w:r>
      <w:r w:rsidDel="00000000" w:rsidR="00000000" w:rsidRPr="00000000">
        <w:rPr>
          <w:rFonts w:ascii="Google Sans" w:cs="Google Sans" w:eastAsia="Google Sans" w:hAnsi="Google Sans"/>
          <w:color w:val="1f1f1f"/>
          <w:rtl w:val="0"/>
        </w:rPr>
        <w:t xml:space="preserve"> DSP Assisted</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Context and Problem Statement</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Following initial vendor negotiations for a commercial SLA-backed license of Flowable, procurement challenges have required the engineering team to re-evaluate our workflow engine strategy. Concurrently, the Enterprise Architecture Board has requested a formal assessment of existing enterprise platforms (TIBCO Pathway, Pega, and Appian) to serve as the workflow backbone for DSP.</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DSP is a high-performance, real-time servicing platform utilized daily by bank associates. The platform enforces several strict architectural constraints: a headless UI maintained within our source control, stateless containerized deployments hosted on OpenShift, zero-latency execution, and a strict "store-by-reference" security baseline to prevent PII/PCI exposure within the orchestration layer.</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Considered Alternatives &amp; Analysis</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Alternative A: TIBCO Pathway (Centralized ESB / Integration Hub)</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Pros:</w:t>
      </w:r>
      <w:r w:rsidDel="00000000" w:rsidR="00000000" w:rsidRPr="00000000">
        <w:rPr>
          <w:rFonts w:ascii="Google Sans" w:cs="Google Sans" w:eastAsia="Google Sans" w:hAnsi="Google Sans"/>
          <w:color w:val="1f1f1f"/>
          <w:rtl w:val="0"/>
        </w:rPr>
        <w:t xml:space="preserve"> Established enterprise standard at the bank for cross-domain message routing; capable of massive integration throughput.</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Cons:</w:t>
      </w:r>
      <w:r w:rsidDel="00000000" w:rsidR="00000000" w:rsidRPr="00000000">
        <w:rPr>
          <w:rFonts w:ascii="Google Sans" w:cs="Google Sans" w:eastAsia="Google Sans" w:hAnsi="Google Sans"/>
          <w:color w:val="1f1f1f"/>
          <w:rtl w:val="0"/>
        </w:rPr>
        <w:t xml:space="preserve"> Designed as a centralized integration bus, not a localized BPMN state-machine. Its heavyweight infrastructure does not scale elastically alongside stateless OpenShift containers, and it forces localized workflows through a central hub, creating unnecessary network hops.</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Alternative B: Pega / Appian (Headless Implementation)</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Pros:</w:t>
      </w:r>
      <w:r w:rsidDel="00000000" w:rsidR="00000000" w:rsidRPr="00000000">
        <w:rPr>
          <w:rFonts w:ascii="Google Sans" w:cs="Google Sans" w:eastAsia="Google Sans" w:hAnsi="Google Sans"/>
          <w:color w:val="1f1f1f"/>
          <w:rtl w:val="0"/>
        </w:rPr>
        <w:t xml:space="preserve"> Industry-leading capabilities for complex Account Opening / Onboarding (OAO); powerful frameworks for document ingestion and human-in-the-loop exception handling.</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Cons:</w:t>
      </w:r>
      <w:r w:rsidDel="00000000" w:rsidR="00000000" w:rsidRPr="00000000">
        <w:rPr>
          <w:rFonts w:ascii="Google Sans" w:cs="Google Sans" w:eastAsia="Google Sans" w:hAnsi="Google Sans"/>
          <w:color w:val="1f1f1f"/>
          <w:rtl w:val="0"/>
        </w:rPr>
        <w:t xml:space="preserve"> Forces stateless microservices to act as proxies, introducing unacceptable network latency for real-time servicing. Inherently designed to ingest and store domain data (PII/PCI), directly violating our "store-by-reference" mandate. Premium enterprise licensing fees are misallocated when utilized purely headlessly.</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Alternative C: Internal Managed Fork of Flowable (Embedded)</w:t>
      </w:r>
    </w:p>
    <w:p w:rsidR="00000000" w:rsidDel="00000000" w:rsidP="00000000" w:rsidRDefault="00000000" w:rsidRPr="00000000" w14:paraId="00000014">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Pros:</w:t>
      </w:r>
      <w:r w:rsidDel="00000000" w:rsidR="00000000" w:rsidRPr="00000000">
        <w:rPr>
          <w:rFonts w:ascii="Google Sans" w:cs="Google Sans" w:eastAsia="Google Sans" w:hAnsi="Google Sans"/>
          <w:color w:val="1f1f1f"/>
          <w:rtl w:val="0"/>
        </w:rPr>
        <w:t xml:space="preserve"> Runs natively as a .jar dependency, executing JavaDelegate classes in the exact same memory space as domain APIs (zero-latency). Acts strictly as a stateless routing engine, keeping the orchestration layer entirely out of PII/PCI scope.</w:t>
      </w:r>
    </w:p>
    <w:p w:rsidR="00000000" w:rsidDel="00000000" w:rsidP="00000000" w:rsidRDefault="00000000" w:rsidRPr="00000000" w14:paraId="00000015">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Cons:</w:t>
      </w:r>
      <w:r w:rsidDel="00000000" w:rsidR="00000000" w:rsidRPr="00000000">
        <w:rPr>
          <w:rFonts w:ascii="Google Sans" w:cs="Google Sans" w:eastAsia="Google Sans" w:hAnsi="Google Sans"/>
          <w:color w:val="1f1f1f"/>
          <w:rtl w:val="0"/>
        </w:rPr>
        <w:t xml:space="preserve"> Shifts the responsibility of core engine maintenance and CVE patching to the internal engineering team; requires custom observability integration.</w:t>
      </w:r>
    </w:p>
    <w:p w:rsidR="00000000" w:rsidDel="00000000" w:rsidP="00000000" w:rsidRDefault="00000000" w:rsidRPr="00000000" w14:paraId="0000001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Decision</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 will proceed with </w:t>
      </w:r>
      <w:r w:rsidDel="00000000" w:rsidR="00000000" w:rsidRPr="00000000">
        <w:rPr>
          <w:rFonts w:ascii="Google Sans" w:cs="Google Sans" w:eastAsia="Google Sans" w:hAnsi="Google Sans"/>
          <w:b w:val="1"/>
          <w:bCs w:val="1"/>
          <w:color w:val="1f1f1f"/>
          <w:rtl w:val="0"/>
        </w:rPr>
        <w:t xml:space="preserve">Alternative C</w:t>
      </w:r>
      <w:r w:rsidDel="00000000" w:rsidR="00000000" w:rsidRPr="00000000">
        <w:rPr>
          <w:rFonts w:ascii="Google Sans" w:cs="Google Sans" w:eastAsia="Google Sans" w:hAnsi="Google Sans"/>
          <w:color w:val="1f1f1f"/>
          <w:rtl w:val="0"/>
        </w:rPr>
        <w:t xml:space="preserve">: establishing an internally governed, version-controlled fork of the open-source Flowable engine, deployed as an embedded dependency within our Spring Boot microservices.</w:t>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Rationale &amp; Domain Applicability Matrix</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ensure architectural alignment across the bank, this decision establishes a strict boundary between origination workflows and associate-facing servicing workflows.</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Enterprise Standards for Origination &amp; OAO</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Enterprise Architecture Board rightly recognizes platforms such as Pega and Appian as the standard for complex onboarding and Online Account Opening (OAO). These origination journeys are inherently long-running and data-heavy. They require deep third-party integrations for KYC/AML, robust document ingestion pipelines, and the temporary aggregation of sensitive PII to assemble a complete customer profile. For these heavy case-management and origination use cases, centralized enterprise platforms are the correct architectural choice.</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The Servicing Boundary (The DSP Context)</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DSP is strictly a Digital Servicing platform, not an OAO system. By the time a workflow executes within DSP, the customer is fully onboarded and verified. The operational requirements for servicing shift entirely away from document aggregation and toward high-throughput, low-latency state transitions executed in real-time while an associate is actively engaged with the account.</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Concrete Exemplar: Customer &amp; Account Service Request Intake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illustrate the architectural fit, consider DSP’s core servicing pattern: </w:t>
      </w:r>
      <w:r w:rsidDel="00000000" w:rsidR="00000000" w:rsidRPr="00000000">
        <w:rPr>
          <w:rFonts w:ascii="Google Sans" w:cs="Google Sans" w:eastAsia="Google Sans" w:hAnsi="Google Sans"/>
          <w:b w:val="1"/>
          <w:bCs w:val="1"/>
          <w:color w:val="1f1f1f"/>
          <w:rtl w:val="0"/>
        </w:rPr>
        <w:t xml:space="preserve">Service Intake Requests</w:t>
      </w:r>
      <w:r w:rsidDel="00000000" w:rsidR="00000000" w:rsidRPr="00000000">
        <w:rPr>
          <w:rFonts w:ascii="Google Sans" w:cs="Google Sans" w:eastAsia="Google Sans" w:hAnsi="Google Sans"/>
          <w:color w:val="1f1f1f"/>
          <w:rtl w:val="0"/>
        </w:rPr>
        <w:t xml:space="preserve"> (e.g., Debit Card Maintenance, Fee Adjustments, Address Updates).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Plaintext</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   [Initiator]              [Fulfillment Group]            [Customer Action]</w:t>
        <w:br w:type="textWrapping"/>
        <w:t xml:space="preserve">  Submit Request  -------&gt;  Work Request (2hr SLA)  -----&gt;  Pending Customer Info</w:t>
        <w:br w:type="textWrapping"/>
        <w:t xml:space="preserve">        ^                          |                              |</w:t>
        <w:br w:type="textWrapping"/>
        <w:t xml:space="preserve">        |--- Return for Info ------|                              |</w:t>
        <w:br w:type="textWrapping"/>
        <w:t xml:space="preserve">        |---------------------------------------------------------|</w:t>
        <w:br w:type="textWrapping"/>
      </w:r>
    </w:p>
    <w:p w:rsidR="00000000" w:rsidDel="00000000" w:rsidP="00000000" w:rsidRDefault="00000000" w:rsidRPr="00000000" w14:paraId="00000025">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State Machine Complexity:</w:t>
      </w:r>
      <w:r w:rsidDel="00000000" w:rsidR="00000000" w:rsidRPr="00000000">
        <w:rPr>
          <w:rFonts w:ascii="Google Sans" w:cs="Google Sans" w:eastAsia="Google Sans" w:hAnsi="Google Sans"/>
          <w:color w:val="1f1f1f"/>
          <w:rtl w:val="0"/>
        </w:rPr>
        <w:t xml:space="preserve"> The workflow requires multi-role task routing (Initiator vs. Fulfiller), tight loop-backs, and asynchronous wait states.</w:t>
      </w:r>
    </w:p>
    <w:p w:rsidR="00000000" w:rsidDel="00000000" w:rsidP="00000000" w:rsidRDefault="00000000" w:rsidRPr="00000000" w14:paraId="00000026">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Strict SLA Management:</w:t>
      </w:r>
      <w:r w:rsidDel="00000000" w:rsidR="00000000" w:rsidRPr="00000000">
        <w:rPr>
          <w:rFonts w:ascii="Google Sans" w:cs="Google Sans" w:eastAsia="Google Sans" w:hAnsi="Google Sans"/>
          <w:color w:val="1f1f1f"/>
          <w:rtl w:val="0"/>
        </w:rPr>
        <w:t xml:space="preserve"> The mandatory 2-hour completion SLA is governed natively via BPMN 2.0 Boundary Timer Events and handled by Flowable's clustered Async Executor running on OpenShift, providing real-time alerts without external scheduling middleware.</w:t>
      </w:r>
    </w:p>
    <w:p w:rsidR="00000000" w:rsidDel="00000000" w:rsidP="00000000" w:rsidRDefault="00000000" w:rsidRPr="00000000" w14:paraId="00000027">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Associate Experience:</w:t>
      </w:r>
      <w:r w:rsidDel="00000000" w:rsidR="00000000" w:rsidRPr="00000000">
        <w:rPr>
          <w:rFonts w:ascii="Google Sans" w:cs="Google Sans" w:eastAsia="Google Sans" w:hAnsi="Google Sans"/>
          <w:color w:val="1f1f1f"/>
          <w:rtl w:val="0"/>
        </w:rPr>
        <w:t xml:space="preserve"> Associates interact with this state machine via DSP’s custom React interface, receiving instant, zero-latency UI updates without forcing the application to load heavy, embedded vendor UI frames.</w:t>
      </w:r>
    </w:p>
    <w:p w:rsidR="00000000" w:rsidDel="00000000" w:rsidP="00000000" w:rsidRDefault="00000000" w:rsidRPr="00000000" w14:paraId="00000028">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Data Privacy:</w:t>
      </w:r>
      <w:r w:rsidDel="00000000" w:rsidR="00000000" w:rsidRPr="00000000">
        <w:rPr>
          <w:rFonts w:ascii="Google Sans" w:cs="Google Sans" w:eastAsia="Google Sans" w:hAnsi="Google Sans"/>
          <w:color w:val="1f1f1f"/>
          <w:rtl w:val="0"/>
        </w:rPr>
        <w:t xml:space="preserve"> Sensitive payload data is stored exclusively in secure domain microservices. Flowable only tracks routing variables (serviceRequestId, initiatorId, status), keeping the workflow engine completely out of PII/PCI scope.</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4.4 Justification for Alternative C</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Applying origination tools (Alternative A or B) to the localized servicing domain introduces severe architectural anti-patterns, specifically regarding latency and data sovereignty. Maintaining a tightly governed internal wrapper around Flowable preserves the lightweight, developer-centric architecture required specifically for the digital servicing domain, seamlessly integrating into our existing OpenShift and source control ecosystems.</w:t>
      </w:r>
    </w:p>
    <w:p w:rsidR="00000000" w:rsidDel="00000000" w:rsidP="00000000" w:rsidRDefault="00000000" w:rsidRPr="00000000" w14:paraId="0000002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Consequences &amp; Mitigations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Adopting Alternative C requires the engineering team to assume responsibility for engine maintenance. We will mitigate this operational overhead via the following protocols:</w:t>
      </w:r>
    </w:p>
    <w:p w:rsidR="00000000" w:rsidDel="00000000" w:rsidP="00000000" w:rsidRDefault="00000000" w:rsidRPr="00000000" w14:paraId="0000002D">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The Wrapper Pattern:</w:t>
      </w:r>
      <w:r w:rsidDel="00000000" w:rsidR="00000000" w:rsidRPr="00000000">
        <w:rPr>
          <w:rFonts w:ascii="Google Sans" w:cs="Google Sans" w:eastAsia="Google Sans" w:hAnsi="Google Sans"/>
          <w:color w:val="1f1f1f"/>
          <w:rtl w:val="0"/>
        </w:rPr>
        <w:t xml:space="preserve"> Downstream microservices will depend on an internal DSP-workflow-engine-core library, not raw Flowable classes, ensuring absolute control over engine logic and interception points.</w:t>
      </w:r>
    </w:p>
    <w:p w:rsidR="00000000" w:rsidDel="00000000" w:rsidP="00000000" w:rsidRDefault="00000000" w:rsidRPr="00000000" w14:paraId="0000002E">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Dependency Alignment &amp; Vulnerability Management:</w:t>
      </w:r>
      <w:r w:rsidDel="00000000" w:rsidR="00000000" w:rsidRPr="00000000">
        <w:rPr>
          <w:rFonts w:ascii="Google Sans" w:cs="Google Sans" w:eastAsia="Google Sans" w:hAnsi="Google Sans"/>
          <w:color w:val="1f1f1f"/>
          <w:rtl w:val="0"/>
        </w:rPr>
        <w:t xml:space="preserve"> While we assume responsibility for patching, Flowable relies on the exact same standard dependency tree as our existing microservices (Spring Framework, MyBatis, Jackson, SLF4J). Patching CVEs within the workflow engine requires no specialized vendor knowledge and aligns perfectly with our existing vulnerability management practices.</w:t>
      </w:r>
    </w:p>
    <w:p w:rsidR="00000000" w:rsidDel="00000000" w:rsidP="00000000" w:rsidRDefault="00000000" w:rsidRPr="00000000" w14:paraId="0000002F">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Automated Security Scanning:</w:t>
      </w:r>
      <w:r w:rsidDel="00000000" w:rsidR="00000000" w:rsidRPr="00000000">
        <w:rPr>
          <w:rFonts w:ascii="Google Sans" w:cs="Google Sans" w:eastAsia="Google Sans" w:hAnsi="Google Sans"/>
          <w:color w:val="1f1f1f"/>
          <w:rtl w:val="0"/>
        </w:rPr>
        <w:t xml:space="preserve"> The internal fork will be integrated directly into our centralized SAST/DAST scanning pipelines (SonarQube/Checkmarx) alongside automated dependency scanners (e.g., Dependabot/Snyk) to monitor upstream vulnerabilities.</w:t>
      </w:r>
    </w:p>
    <w:p w:rsidR="00000000" w:rsidDel="00000000" w:rsidP="00000000" w:rsidRDefault="00000000" w:rsidRPr="00000000" w14:paraId="00000030">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SLA Commitment:</w:t>
      </w:r>
      <w:r w:rsidDel="00000000" w:rsidR="00000000" w:rsidRPr="00000000">
        <w:rPr>
          <w:rFonts w:ascii="Google Sans" w:cs="Google Sans" w:eastAsia="Google Sans" w:hAnsi="Google Sans"/>
          <w:color w:val="1f1f1f"/>
          <w:rtl w:val="0"/>
        </w:rPr>
        <w:t xml:space="preserve"> The engineering team will draft and adhere to an internal Operational Runbook outlining strict SLAs for identifying, testing, and releasing patches for critical CVEs found in the core engine or its transitive dependencies.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