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5">
        <w:r>
          <w:rPr>
            <w:rStyle w:val="Hyperlink"/>
          </w:rPr>
          <w:t xml:space="preserve">https://academic.oup.com/poq/article/60/3/390/1832313</w:t>
        </w:r>
      </w:hyperlink>
      <w:r>
        <w:t xml:space="preserve">.</w:t>
      </w:r>
    </w:p>
    <w:bookmarkEnd w:id="36"/>
    <w:bookmarkStart w:id="38"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37">
        <w:r>
          <w:rPr>
            <w:rStyle w:val="Hyperlink"/>
          </w:rPr>
          <w:t xml:space="preserve">https://doi.org/10.18637/jss.v067.i01</w:t>
        </w:r>
      </w:hyperlink>
      <w:r>
        <w:t xml:space="preserve">.</w:t>
      </w:r>
    </w:p>
    <w:bookmarkEnd w:id="38"/>
    <w:bookmarkStart w:id="39"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39"/>
    <w:bookmarkStart w:id="41"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0">
        <w:r>
          <w:rPr>
            <w:rStyle w:val="Hyperlink"/>
          </w:rPr>
          <w:t xml:space="preserve">https://doi.org/10.3389/fpsyg.2019.00102</w:t>
        </w:r>
      </w:hyperlink>
      <w:r>
        <w:t xml:space="preserve">.</w:t>
      </w:r>
    </w:p>
    <w:bookmarkEnd w:id="41"/>
    <w:bookmarkStart w:id="43"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2">
        <w:r>
          <w:rPr>
            <w:rStyle w:val="Hyperlink"/>
          </w:rPr>
          <w:t xml:space="preserve">https://doi.org/10.1177/10944281211056520</w:t>
        </w:r>
      </w:hyperlink>
      <w:r>
        <w:t xml:space="preserve">.</w:t>
      </w:r>
    </w:p>
    <w:bookmarkEnd w:id="43"/>
    <w:bookmarkStart w:id="45"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4">
        <w:r>
          <w:rPr>
            <w:rStyle w:val="Hyperlink"/>
          </w:rPr>
          <w:t xml:space="preserve">https://doi.org/10.18637/jss.v048.i06</w:t>
        </w:r>
      </w:hyperlink>
      <w:r>
        <w:t xml:space="preserve">.</w:t>
      </w:r>
    </w:p>
    <w:bookmarkEnd w:id="45"/>
    <w:bookmarkStart w:id="47" w:name="ref-Christie1970"/>
    <w:p>
      <w:pPr>
        <w:pStyle w:val="Bibliography"/>
      </w:pPr>
      <w:r>
        <w:t xml:space="preserve">Christie, Richard, and Florence L. Geis.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r>
        <w:t xml:space="preserve">.</w:t>
      </w:r>
    </w:p>
    <w:bookmarkEnd w:id="47"/>
    <w:bookmarkStart w:id="49" w:name="ref-DeSimone2018"/>
    <w:p>
      <w:pPr>
        <w:pStyle w:val="Bibliography"/>
      </w:pPr>
      <w:r>
        <w:t xml:space="preserve">DeSimone, Justin A., and P. D. Harms. 2018.</w:t>
      </w:r>
      <w:r>
        <w:t xml:space="preserve"> </w:t>
      </w:r>
      <w:r>
        <w:t xml:space="preserve">“Dirty Data: The Effects of Screening Respondents Who Provide Low-Quality Data in Survey Research.”</w:t>
      </w:r>
      <w:r>
        <w:t xml:space="preserve"> </w:t>
      </w:r>
      <w:r>
        <w:rPr>
          <w:i/>
          <w:iCs/>
        </w:rPr>
        <w:t xml:space="preserve">Journal of Business and Psychology</w:t>
      </w:r>
      <w:r>
        <w:t xml:space="preserve"> </w:t>
      </w:r>
      <w:r>
        <w:t xml:space="preserve">33 (October): 559–77.</w:t>
      </w:r>
      <w:r>
        <w:t xml:space="preserve"> </w:t>
      </w:r>
      <w:hyperlink r:id="rId48">
        <w:r>
          <w:rPr>
            <w:rStyle w:val="Hyperlink"/>
          </w:rPr>
          <w:t xml:space="preserve">https://doi.org/10.1007/s10869-017-9514-9</w:t>
        </w:r>
      </w:hyperlink>
      <w:r>
        <w:t xml:space="preserve">.</w:t>
      </w:r>
    </w:p>
    <w:bookmarkEnd w:id="49"/>
    <w:bookmarkStart w:id="50" w:name="ref-Ferrando2006"/>
    <w:p>
      <w:pPr>
        <w:pStyle w:val="Bibliography"/>
      </w:pPr>
      <w:r>
        <w:t xml:space="preserve">Ferrando, Pere J. 2006.</w:t>
      </w:r>
      <w:r>
        <w:t xml:space="preserve"> </w:t>
      </w:r>
      <w:r>
        <w:t xml:space="preserve">“Person-Item Distance and Response Time: An Empirical Study in Personality Measurement.”</w:t>
      </w:r>
      <w:r>
        <w:t xml:space="preserve"> </w:t>
      </w:r>
      <w:r>
        <w:rPr>
          <w:i/>
          <w:iCs/>
        </w:rPr>
        <w:t xml:space="preserve">Psicológica</w:t>
      </w:r>
      <w:r>
        <w:t xml:space="preserve"> </w:t>
      </w:r>
      <w:r>
        <w:t xml:space="preserve">27: 137–48.</w:t>
      </w:r>
    </w:p>
    <w:bookmarkEnd w:id="50"/>
    <w:bookmarkStart w:id="52" w:name="ref-Ferrando2007"/>
    <w:p>
      <w:pPr>
        <w:pStyle w:val="Bibliography"/>
      </w:pPr>
      <w:r>
        <w:t xml:space="preserve">Ferrando, Pere J., and Urbano Lorenzo-Seva. 2007.</w:t>
      </w:r>
      <w:r>
        <w:t xml:space="preserve"> </w:t>
      </w:r>
      <w:r>
        <w:t xml:space="preserve">“An Item Response Theory Model for Incorporating Response Time Data in Binary Personality Items.”</w:t>
      </w:r>
      <w:r>
        <w:t xml:space="preserve"> </w:t>
      </w:r>
      <w:r>
        <w:rPr>
          <w:i/>
          <w:iCs/>
        </w:rPr>
        <w:t xml:space="preserve">Applied Psychological Measurement</w:t>
      </w:r>
      <w:r>
        <w:t xml:space="preserve">.</w:t>
      </w:r>
      <w:r>
        <w:t xml:space="preserve"> </w:t>
      </w:r>
      <w:hyperlink r:id="rId51">
        <w:r>
          <w:rPr>
            <w:rStyle w:val="Hyperlink"/>
          </w:rPr>
          <w:t xml:space="preserve">https://doi.org/10.1177/0146621606295197</w:t>
        </w:r>
      </w:hyperlink>
      <w:r>
        <w:t xml:space="preserve">.</w:t>
      </w:r>
    </w:p>
    <w:bookmarkEnd w:id="52"/>
    <w:bookmarkStart w:id="53"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3"/>
    <w:bookmarkStart w:id="55" w:name="ref-Gilhooly2021"/>
    <w:p>
      <w:pPr>
        <w:pStyle w:val="Bibliography"/>
      </w:pPr>
      <w:r>
        <w:t xml:space="preserve">Gilhooly, Kenneth J., and Mary L. M. Gilhooly. 2021.</w:t>
      </w:r>
      <w:r>
        <w:t xml:space="preserve"> </w:t>
      </w:r>
      <w:r>
        <w:t xml:space="preserve">“Aging Effects on Cognitive and Noncognitive Factors in Creativity.”</w:t>
      </w:r>
      <w:r>
        <w:t xml:space="preserve"> </w:t>
      </w:r>
      <w:r>
        <w:t xml:space="preserve">In</w:t>
      </w:r>
      <w:r>
        <w:t xml:space="preserve"> </w:t>
      </w:r>
      <w:r>
        <w:rPr>
          <w:i/>
          <w:iCs/>
        </w:rPr>
        <w:t xml:space="preserve">Aging and Creativity</w:t>
      </w:r>
      <w:r>
        <w:t xml:space="preserve">, 183–216. Elsevier.</w:t>
      </w:r>
      <w:r>
        <w:t xml:space="preserve"> </w:t>
      </w:r>
      <w:hyperlink r:id="rId54">
        <w:r>
          <w:rPr>
            <w:rStyle w:val="Hyperlink"/>
          </w:rPr>
          <w:t xml:space="preserve">https://doi.org/10.1016/b978-0-12-816401-3.00008-1</w:t>
        </w:r>
      </w:hyperlink>
      <w:r>
        <w:t xml:space="preserve">.</w:t>
      </w:r>
    </w:p>
    <w:bookmarkEnd w:id="55"/>
    <w:bookmarkStart w:id="57" w:name="ref-Hirsch2021"/>
    <w:p>
      <w:pPr>
        <w:pStyle w:val="Bibliography"/>
      </w:pPr>
      <w:r>
        <w:t xml:space="preserve">Hirsch, Joy, Mark Tiede, Xian Zhang, J. Adam Noah, Alexandre Salama-Manteau, and Maurice Biriotti. 2021.</w:t>
      </w:r>
      <w:r>
        <w:t xml:space="preserve"> </w:t>
      </w:r>
      <w:r>
        <w:t xml:space="preserve">“Interpersonal Agreement and Disagreement During Face-to-Face Dialogue: An fNIRS Investigation.”</w:t>
      </w:r>
      <w:r>
        <w:t xml:space="preserve"> </w:t>
      </w:r>
      <w:r>
        <w:rPr>
          <w:i/>
          <w:iCs/>
        </w:rPr>
        <w:t xml:space="preserve">Frontiers in Human Neuroscience</w:t>
      </w:r>
      <w:r>
        <w:t xml:space="preserve"> </w:t>
      </w:r>
      <w:r>
        <w:t xml:space="preserve">14 (January).</w:t>
      </w:r>
      <w:r>
        <w:t xml:space="preserve"> </w:t>
      </w:r>
      <w:hyperlink r:id="rId56">
        <w:r>
          <w:rPr>
            <w:rStyle w:val="Hyperlink"/>
          </w:rPr>
          <w:t xml:space="preserve">https://doi.org/10.3389/fnhum.2020.606397</w:t>
        </w:r>
      </w:hyperlink>
      <w:r>
        <w:t xml:space="preserve">.</w:t>
      </w:r>
    </w:p>
    <w:bookmarkEnd w:id="57"/>
    <w:bookmarkStart w:id="59"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58">
        <w:r>
          <w:rPr>
            <w:rStyle w:val="Hyperlink"/>
          </w:rPr>
          <w:t xml:space="preserve">https://doi.org/10.1177/1525822X17710640</w:t>
        </w:r>
      </w:hyperlink>
      <w:r>
        <w:t xml:space="preserve">.</w:t>
      </w:r>
    </w:p>
    <w:bookmarkEnd w:id="59"/>
    <w:bookmarkStart w:id="61" w:name="ref-Huang2012"/>
    <w:p>
      <w:pPr>
        <w:pStyle w:val="Bibliography"/>
      </w:pPr>
      <w:r>
        <w:t xml:space="preserve">Huang, Jason L., Paul G. Curran, Jessica Keeney, Elizabeth M. Poposki, and Richard P. DeShon. 2012.</w:t>
      </w:r>
      <w:r>
        <w:t xml:space="preserve"> </w:t>
      </w:r>
      <w:r>
        <w:t xml:space="preserve">“Detecting and Deterring Insufficient Effort Responding to Surveys.”</w:t>
      </w:r>
      <w:r>
        <w:t xml:space="preserve"> </w:t>
      </w:r>
      <w:r>
        <w:rPr>
          <w:i/>
          <w:iCs/>
        </w:rPr>
        <w:t xml:space="preserve">Journal of Business and Psychology</w:t>
      </w:r>
      <w:r>
        <w:t xml:space="preserve"> </w:t>
      </w:r>
      <w:r>
        <w:t xml:space="preserve">27 (March): 99–114.</w:t>
      </w:r>
      <w:r>
        <w:t xml:space="preserve"> </w:t>
      </w:r>
      <w:hyperlink r:id="rId60">
        <w:r>
          <w:rPr>
            <w:rStyle w:val="Hyperlink"/>
          </w:rPr>
          <w:t xml:space="preserve">https://doi.org/10.1007/s10869-011-9231-8</w:t>
        </w:r>
      </w:hyperlink>
      <w:r>
        <w:t xml:space="preserve">.</w:t>
      </w:r>
    </w:p>
    <w:bookmarkEnd w:id="61"/>
    <w:bookmarkStart w:id="63" w:name="ref-Kowalski2018"/>
    <w:p>
      <w:pPr>
        <w:pStyle w:val="Bibliography"/>
      </w:pPr>
      <w:r>
        <w:t xml:space="preserve">Kowalski, Christopher Marcin, Katarzyna Kwiatkowska, Maria Magdalena Kwiatkowska, Klaudia Ponikiewska, Radosław Rogoza, and Julie Aitken Schermer. 2018.</w:t>
      </w:r>
      <w:r>
        <w:t xml:space="preserve"> </w:t>
      </w:r>
      <w:r>
        <w:t xml:space="preserve">“The Dark Triad Traits and Intelligence: Machiavellians Are Bright, and Narcissists and Psychopaths Are Ordinary.”</w:t>
      </w:r>
      <w:r>
        <w:t xml:space="preserve"> </w:t>
      </w:r>
      <w:r>
        <w:rPr>
          <w:i/>
          <w:iCs/>
        </w:rPr>
        <w:t xml:space="preserve">Personality and Individual Differences</w:t>
      </w:r>
      <w:r>
        <w:t xml:space="preserve"> </w:t>
      </w:r>
      <w:r>
        <w:t xml:space="preserve">135 (December): 1–6.</w:t>
      </w:r>
      <w:r>
        <w:t xml:space="preserve"> </w:t>
      </w:r>
      <w:hyperlink r:id="rId62">
        <w:r>
          <w:rPr>
            <w:rStyle w:val="Hyperlink"/>
          </w:rPr>
          <w:t xml:space="preserve">https://doi.org/10.1016/j.paid.2018.06.049</w:t>
        </w:r>
      </w:hyperlink>
      <w:r>
        <w:t xml:space="preserve">.</w:t>
      </w:r>
    </w:p>
    <w:bookmarkEnd w:id="63"/>
    <w:bookmarkStart w:id="65"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4">
        <w:r>
          <w:rPr>
            <w:rStyle w:val="Hyperlink"/>
          </w:rPr>
          <w:t xml:space="preserve">https://doi.org/10.1002/acp.2350050305</w:t>
        </w:r>
      </w:hyperlink>
      <w:r>
        <w:t xml:space="preserve">.</w:t>
      </w:r>
    </w:p>
    <w:bookmarkEnd w:id="65"/>
    <w:bookmarkStart w:id="67"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6">
        <w:r>
          <w:rPr>
            <w:rStyle w:val="Hyperlink"/>
          </w:rPr>
          <w:t xml:space="preserve">https://doi.org/10.18637/jss.v082.i13</w:t>
        </w:r>
      </w:hyperlink>
      <w:r>
        <w:t xml:space="preserve">.</w:t>
      </w:r>
    </w:p>
    <w:bookmarkEnd w:id="67"/>
    <w:bookmarkStart w:id="69"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8">
        <w:r>
          <w:rPr>
            <w:rStyle w:val="Hyperlink"/>
          </w:rPr>
          <w:t xml:space="preserve">https://doi.org/10.1177/1525822X12448166</w:t>
        </w:r>
      </w:hyperlink>
      <w:r>
        <w:t xml:space="preserve">.</w:t>
      </w:r>
    </w:p>
    <w:bookmarkEnd w:id="69"/>
    <w:bookmarkStart w:id="71"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70">
        <w:r>
          <w:rPr>
            <w:rStyle w:val="Hyperlink"/>
          </w:rPr>
          <w:t xml:space="preserve">https://doi.org/10.1002/acp.1602</w:t>
        </w:r>
      </w:hyperlink>
      <w:r>
        <w:t xml:space="preserve">.</w:t>
      </w:r>
    </w:p>
    <w:bookmarkEnd w:id="71"/>
    <w:bookmarkStart w:id="72"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Jennifer, Ronna C. Turner, Jorge N. Tendeiro, Wen Juo Lo, and Elizabeth Keiffer. 2023.</w:t>
      </w:r>
      <w:r>
        <w:t xml:space="preserve"> </w:t>
      </w:r>
      <w:r>
        <w:t xml:space="preserve">“Performance of Nonparametric Person-Fit Statistics with Unfolding Versus Dominance Response Models.”</w:t>
      </w:r>
      <w:r>
        <w:t xml:space="preserve"> </w:t>
      </w:r>
      <w:r>
        <w:rPr>
          <w:i/>
          <w:iCs/>
        </w:rPr>
        <w:t xml:space="preserve">Measurement</w:t>
      </w:r>
      <w:r>
        <w:t xml:space="preserve"> </w:t>
      </w:r>
      <w:r>
        <w:t xml:space="preserve">21: 232–53.</w:t>
      </w:r>
      <w:r>
        <w:t xml:space="preserve"> </w:t>
      </w:r>
      <w:hyperlink r:id="rId73">
        <w:r>
          <w:rPr>
            <w:rStyle w:val="Hyperlink"/>
          </w:rPr>
          <w:t xml:space="preserve">https://doi.org/10.1080/15366367.2023.2165891</w:t>
        </w:r>
      </w:hyperlink>
      <w:r>
        <w:t xml:space="preserve">.</w:t>
      </w:r>
    </w:p>
    <w:bookmarkEnd w:id="74"/>
    <w:bookmarkStart w:id="76" w:name="ref-Revelle2024"/>
    <w:p>
      <w:pPr>
        <w:pStyle w:val="Bibliography"/>
      </w:pPr>
      <w:r>
        <w:t xml:space="preserve">Revelle, William. 2024.</w:t>
      </w:r>
      <w:r>
        <w:t xml:space="preserve"> </w:t>
      </w:r>
      <w:r>
        <w:t xml:space="preserve">“Psych: Procedures for Psychological, Psychometric, and Personality Research.”</w:t>
      </w:r>
      <w:r>
        <w:t xml:space="preserve"> </w:t>
      </w:r>
      <w:hyperlink r:id="rId75">
        <w:r>
          <w:rPr>
            <w:rStyle w:val="Hyperlink"/>
          </w:rPr>
          <w:t xml:space="preserve">https://CRAN.R-project.org/package=psych</w:t>
        </w:r>
      </w:hyperlink>
      <w:r>
        <w:t xml:space="preserve">.</w:t>
      </w:r>
    </w:p>
    <w:bookmarkEnd w:id="76"/>
    <w:bookmarkStart w:id="78"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7">
        <w:r>
          <w:rPr>
            <w:rStyle w:val="Hyperlink"/>
          </w:rPr>
          <w:t xml:space="preserve">https://doi.org/10.3390/jintelligence11040063</w:t>
        </w:r>
      </w:hyperlink>
      <w:r>
        <w:t xml:space="preserve">.</w:t>
      </w:r>
    </w:p>
    <w:bookmarkEnd w:id="78"/>
    <w:bookmarkStart w:id="80"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79">
        <w:r>
          <w:rPr>
            <w:rStyle w:val="Hyperlink"/>
          </w:rPr>
          <w:t xml:space="preserve">http://www.R-project.org/</w:t>
        </w:r>
      </w:hyperlink>
      <w:r>
        <w:t xml:space="preserve">.</w:t>
      </w:r>
    </w:p>
    <w:bookmarkEnd w:id="80"/>
    <w:bookmarkStart w:id="81"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1"/>
    <w:bookmarkStart w:id="83"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2">
        <w:r>
          <w:rPr>
            <w:rStyle w:val="Hyperlink"/>
          </w:rPr>
          <w:t xml:space="preserve">https://doi.org/10.1007/s11336-021-09817-7</w:t>
        </w:r>
      </w:hyperlink>
      <w:r>
        <w:t xml:space="preserve">.</w:t>
      </w:r>
    </w:p>
    <w:bookmarkEnd w:id="83"/>
    <w:bookmarkStart w:id="84" w:name="ref-VanDerLinden2003"/>
    <w:p>
      <w:pPr>
        <w:pStyle w:val="Bibliography"/>
      </w:pPr>
      <w:r>
        <w:t xml:space="preserve">Van Der Linden, Wim J, and Edith M L A Van Krimpen-Stoop. 2003.</w:t>
      </w:r>
      <w:r>
        <w:t xml:space="preserve"> </w:t>
      </w:r>
      <w:r>
        <w:t xml:space="preserve">“Using Response Times to Detect Aberrant Responses in Computerized Adaptive Testing.”</w:t>
      </w:r>
      <w:r>
        <w:t xml:space="preserve"> </w:t>
      </w:r>
      <w:r>
        <w:rPr>
          <w:i/>
          <w:iCs/>
        </w:rPr>
        <w:t xml:space="preserve">PSYCHOMETRIKA</w:t>
      </w:r>
      <w:r>
        <w:t xml:space="preserve">. Vol. 68.</w:t>
      </w:r>
    </w:p>
    <w:bookmarkEnd w:id="84"/>
    <w:bookmarkStart w:id="85" w:name="ref-Yentes2023"/>
    <w:p>
      <w:pPr>
        <w:pStyle w:val="Bibliography"/>
      </w:pPr>
      <w:r>
        <w:t xml:space="preserve">Yentes, Richard, and Francisco Wilhelm. 2023.</w:t>
      </w:r>
      <w:r>
        <w:t xml:space="preserve"> </w:t>
      </w:r>
      <w:r>
        <w:t xml:space="preserve">“Careless: Procedures for Computing Indices of Careless Responding.”</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2025-04-18T16:10:04Z</dcterms:created>
  <dcterms:modified xsi:type="dcterms:W3CDTF">2025-04-18T16:10:04Z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date">
    <vt:lpwstr>2025-04-27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cite">
    <vt:lpwstr>@*</vt:lpwstr>
  </property>
  <property fmtid="{D5CDD505-2E9C-101B-9397-08002B2CF9AE}" pid="18" name="notebook-preview-options">
    <vt:lpwstr/>
  </property>
  <property fmtid="{D5CDD505-2E9C-101B-9397-08002B2CF9AE}" pid="19" name="published-title">
    <vt:lpwstr>Presentation Date</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location">
    <vt:lpwstr>left</vt:lpwstr>
  </property>
  <property fmtid="{D5CDD505-2E9C-101B-9397-08002B2CF9AE}" pid="26" name="toc-title">
    <vt:lpwstr>Contents</vt:lpwstr>
  </property>
  <property fmtid="{D5CDD505-2E9C-101B-9397-08002B2CF9AE}" pid="27" name="unroll-markdown-cells">
    <vt:lpwstr>True</vt:lpwstr>
  </property>
</Properties>
</file>