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sepChr m:val=""/>
              <m:end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sepChr m:val=""/>
            <m:end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sepChr m:val=""/>
                      <m:end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sepChr m:val=""/>
                      <m:end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 N., &amp; Scott, B. S. (1996). Response latency as a signal to question problems in survey research.</w:t>
      </w:r>
      <w:r>
        <w:t xml:space="preserve"> </w:t>
      </w:r>
      <w:r>
        <w:rPr>
          <w:i/>
          <w:iCs/>
        </w:rPr>
        <w:t xml:space="preserve">Public Opinion Quarterly</w:t>
      </w:r>
      <w:r>
        <w:t xml:space="preserve">,</w:t>
      </w:r>
      <w:r>
        <w:t xml:space="preserve"> </w:t>
      </w:r>
      <w:r>
        <w:rPr>
          <w:i/>
          <w:iCs/>
        </w:rPr>
        <w:t xml:space="preserve">60</w:t>
      </w:r>
      <w:r>
        <w:t xml:space="preserve">, 390–399.</w:t>
      </w:r>
      <w:r>
        <w:t xml:space="preserve"> </w:t>
      </w:r>
      <w:hyperlink r:id="rId35">
        <w:r>
          <w:rPr>
            <w:rStyle w:val="Hyperlink"/>
          </w:rPr>
          <w:t xml:space="preserve">https://academic.oup.com/poq/article/60/3/390/1832313</w:t>
        </w:r>
      </w:hyperlink>
    </w:p>
    <w:bookmarkEnd w:id="36"/>
    <w:bookmarkStart w:id="38" w:name="ref-Bates2015"/>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 1–48.</w:t>
      </w:r>
      <w:r>
        <w:t xml:space="preserve"> </w:t>
      </w:r>
      <w:hyperlink r:id="rId37">
        <w:r>
          <w:rPr>
            <w:rStyle w:val="Hyperlink"/>
          </w:rPr>
          <w:t xml:space="preserve">https://doi.org/10.18637/jss.v067.i01</w:t>
        </w:r>
      </w:hyperlink>
    </w:p>
    <w:bookmarkEnd w:id="38"/>
    <w:bookmarkStart w:id="39" w:name="ref-Beckmann2000"/>
    <w:p>
      <w:pPr>
        <w:pStyle w:val="Bibliography"/>
      </w:pPr>
      <w:r>
        <w:t xml:space="preserve">Beckmann, J. F. (2000). Differentielle latenzzeitefekte bei der bearbeitung von reasoning-items.</w:t>
      </w:r>
      <w:r>
        <w:t xml:space="preserve"> </w:t>
      </w:r>
      <w:r>
        <w:rPr>
          <w:i/>
          <w:iCs/>
        </w:rPr>
        <w:t xml:space="preserve">Diagnostica</w:t>
      </w:r>
      <w:r>
        <w:t xml:space="preserve">,</w:t>
      </w:r>
      <w:r>
        <w:t xml:space="preserve"> </w:t>
      </w:r>
      <w:r>
        <w:rPr>
          <w:i/>
          <w:iCs/>
        </w:rPr>
        <w:t xml:space="preserve">46</w:t>
      </w:r>
      <w:r>
        <w:t xml:space="preserve">, 124–129.</w:t>
      </w:r>
    </w:p>
    <w:bookmarkEnd w:id="39"/>
    <w:bookmarkStart w:id="41" w:name="ref-DeBoeck2019"/>
    <w:p>
      <w:pPr>
        <w:pStyle w:val="Bibliography"/>
      </w:pPr>
      <w:r>
        <w:t xml:space="preserve">Boeck, P. D., &amp; Jeon, M. (2019). An overview of models for response times and processes in cognitive tests.</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40">
        <w:r>
          <w:rPr>
            <w:rStyle w:val="Hyperlink"/>
          </w:rPr>
          <w:t xml:space="preserve">https://doi.org/10.3389/fpsyg.2019.00102</w:t>
        </w:r>
      </w:hyperlink>
    </w:p>
    <w:bookmarkEnd w:id="41"/>
    <w:bookmarkStart w:id="43" w:name="ref-Bowling2023"/>
    <w:p>
      <w:pPr>
        <w:pStyle w:val="Bibliography"/>
      </w:pPr>
      <w:r>
        <w:t xml:space="preserve">Bowling, N. A., Huang, J. L., Brower, C. K., &amp; Bragg, C. B. (2023). The quick and the careless: The construct validity of page time as a measure of insufficient effort responding to surveys.</w:t>
      </w:r>
      <w:r>
        <w:t xml:space="preserve"> </w:t>
      </w:r>
      <w:r>
        <w:rPr>
          <w:i/>
          <w:iCs/>
        </w:rPr>
        <w:t xml:space="preserve">Organizational Research Methods</w:t>
      </w:r>
      <w:r>
        <w:t xml:space="preserve">,</w:t>
      </w:r>
      <w:r>
        <w:t xml:space="preserve"> </w:t>
      </w:r>
      <w:r>
        <w:rPr>
          <w:i/>
          <w:iCs/>
        </w:rPr>
        <w:t xml:space="preserve">26</w:t>
      </w:r>
      <w:r>
        <w:t xml:space="preserve">, 323–352.</w:t>
      </w:r>
      <w:r>
        <w:t xml:space="preserve"> </w:t>
      </w:r>
      <w:hyperlink r:id="rId42">
        <w:r>
          <w:rPr>
            <w:rStyle w:val="Hyperlink"/>
          </w:rPr>
          <w:t xml:space="preserve">https://doi.org/10.1177/10944281211056520</w:t>
        </w:r>
      </w:hyperlink>
    </w:p>
    <w:bookmarkEnd w:id="43"/>
    <w:bookmarkStart w:id="45" w:name="ref-Chalmers2012"/>
    <w:p>
      <w:pPr>
        <w:pStyle w:val="Bibliography"/>
      </w:pPr>
      <w:r>
        <w:t xml:space="preserve">Chalmers, R. P. (2012). Mirt: A multidimensional item response theory package for the r environment.</w:t>
      </w:r>
      <w:r>
        <w:t xml:space="preserve"> </w:t>
      </w:r>
      <w:r>
        <w:rPr>
          <w:i/>
          <w:iCs/>
        </w:rPr>
        <w:t xml:space="preserve">Journal of Statistical Software</w:t>
      </w:r>
      <w:r>
        <w:t xml:space="preserve">,</w:t>
      </w:r>
      <w:r>
        <w:t xml:space="preserve"> </w:t>
      </w:r>
      <w:r>
        <w:rPr>
          <w:i/>
          <w:iCs/>
        </w:rPr>
        <w:t xml:space="preserve">48</w:t>
      </w:r>
      <w:r>
        <w:t xml:space="preserve">, 1–29.</w:t>
      </w:r>
      <w:r>
        <w:t xml:space="preserve"> </w:t>
      </w:r>
      <w:hyperlink r:id="rId44">
        <w:r>
          <w:rPr>
            <w:rStyle w:val="Hyperlink"/>
          </w:rPr>
          <w:t xml:space="preserve">https://doi.org/10.18637/jss.v048.i06</w:t>
        </w:r>
      </w:hyperlink>
    </w:p>
    <w:bookmarkEnd w:id="45"/>
    <w:bookmarkStart w:id="47" w:name="ref-Christie1970"/>
    <w:p>
      <w:pPr>
        <w:pStyle w:val="Bibliography"/>
      </w:pPr>
      <w:r>
        <w:t xml:space="preserve">Christie, R., &amp; Geis, F. L.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p>
    <w:bookmarkEnd w:id="47"/>
    <w:bookmarkStart w:id="49" w:name="ref-DeSimone2018"/>
    <w:p>
      <w:pPr>
        <w:pStyle w:val="Bibliography"/>
      </w:pPr>
      <w:r>
        <w:t xml:space="preserve">DeSimone, J. A., &amp; Harms, P. D. (2018). Dirty data: The effects of screening respondents who provide low-quality data in survey research.</w:t>
      </w:r>
      <w:r>
        <w:t xml:space="preserve"> </w:t>
      </w:r>
      <w:r>
        <w:rPr>
          <w:i/>
          <w:iCs/>
        </w:rPr>
        <w:t xml:space="preserve">Journal of Business and Psychology</w:t>
      </w:r>
      <w:r>
        <w:t xml:space="preserve">,</w:t>
      </w:r>
      <w:r>
        <w:t xml:space="preserve"> </w:t>
      </w:r>
      <w:r>
        <w:rPr>
          <w:i/>
          <w:iCs/>
        </w:rPr>
        <w:t xml:space="preserve">33</w:t>
      </w:r>
      <w:r>
        <w:t xml:space="preserve">, 559–577.</w:t>
      </w:r>
      <w:r>
        <w:t xml:space="preserve"> </w:t>
      </w:r>
      <w:hyperlink r:id="rId48">
        <w:r>
          <w:rPr>
            <w:rStyle w:val="Hyperlink"/>
          </w:rPr>
          <w:t xml:space="preserve">https://doi.org/10.1007/s10869-017-9514-9</w:t>
        </w:r>
      </w:hyperlink>
    </w:p>
    <w:bookmarkEnd w:id="49"/>
    <w:bookmarkStart w:id="50" w:name="ref-Ferrando2006"/>
    <w:p>
      <w:pPr>
        <w:pStyle w:val="Bibliography"/>
      </w:pPr>
      <w:r>
        <w:t xml:space="preserve">Ferrando, P. J. (2006). Person-item distance and response time: An empirical study in personality measurement.</w:t>
      </w:r>
      <w:r>
        <w:t xml:space="preserve"> </w:t>
      </w:r>
      <w:r>
        <w:rPr>
          <w:i/>
          <w:iCs/>
        </w:rPr>
        <w:t xml:space="preserve">Psicológica</w:t>
      </w:r>
      <w:r>
        <w:t xml:space="preserve">,</w:t>
      </w:r>
      <w:r>
        <w:t xml:space="preserve"> </w:t>
      </w:r>
      <w:r>
        <w:rPr>
          <w:i/>
          <w:iCs/>
        </w:rPr>
        <w:t xml:space="preserve">27</w:t>
      </w:r>
      <w:r>
        <w:t xml:space="preserve">, 137–148.</w:t>
      </w:r>
    </w:p>
    <w:bookmarkEnd w:id="50"/>
    <w:bookmarkStart w:id="52" w:name="ref-Ferrando2007"/>
    <w:p>
      <w:pPr>
        <w:pStyle w:val="Bibliography"/>
      </w:pPr>
      <w:r>
        <w:t xml:space="preserve">Ferrando, P. J., &amp; Lorenzo-Seva, U. (2007). An item response theory model for incorporating response time data in binary personality items. In</w:t>
      </w:r>
      <w:r>
        <w:t xml:space="preserve"> </w:t>
      </w:r>
      <w:r>
        <w:rPr>
          <w:i/>
          <w:iCs/>
        </w:rPr>
        <w:t xml:space="preserve">Applied Psychological Measurement</w:t>
      </w:r>
      <w:r>
        <w:t xml:space="preserve"> </w:t>
      </w:r>
      <w:r>
        <w:t xml:space="preserve">(Vol. 31, pp. 525–543).</w:t>
      </w:r>
      <w:r>
        <w:t xml:space="preserve"> </w:t>
      </w:r>
      <w:hyperlink r:id="rId51">
        <w:r>
          <w:rPr>
            <w:rStyle w:val="Hyperlink"/>
          </w:rPr>
          <w:t xml:space="preserve">https://doi.org/10.1177/0146621606295197</w:t>
        </w:r>
      </w:hyperlink>
    </w:p>
    <w:bookmarkEnd w:id="52"/>
    <w:bookmarkStart w:id="53" w:name="ref-Fox2019"/>
    <w:p>
      <w:pPr>
        <w:pStyle w:val="Bibliography"/>
      </w:pPr>
      <w:r>
        <w:t xml:space="preserve">Fox, J., &amp; Weisberg, S. (2019).</w:t>
      </w:r>
      <w:r>
        <w:t xml:space="preserve"> </w:t>
      </w:r>
      <w:r>
        <w:rPr>
          <w:i/>
          <w:iCs/>
        </w:rPr>
        <w:t xml:space="preserve">An r companion to applied regression</w:t>
      </w:r>
      <w:r>
        <w:t xml:space="preserve"> </w:t>
      </w:r>
      <w:r>
        <w:t xml:space="preserve">(Third). Sage.</w:t>
      </w:r>
    </w:p>
    <w:bookmarkEnd w:id="53"/>
    <w:bookmarkStart w:id="55" w:name="ref-Gilhooly2021"/>
    <w:p>
      <w:pPr>
        <w:pStyle w:val="Bibliography"/>
      </w:pPr>
      <w:r>
        <w:t xml:space="preserve">Gilhooly, K. J., &amp; Gilhooly, M. L. M. (2021). Aging effects on cognitive and noncognitive factors in creativity. In</w:t>
      </w:r>
      <w:r>
        <w:t xml:space="preserve"> </w:t>
      </w:r>
      <w:r>
        <w:rPr>
          <w:i/>
          <w:iCs/>
        </w:rPr>
        <w:t xml:space="preserve">Aging and creativity</w:t>
      </w:r>
      <w:r>
        <w:t xml:space="preserve"> </w:t>
      </w:r>
      <w:r>
        <w:t xml:space="preserve">(pp. 183–216). Elsevier.</w:t>
      </w:r>
      <w:r>
        <w:t xml:space="preserve"> </w:t>
      </w:r>
      <w:hyperlink r:id="rId54">
        <w:r>
          <w:rPr>
            <w:rStyle w:val="Hyperlink"/>
          </w:rPr>
          <w:t xml:space="preserve">https://doi.org/10.1016/b978-0-12-816401-3.00008-1</w:t>
        </w:r>
      </w:hyperlink>
    </w:p>
    <w:bookmarkEnd w:id="55"/>
    <w:bookmarkStart w:id="57" w:name="ref-Hirsch2021"/>
    <w:p>
      <w:pPr>
        <w:pStyle w:val="Bibliography"/>
      </w:pPr>
      <w:r>
        <w:t xml:space="preserve">Hirsch, J., Tiede, M., Zhang, X., Noah, J. A., Salama-Manteau, A., &amp; Biriotti, M. (2021). Interpersonal agreement and disagreement during face-to-face dialogue: An fNIRS investigation.</w:t>
      </w:r>
      <w:r>
        <w:t xml:space="preserve"> </w:t>
      </w:r>
      <w:r>
        <w:rPr>
          <w:i/>
          <w:iCs/>
        </w:rPr>
        <w:t xml:space="preserve">Frontiers in Human Neuroscience</w:t>
      </w:r>
      <w:r>
        <w:t xml:space="preserve">,</w:t>
      </w:r>
      <w:r>
        <w:t xml:space="preserve"> </w:t>
      </w:r>
      <w:r>
        <w:rPr>
          <w:i/>
          <w:iCs/>
        </w:rPr>
        <w:t xml:space="preserve">14</w:t>
      </w:r>
      <w:r>
        <w:t xml:space="preserve">.</w:t>
      </w:r>
      <w:r>
        <w:t xml:space="preserve"> </w:t>
      </w:r>
      <w:hyperlink r:id="rId56">
        <w:r>
          <w:rPr>
            <w:rStyle w:val="Hyperlink"/>
          </w:rPr>
          <w:t xml:space="preserve">https://doi.org/10.3389/fnhum.2020.606397</w:t>
        </w:r>
      </w:hyperlink>
    </w:p>
    <w:bookmarkEnd w:id="57"/>
    <w:bookmarkStart w:id="59" w:name="ref-Hhne2017"/>
    <w:p>
      <w:pPr>
        <w:pStyle w:val="Bibliography"/>
      </w:pPr>
      <w:r>
        <w:t xml:space="preserve">Höhne, J. K., Schlosser, S., &amp; Krebs, D. (2017). Investigating cognitive effort and response quality of question formats in web surveys using paradata.</w:t>
      </w:r>
      <w:r>
        <w:t xml:space="preserve"> </w:t>
      </w:r>
      <w:r>
        <w:rPr>
          <w:i/>
          <w:iCs/>
        </w:rPr>
        <w:t xml:space="preserve">Field Methods</w:t>
      </w:r>
      <w:r>
        <w:t xml:space="preserve">,</w:t>
      </w:r>
      <w:r>
        <w:t xml:space="preserve"> </w:t>
      </w:r>
      <w:r>
        <w:rPr>
          <w:i/>
          <w:iCs/>
        </w:rPr>
        <w:t xml:space="preserve">29</w:t>
      </w:r>
      <w:r>
        <w:t xml:space="preserve">, 365–382.</w:t>
      </w:r>
      <w:r>
        <w:t xml:space="preserve"> </w:t>
      </w:r>
      <w:hyperlink r:id="rId58">
        <w:r>
          <w:rPr>
            <w:rStyle w:val="Hyperlink"/>
          </w:rPr>
          <w:t xml:space="preserve">https://doi.org/10.1177/1525822X17710640</w:t>
        </w:r>
      </w:hyperlink>
    </w:p>
    <w:bookmarkEnd w:id="59"/>
    <w:bookmarkStart w:id="61" w:name="ref-Huang2012"/>
    <w:p>
      <w:pPr>
        <w:pStyle w:val="Bibliography"/>
      </w:pPr>
      <w:r>
        <w:t xml:space="preserve">Huang, J. L., Curran, P. G., Keeney, J., Poposki, E. M., &amp; DeShon, R. P. (2012). Detecting and deterring insufficient effort responding to surveys.</w:t>
      </w:r>
      <w:r>
        <w:t xml:space="preserve"> </w:t>
      </w:r>
      <w:r>
        <w:rPr>
          <w:i/>
          <w:iCs/>
        </w:rPr>
        <w:t xml:space="preserve">Journal of Business and Psychology</w:t>
      </w:r>
      <w:r>
        <w:t xml:space="preserve">,</w:t>
      </w:r>
      <w:r>
        <w:t xml:space="preserve"> </w:t>
      </w:r>
      <w:r>
        <w:rPr>
          <w:i/>
          <w:iCs/>
        </w:rPr>
        <w:t xml:space="preserve">27</w:t>
      </w:r>
      <w:r>
        <w:t xml:space="preserve">, 99–114.</w:t>
      </w:r>
      <w:r>
        <w:t xml:space="preserve"> </w:t>
      </w:r>
      <w:hyperlink r:id="rId60">
        <w:r>
          <w:rPr>
            <w:rStyle w:val="Hyperlink"/>
          </w:rPr>
          <w:t xml:space="preserve">https://doi.org/10.1007/s10869-011-9231-8</w:t>
        </w:r>
      </w:hyperlink>
    </w:p>
    <w:bookmarkEnd w:id="61"/>
    <w:bookmarkStart w:id="63" w:name="ref-Kowalski2018"/>
    <w:p>
      <w:pPr>
        <w:pStyle w:val="Bibliography"/>
      </w:pPr>
      <w:r>
        <w:t xml:space="preserve">Kowalski, C. M., Kwiatkowska, K., Kwiatkowska, M. M., Ponikiewska, K., Rogoza, R., &amp; Schermer, J. A. (2018). The dark triad traits and intelligence: Machiavellians are bright, and narcissists and psychopaths are ordinary.</w:t>
      </w:r>
      <w:r>
        <w:t xml:space="preserve"> </w:t>
      </w:r>
      <w:r>
        <w:rPr>
          <w:i/>
          <w:iCs/>
        </w:rPr>
        <w:t xml:space="preserve">Personality and Individual Differences</w:t>
      </w:r>
      <w:r>
        <w:t xml:space="preserve">,</w:t>
      </w:r>
      <w:r>
        <w:t xml:space="preserve"> </w:t>
      </w:r>
      <w:r>
        <w:rPr>
          <w:i/>
          <w:iCs/>
        </w:rPr>
        <w:t xml:space="preserve">135</w:t>
      </w:r>
      <w:r>
        <w:t xml:space="preserve">, 1–6.</w:t>
      </w:r>
      <w:r>
        <w:t xml:space="preserve"> </w:t>
      </w:r>
      <w:hyperlink r:id="rId62">
        <w:r>
          <w:rPr>
            <w:rStyle w:val="Hyperlink"/>
          </w:rPr>
          <w:t xml:space="preserve">https://doi.org/10.1016/j.paid.2018.06.049</w:t>
        </w:r>
      </w:hyperlink>
    </w:p>
    <w:bookmarkEnd w:id="63"/>
    <w:bookmarkStart w:id="65" w:name="ref-Krosnick1991"/>
    <w:p>
      <w:pPr>
        <w:pStyle w:val="Bibliography"/>
      </w:pPr>
      <w:r>
        <w:t xml:space="preserve">Krosnick, J. A. (1991). Response strategies for coping with the cognitive demands of attitude measures in surveys.</w:t>
      </w:r>
      <w:r>
        <w:t xml:space="preserve"> </w:t>
      </w:r>
      <w:r>
        <w:rPr>
          <w:i/>
          <w:iCs/>
        </w:rPr>
        <w:t xml:space="preserve">Applied Cognitive Psychology</w:t>
      </w:r>
      <w:r>
        <w:t xml:space="preserve">,</w:t>
      </w:r>
      <w:r>
        <w:t xml:space="preserve"> </w:t>
      </w:r>
      <w:r>
        <w:rPr>
          <w:i/>
          <w:iCs/>
        </w:rPr>
        <w:t xml:space="preserve">5</w:t>
      </w:r>
      <w:r>
        <w:t xml:space="preserve">, 213–236.</w:t>
      </w:r>
      <w:r>
        <w:t xml:space="preserve"> </w:t>
      </w:r>
      <w:hyperlink r:id="rId64">
        <w:r>
          <w:rPr>
            <w:rStyle w:val="Hyperlink"/>
          </w:rPr>
          <w:t xml:space="preserve">https://doi.org/10.1002/acp.2350050305</w:t>
        </w:r>
      </w:hyperlink>
    </w:p>
    <w:bookmarkEnd w:id="65"/>
    <w:bookmarkStart w:id="67" w:name="ref-Kuznetsova2017"/>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 1–26.</w:t>
      </w:r>
      <w:r>
        <w:t xml:space="preserve"> </w:t>
      </w:r>
      <w:hyperlink r:id="rId66">
        <w:r>
          <w:rPr>
            <w:rStyle w:val="Hyperlink"/>
          </w:rPr>
          <w:t xml:space="preserve">https://doi.org/10.18637/jss.v082.i13</w:t>
        </w:r>
      </w:hyperlink>
    </w:p>
    <w:bookmarkEnd w:id="67"/>
    <w:bookmarkStart w:id="69" w:name="ref-Lenzner2012"/>
    <w:p>
      <w:pPr>
        <w:pStyle w:val="Bibliography"/>
      </w:pPr>
      <w:r>
        <w:t xml:space="preserve">Lenzner, T. (2012). Effects of survey question comprehensibility on response quality.</w:t>
      </w:r>
      <w:r>
        <w:t xml:space="preserve"> </w:t>
      </w:r>
      <w:r>
        <w:rPr>
          <w:i/>
          <w:iCs/>
        </w:rPr>
        <w:t xml:space="preserve">Field Methods</w:t>
      </w:r>
      <w:r>
        <w:t xml:space="preserve">,</w:t>
      </w:r>
      <w:r>
        <w:t xml:space="preserve"> </w:t>
      </w:r>
      <w:r>
        <w:rPr>
          <w:i/>
          <w:iCs/>
        </w:rPr>
        <w:t xml:space="preserve">24</w:t>
      </w:r>
      <w:r>
        <w:t xml:space="preserve">, 409–428.</w:t>
      </w:r>
      <w:r>
        <w:t xml:space="preserve"> </w:t>
      </w:r>
      <w:hyperlink r:id="rId68">
        <w:r>
          <w:rPr>
            <w:rStyle w:val="Hyperlink"/>
          </w:rPr>
          <w:t xml:space="preserve">https://doi.org/10.1177/1525822X12448166</w:t>
        </w:r>
      </w:hyperlink>
    </w:p>
    <w:bookmarkEnd w:id="69"/>
    <w:bookmarkStart w:id="71" w:name="ref-Lenzner2010"/>
    <w:p>
      <w:pPr>
        <w:pStyle w:val="Bibliography"/>
      </w:pPr>
      <w:r>
        <w:t xml:space="preserve">Lenzner, T., Kaczmirek, L., &amp; Lenzner, A. (2010). Cognitive burden of survey questions and response times: A psycholinguistic experiment.</w:t>
      </w:r>
      <w:r>
        <w:t xml:space="preserve"> </w:t>
      </w:r>
      <w:r>
        <w:rPr>
          <w:i/>
          <w:iCs/>
        </w:rPr>
        <w:t xml:space="preserve">Applied Cognitive Psychology</w:t>
      </w:r>
      <w:r>
        <w:t xml:space="preserve">,</w:t>
      </w:r>
      <w:r>
        <w:t xml:space="preserve"> </w:t>
      </w:r>
      <w:r>
        <w:rPr>
          <w:i/>
          <w:iCs/>
        </w:rPr>
        <w:t xml:space="preserve">24</w:t>
      </w:r>
      <w:r>
        <w:t xml:space="preserve">, 1003–1020.</w:t>
      </w:r>
      <w:r>
        <w:t xml:space="preserve"> </w:t>
      </w:r>
      <w:hyperlink r:id="rId70">
        <w:r>
          <w:rPr>
            <w:rStyle w:val="Hyperlink"/>
          </w:rPr>
          <w:t xml:space="preserve">https://doi.org/10.1002/acp.1602</w:t>
        </w:r>
      </w:hyperlink>
    </w:p>
    <w:bookmarkEnd w:id="71"/>
    <w:bookmarkStart w:id="72" w:name="ref-Nguyen2017"/>
    <w:p>
      <w:pPr>
        <w:pStyle w:val="Bibliography"/>
      </w:pPr>
      <w:r>
        <w:t xml:space="preserve">Nguyen, H. L. T. (2017).</w:t>
      </w:r>
      <w:r>
        <w:t xml:space="preserve"> </w:t>
      </w:r>
      <w:r>
        <w:rPr>
          <w:i/>
          <w:iCs/>
        </w:rP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 Turner, R. C., Tendeiro, J. N., Lo, W. J., &amp; Keiffer, E. (2023). Performance of nonparametric person-fit statistics with unfolding versus dominance response models.</w:t>
      </w:r>
      <w:r>
        <w:t xml:space="preserve"> </w:t>
      </w:r>
      <w:r>
        <w:rPr>
          <w:i/>
          <w:iCs/>
        </w:rPr>
        <w:t xml:space="preserve">Measurement</w:t>
      </w:r>
      <w:r>
        <w:t xml:space="preserve">,</w:t>
      </w:r>
      <w:r>
        <w:t xml:space="preserve"> </w:t>
      </w:r>
      <w:r>
        <w:rPr>
          <w:i/>
          <w:iCs/>
        </w:rPr>
        <w:t xml:space="preserve">21</w:t>
      </w:r>
      <w:r>
        <w:t xml:space="preserve">, 232–253.</w:t>
      </w:r>
      <w:r>
        <w:t xml:space="preserve"> </w:t>
      </w:r>
      <w:hyperlink r:id="rId73">
        <w:r>
          <w:rPr>
            <w:rStyle w:val="Hyperlink"/>
          </w:rPr>
          <w:t xml:space="preserve">https://doi.org/10.1080/15366367.2023.2165891</w:t>
        </w:r>
      </w:hyperlink>
    </w:p>
    <w:bookmarkEnd w:id="74"/>
    <w:bookmarkStart w:id="76" w:name="ref-Revelle2024"/>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75">
        <w:r>
          <w:rPr>
            <w:rStyle w:val="Hyperlink"/>
          </w:rPr>
          <w:t xml:space="preserve">https://CRAN.R-project.org/package=psych</w:t>
        </w:r>
      </w:hyperlink>
    </w:p>
    <w:bookmarkEnd w:id="76"/>
    <w:bookmarkStart w:id="78" w:name="ref-Tanco2023"/>
    <w:p>
      <w:pPr>
        <w:pStyle w:val="Bibliography"/>
      </w:pPr>
      <w:r>
        <w:t xml:space="preserve">Tancoš, M., Chvojka, E., Jabůrek, M., &amp; Portešová, Š. (2023). Faster ≠ smarter: Children with higher levels of ability take longer to give incorrect answers, especially when the task matches their ability.</w:t>
      </w:r>
      <w:r>
        <w:t xml:space="preserve"> </w:t>
      </w:r>
      <w:r>
        <w:rPr>
          <w:i/>
          <w:iCs/>
        </w:rPr>
        <w:t xml:space="preserve">Journal of Intelligence</w:t>
      </w:r>
      <w:r>
        <w:t xml:space="preserve">,</w:t>
      </w:r>
      <w:r>
        <w:t xml:space="preserve"> </w:t>
      </w:r>
      <w:r>
        <w:rPr>
          <w:i/>
          <w:iCs/>
        </w:rPr>
        <w:t xml:space="preserve">11</w:t>
      </w:r>
      <w:r>
        <w:t xml:space="preserve">.</w:t>
      </w:r>
      <w:r>
        <w:t xml:space="preserve"> </w:t>
      </w:r>
      <w:hyperlink r:id="rId77">
        <w:r>
          <w:rPr>
            <w:rStyle w:val="Hyperlink"/>
          </w:rPr>
          <w:t xml:space="preserve">https://doi.org/10.3390/jintelligence11040063</w:t>
        </w:r>
      </w:hyperlink>
    </w:p>
    <w:bookmarkEnd w:id="78"/>
    <w:bookmarkStart w:id="80" w:name="ref-RCoreTeam2019"/>
    <w:p>
      <w:pPr>
        <w:pStyle w:val="Bibliography"/>
      </w:pPr>
      <w:r>
        <w:t xml:space="preserve">Team, R. C. (2019).</w:t>
      </w:r>
      <w:r>
        <w:t xml:space="preserve"> </w:t>
      </w:r>
      <w:r>
        <w:rPr>
          <w:i/>
          <w:iCs/>
        </w:rPr>
        <w:t xml:space="preserve">R: A language and environment for statistical computing</w:t>
      </w:r>
      <w:r>
        <w:t xml:space="preserve">. R Foundation for Statistical Computing.</w:t>
      </w:r>
      <w:r>
        <w:t xml:space="preserve"> </w:t>
      </w:r>
      <w:hyperlink r:id="rId79">
        <w:r>
          <w:rPr>
            <w:rStyle w:val="Hyperlink"/>
          </w:rPr>
          <w:t xml:space="preserve">http://www.R-project.org/</w:t>
        </w:r>
      </w:hyperlink>
    </w:p>
    <w:bookmarkEnd w:id="80"/>
    <w:bookmarkStart w:id="81" w:name="ref-Thissen1983"/>
    <w:p>
      <w:pPr>
        <w:pStyle w:val="Bibliography"/>
      </w:pPr>
      <w:r>
        <w:t xml:space="preserve">Thissen, D. (1983). Timed testing- an approach using item response theory. In</w:t>
      </w:r>
      <w:r>
        <w:t xml:space="preserve"> </w:t>
      </w:r>
      <w:r>
        <w:rPr>
          <w:i/>
          <w:iCs/>
        </w:rPr>
        <w:t xml:space="preserve">New horizons in testing: Latent trait test theory and computerized adaptive testing</w:t>
      </w:r>
      <w:r>
        <w:t xml:space="preserve"> </w:t>
      </w:r>
      <w:r>
        <w:t xml:space="preserve">(pp. 179–203).</w:t>
      </w:r>
    </w:p>
    <w:bookmarkEnd w:id="81"/>
    <w:bookmarkStart w:id="83" w:name="ref-Ulitzsch2022"/>
    <w:p>
      <w:pPr>
        <w:pStyle w:val="Bibliography"/>
      </w:pPr>
      <w:r>
        <w:t xml:space="preserve">Ulitzsch, E., Pohl, S., Khorramdel, L., Kroehne, U., &amp; Davier, M. von. (2022). A response-time-based latent response mixture model for identifying and modeling careless and insufficient effort responding in survey data.</w:t>
      </w:r>
      <w:r>
        <w:t xml:space="preserve"> </w:t>
      </w:r>
      <w:r>
        <w:rPr>
          <w:i/>
          <w:iCs/>
        </w:rPr>
        <w:t xml:space="preserve">Psychometrika</w:t>
      </w:r>
      <w:r>
        <w:t xml:space="preserve">,</w:t>
      </w:r>
      <w:r>
        <w:t xml:space="preserve"> </w:t>
      </w:r>
      <w:r>
        <w:rPr>
          <w:i/>
          <w:iCs/>
        </w:rPr>
        <w:t xml:space="preserve">87</w:t>
      </w:r>
      <w:r>
        <w:t xml:space="preserve">, 593–619.</w:t>
      </w:r>
      <w:r>
        <w:t xml:space="preserve"> </w:t>
      </w:r>
      <w:hyperlink r:id="rId82">
        <w:r>
          <w:rPr>
            <w:rStyle w:val="Hyperlink"/>
          </w:rPr>
          <w:t xml:space="preserve">https://doi.org/10.1007/s11336-021-09817-7</w:t>
        </w:r>
      </w:hyperlink>
    </w:p>
    <w:bookmarkEnd w:id="83"/>
    <w:bookmarkStart w:id="84" w:name="ref-VanDerLinden2003"/>
    <w:p>
      <w:pPr>
        <w:pStyle w:val="Bibliography"/>
      </w:pPr>
      <w:r>
        <w:t xml:space="preserve">Van Der Linden, W. J., &amp; Van Krimpen-Stoop, E. M. L. A. (2003). Using response times to detect aberrant responses in computerized adaptive testing. In</w:t>
      </w:r>
      <w:r>
        <w:t xml:space="preserve"> </w:t>
      </w:r>
      <w:r>
        <w:rPr>
          <w:i/>
          <w:iCs/>
        </w:rPr>
        <w:t xml:space="preserve">PSYCHOMETRIKA</w:t>
      </w:r>
      <w:r>
        <w:t xml:space="preserve"> </w:t>
      </w:r>
      <w:r>
        <w:t xml:space="preserve">(Vol. 68, pp. 251–265).</w:t>
      </w:r>
    </w:p>
    <w:bookmarkEnd w:id="84"/>
    <w:bookmarkStart w:id="85" w:name="ref-Yentes2023"/>
    <w:p>
      <w:pPr>
        <w:pStyle w:val="Bibliography"/>
      </w:pPr>
      <w:r>
        <w:t xml:space="preserve">Yentes, R., &amp; Wilhelm, F. (2023).</w:t>
      </w:r>
      <w:r>
        <w:t xml:space="preserve"> </w:t>
      </w:r>
      <w:r>
        <w:rPr>
          <w:i/>
          <w:iCs/>
        </w:rPr>
        <w:t xml:space="preserve">Careless: Procedures for computing indices of careless responding</w:t>
      </w:r>
      <w:r>
        <w:t xml:space="preserve">.</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2025-04-25T03:40:34Z</dcterms:created>
  <dcterms:modified xsi:type="dcterms:W3CDTF">2025-04-25T03:40:34Z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csl">
    <vt:lpwstr>apa.csl</vt:lpwstr>
  </property>
  <property fmtid="{D5CDD505-2E9C-101B-9397-08002B2CF9AE}" pid="12" name="date">
    <vt:lpwstr>2025-04-27</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cite">
    <vt:lpwstr>@*</vt:lpwstr>
  </property>
  <property fmtid="{D5CDD505-2E9C-101B-9397-08002B2CF9AE}" pid="21" name="notebook-preview-options">
    <vt:lpwstr/>
  </property>
  <property fmtid="{D5CDD505-2E9C-101B-9397-08002B2CF9AE}" pid="22" name="published-title">
    <vt:lpwstr>Presentation Date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location">
    <vt:lpwstr>left</vt:lpwstr>
  </property>
  <property fmtid="{D5CDD505-2E9C-101B-9397-08002B2CF9AE}" pid="29" name="toc-title">
    <vt:lpwstr>Contents</vt:lpwstr>
  </property>
  <property fmtid="{D5CDD505-2E9C-101B-9397-08002B2CF9AE}" pid="30" name="unroll-markdown-cells">
    <vt:lpwstr>True</vt:lpwstr>
  </property>
</Properties>
</file>