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35">
        <w:r>
          <w:rPr>
            <w:rStyle w:val="Hyperlink"/>
          </w:rPr>
          <w:t xml:space="preserve">https://academic.oup.com/poq/article/60/3/390/1832313</w:t>
        </w:r>
      </w:hyperlink>
    </w:p>
    <w:bookmarkEnd w:id="36"/>
    <w:bookmarkStart w:id="38"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37">
        <w:r>
          <w:rPr>
            <w:rStyle w:val="Hyperlink"/>
          </w:rPr>
          <w:t xml:space="preserve">https://doi.org/10.18637/jss.v067.i01</w:t>
        </w:r>
      </w:hyperlink>
    </w:p>
    <w:bookmarkEnd w:id="38"/>
    <w:bookmarkStart w:id="39"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39"/>
    <w:bookmarkStart w:id="41"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0">
        <w:r>
          <w:rPr>
            <w:rStyle w:val="Hyperlink"/>
          </w:rPr>
          <w:t xml:space="preserve">https://doi.org/10.3389/fpsyg.2019.00102</w:t>
        </w:r>
      </w:hyperlink>
    </w:p>
    <w:bookmarkEnd w:id="41"/>
    <w:bookmarkStart w:id="43"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2">
        <w:r>
          <w:rPr>
            <w:rStyle w:val="Hyperlink"/>
          </w:rPr>
          <w:t xml:space="preserve">https://doi.org/10.1177/10944281211056520</w:t>
        </w:r>
      </w:hyperlink>
    </w:p>
    <w:bookmarkEnd w:id="43"/>
    <w:bookmarkStart w:id="45"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4">
        <w:r>
          <w:rPr>
            <w:rStyle w:val="Hyperlink"/>
          </w:rPr>
          <w:t xml:space="preserve">https://doi.org/10.18637/jss.v048.i06</w:t>
        </w:r>
      </w:hyperlink>
    </w:p>
    <w:bookmarkEnd w:id="45"/>
    <w:bookmarkStart w:id="47" w:name="ref-Christie1970"/>
    <w:p>
      <w:pPr>
        <w:pStyle w:val="Bibliography"/>
      </w:pPr>
      <w:r>
        <w:t xml:space="preserve">Christie, R., &amp; Geis, F. L.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p>
    <w:bookmarkEnd w:id="47"/>
    <w:bookmarkStart w:id="49" w:name="ref-DeSimone2018"/>
    <w:p>
      <w:pPr>
        <w:pStyle w:val="Bibliography"/>
      </w:pPr>
      <w:r>
        <w:t xml:space="preserve">DeSimone, J. A., &amp; Harms, P. D. (2018). Dirty data: The effects of screening respondents who provide low-quality data in survey research.</w:t>
      </w:r>
      <w:r>
        <w:t xml:space="preserve"> </w:t>
      </w:r>
      <w:r>
        <w:rPr>
          <w:i/>
          <w:iCs/>
        </w:rPr>
        <w:t xml:space="preserve">Journal of Business and Psychology</w:t>
      </w:r>
      <w:r>
        <w:t xml:space="preserve">,</w:t>
      </w:r>
      <w:r>
        <w:t xml:space="preserve"> </w:t>
      </w:r>
      <w:r>
        <w:rPr>
          <w:i/>
          <w:iCs/>
        </w:rPr>
        <w:t xml:space="preserve">33</w:t>
      </w:r>
      <w:r>
        <w:t xml:space="preserve">, 559–577.</w:t>
      </w:r>
      <w:r>
        <w:t xml:space="preserve"> </w:t>
      </w:r>
      <w:hyperlink r:id="rId48">
        <w:r>
          <w:rPr>
            <w:rStyle w:val="Hyperlink"/>
          </w:rPr>
          <w:t xml:space="preserve">https://doi.org/10.1007/s10869-017-9514-9</w:t>
        </w:r>
      </w:hyperlink>
    </w:p>
    <w:bookmarkEnd w:id="49"/>
    <w:bookmarkStart w:id="50" w:name="ref-Ferrando2006"/>
    <w:p>
      <w:pPr>
        <w:pStyle w:val="Bibliography"/>
      </w:pPr>
      <w:r>
        <w:t xml:space="preserve">Ferrando, P. J. (2006). Person-item distance and response time: An empirical study in personality measurement.</w:t>
      </w:r>
      <w:r>
        <w:t xml:space="preserve"> </w:t>
      </w:r>
      <w:r>
        <w:rPr>
          <w:i/>
          <w:iCs/>
        </w:rPr>
        <w:t xml:space="preserve">Psicológica</w:t>
      </w:r>
      <w:r>
        <w:t xml:space="preserve">,</w:t>
      </w:r>
      <w:r>
        <w:t xml:space="preserve"> </w:t>
      </w:r>
      <w:r>
        <w:rPr>
          <w:i/>
          <w:iCs/>
        </w:rPr>
        <w:t xml:space="preserve">27</w:t>
      </w:r>
      <w:r>
        <w:t xml:space="preserve">, 137–148.</w:t>
      </w:r>
    </w:p>
    <w:bookmarkEnd w:id="50"/>
    <w:bookmarkStart w:id="52" w:name="ref-Ferrando2007"/>
    <w:p>
      <w:pPr>
        <w:pStyle w:val="Bibliography"/>
      </w:pPr>
      <w:r>
        <w:t xml:space="preserve">Ferrando, P. J., &amp; Lorenzo-Seva, U. (2007). An item response theory model for incorporating response time data in binary personality items. In</w:t>
      </w:r>
      <w:r>
        <w:t xml:space="preserve"> </w:t>
      </w:r>
      <w:r>
        <w:rPr>
          <w:i/>
          <w:iCs/>
        </w:rPr>
        <w:t xml:space="preserve">Applied Psychological Measurement</w:t>
      </w:r>
      <w:r>
        <w:t xml:space="preserve"> </w:t>
      </w:r>
      <w:r>
        <w:t xml:space="preserve">(Vol. 31, pp. 525–543).</w:t>
      </w:r>
      <w:r>
        <w:t xml:space="preserve"> </w:t>
      </w:r>
      <w:hyperlink r:id="rId51">
        <w:r>
          <w:rPr>
            <w:rStyle w:val="Hyperlink"/>
          </w:rPr>
          <w:t xml:space="preserve">https://doi.org/10.1177/0146621606295197</w:t>
        </w:r>
      </w:hyperlink>
    </w:p>
    <w:bookmarkEnd w:id="52"/>
    <w:bookmarkStart w:id="53"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3"/>
    <w:bookmarkStart w:id="55" w:name="ref-Gilhooly2021"/>
    <w:p>
      <w:pPr>
        <w:pStyle w:val="Bibliography"/>
      </w:pPr>
      <w:r>
        <w:t xml:space="preserve">Gilhooly, K. J., &amp; Gilhooly, M. L. M. (2021). Aging effects on cognitive and noncognitive factors in creativity. In</w:t>
      </w:r>
      <w:r>
        <w:t xml:space="preserve"> </w:t>
      </w:r>
      <w:r>
        <w:rPr>
          <w:i/>
          <w:iCs/>
        </w:rPr>
        <w:t xml:space="preserve">Aging and creativity</w:t>
      </w:r>
      <w:r>
        <w:t xml:space="preserve"> </w:t>
      </w:r>
      <w:r>
        <w:t xml:space="preserve">(pp. 183–216). Elsevier.</w:t>
      </w:r>
      <w:r>
        <w:t xml:space="preserve"> </w:t>
      </w:r>
      <w:hyperlink r:id="rId54">
        <w:r>
          <w:rPr>
            <w:rStyle w:val="Hyperlink"/>
          </w:rPr>
          <w:t xml:space="preserve">https://doi.org/10.1016/b978-0-12-816401-3.00008-1</w:t>
        </w:r>
      </w:hyperlink>
    </w:p>
    <w:bookmarkEnd w:id="55"/>
    <w:bookmarkStart w:id="57" w:name="ref-Hirsch2021"/>
    <w:p>
      <w:pPr>
        <w:pStyle w:val="Bibliography"/>
      </w:pPr>
      <w:r>
        <w:t xml:space="preserve">Hirsch, J., Tiede, M., Zhang, X., Noah, J. A., Salama-Manteau, A., &amp; Biriotti, M. (2021). Interpersonal agreement and disagreement during face-to-face dialogue: An fNIRS investigation.</w:t>
      </w:r>
      <w:r>
        <w:t xml:space="preserve"> </w:t>
      </w:r>
      <w:r>
        <w:rPr>
          <w:i/>
          <w:iCs/>
        </w:rPr>
        <w:t xml:space="preserve">Frontiers in Human Neuroscience</w:t>
      </w:r>
      <w:r>
        <w:t xml:space="preserve">,</w:t>
      </w:r>
      <w:r>
        <w:t xml:space="preserve"> </w:t>
      </w:r>
      <w:r>
        <w:rPr>
          <w:i/>
          <w:iCs/>
        </w:rPr>
        <w:t xml:space="preserve">14</w:t>
      </w:r>
      <w:r>
        <w:t xml:space="preserve">.</w:t>
      </w:r>
      <w:r>
        <w:t xml:space="preserve"> </w:t>
      </w:r>
      <w:hyperlink r:id="rId56">
        <w:r>
          <w:rPr>
            <w:rStyle w:val="Hyperlink"/>
          </w:rPr>
          <w:t xml:space="preserve">https://doi.org/10.3389/fnhum.2020.606397</w:t>
        </w:r>
      </w:hyperlink>
    </w:p>
    <w:bookmarkEnd w:id="57"/>
    <w:bookmarkStart w:id="59"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58">
        <w:r>
          <w:rPr>
            <w:rStyle w:val="Hyperlink"/>
          </w:rPr>
          <w:t xml:space="preserve">https://doi.org/10.1177/1525822X17710640</w:t>
        </w:r>
      </w:hyperlink>
    </w:p>
    <w:bookmarkEnd w:id="59"/>
    <w:bookmarkStart w:id="61" w:name="ref-Huang2012"/>
    <w:p>
      <w:pPr>
        <w:pStyle w:val="Bibliography"/>
      </w:pPr>
      <w:r>
        <w:t xml:space="preserve">Huang, J. L., Curran, P. G., Keeney, J., Poposki, E. M., &amp; DeShon, R. P. (2012). Detecting and deterring insufficient effort responding to surveys.</w:t>
      </w:r>
      <w:r>
        <w:t xml:space="preserve"> </w:t>
      </w:r>
      <w:r>
        <w:rPr>
          <w:i/>
          <w:iCs/>
        </w:rPr>
        <w:t xml:space="preserve">Journal of Business and Psychology</w:t>
      </w:r>
      <w:r>
        <w:t xml:space="preserve">,</w:t>
      </w:r>
      <w:r>
        <w:t xml:space="preserve"> </w:t>
      </w:r>
      <w:r>
        <w:rPr>
          <w:i/>
          <w:iCs/>
        </w:rPr>
        <w:t xml:space="preserve">27</w:t>
      </w:r>
      <w:r>
        <w:t xml:space="preserve">, 99–114.</w:t>
      </w:r>
      <w:r>
        <w:t xml:space="preserve"> </w:t>
      </w:r>
      <w:hyperlink r:id="rId60">
        <w:r>
          <w:rPr>
            <w:rStyle w:val="Hyperlink"/>
          </w:rPr>
          <w:t xml:space="preserve">https://doi.org/10.1007/s10869-011-9231-8</w:t>
        </w:r>
      </w:hyperlink>
    </w:p>
    <w:bookmarkEnd w:id="61"/>
    <w:bookmarkStart w:id="63" w:name="ref-Kowalski2018"/>
    <w:p>
      <w:pPr>
        <w:pStyle w:val="Bibliography"/>
      </w:pPr>
      <w:r>
        <w:t xml:space="preserve">Kowalski, C. M., Kwiatkowska, K., Kwiatkowska, M. M., Ponikiewska, K., Rogoza, R., &amp; Schermer, J. A. (2018). The dark triad traits and intelligence: Machiavellians are bright, and narcissists and psychopaths are ordinary.</w:t>
      </w:r>
      <w:r>
        <w:t xml:space="preserve"> </w:t>
      </w:r>
      <w:r>
        <w:rPr>
          <w:i/>
          <w:iCs/>
        </w:rPr>
        <w:t xml:space="preserve">Personality and Individual Differences</w:t>
      </w:r>
      <w:r>
        <w:t xml:space="preserve">,</w:t>
      </w:r>
      <w:r>
        <w:t xml:space="preserve"> </w:t>
      </w:r>
      <w:r>
        <w:rPr>
          <w:i/>
          <w:iCs/>
        </w:rPr>
        <w:t xml:space="preserve">135</w:t>
      </w:r>
      <w:r>
        <w:t xml:space="preserve">, 1–6.</w:t>
      </w:r>
      <w:r>
        <w:t xml:space="preserve"> </w:t>
      </w:r>
      <w:hyperlink r:id="rId62">
        <w:r>
          <w:rPr>
            <w:rStyle w:val="Hyperlink"/>
          </w:rPr>
          <w:t xml:space="preserve">https://doi.org/10.1016/j.paid.2018.06.049</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2"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 Turner, R. C., Tendeiro, J. N., Lo, W. J., &amp; Keiffer, E. (2023). Performance of nonparametric person-fit statistics with unfolding versus dominance response models.</w:t>
      </w:r>
      <w:r>
        <w:t xml:space="preserve"> </w:t>
      </w:r>
      <w:r>
        <w:rPr>
          <w:i/>
          <w:iCs/>
        </w:rPr>
        <w:t xml:space="preserve">Measurement</w:t>
      </w:r>
      <w:r>
        <w:t xml:space="preserve">,</w:t>
      </w:r>
      <w:r>
        <w:t xml:space="preserve"> </w:t>
      </w:r>
      <w:r>
        <w:rPr>
          <w:i/>
          <w:iCs/>
        </w:rPr>
        <w:t xml:space="preserve">21</w:t>
      </w:r>
      <w:r>
        <w:t xml:space="preserve">, 232–253.</w:t>
      </w:r>
      <w:r>
        <w:t xml:space="preserve"> </w:t>
      </w:r>
      <w:hyperlink r:id="rId73">
        <w:r>
          <w:rPr>
            <w:rStyle w:val="Hyperlink"/>
          </w:rPr>
          <w:t xml:space="preserve">https://doi.org/10.1080/15366367.2023.2165891</w:t>
        </w:r>
      </w:hyperlink>
    </w:p>
    <w:bookmarkEnd w:id="74"/>
    <w:bookmarkStart w:id="76" w:name="ref-Revelle2024"/>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75">
        <w:r>
          <w:rPr>
            <w:rStyle w:val="Hyperlink"/>
          </w:rPr>
          <w:t xml:space="preserve">https://CRAN.R-project.org/package=psych</w:t>
        </w:r>
      </w:hyperlink>
    </w:p>
    <w:bookmarkEnd w:id="76"/>
    <w:bookmarkStart w:id="78"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7">
        <w:r>
          <w:rPr>
            <w:rStyle w:val="Hyperlink"/>
          </w:rPr>
          <w:t xml:space="preserve">https://doi.org/10.3390/jintelligence11040063</w:t>
        </w:r>
      </w:hyperlink>
    </w:p>
    <w:bookmarkEnd w:id="78"/>
    <w:bookmarkStart w:id="80"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79">
        <w:r>
          <w:rPr>
            <w:rStyle w:val="Hyperlink"/>
          </w:rPr>
          <w:t xml:space="preserve">http://www.R-project.org/</w:t>
        </w:r>
      </w:hyperlink>
    </w:p>
    <w:bookmarkEnd w:id="80"/>
    <w:bookmarkStart w:id="81"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1"/>
    <w:bookmarkStart w:id="83"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2">
        <w:r>
          <w:rPr>
            <w:rStyle w:val="Hyperlink"/>
          </w:rPr>
          <w:t xml:space="preserve">https://doi.org/10.1007/s11336-021-09817-7</w:t>
        </w:r>
      </w:hyperlink>
    </w:p>
    <w:bookmarkEnd w:id="83"/>
    <w:bookmarkStart w:id="84" w:name="ref-VanDerLinden2003"/>
    <w:p>
      <w:pPr>
        <w:pStyle w:val="Bibliography"/>
      </w:pPr>
      <w:r>
        <w:t xml:space="preserve">Van Der Linden, W. J., &amp; Van Krimpen-Stoop, E. M. L. A. (2003). Using response times to detect aberrant responses in computerized adaptive testing. In</w:t>
      </w:r>
      <w:r>
        <w:t xml:space="preserve"> </w:t>
      </w:r>
      <w:r>
        <w:rPr>
          <w:i/>
          <w:iCs/>
        </w:rPr>
        <w:t xml:space="preserve">PSYCHOMETRIKA</w:t>
      </w:r>
      <w:r>
        <w:t xml:space="preserve"> </w:t>
      </w:r>
      <w:r>
        <w:t xml:space="preserve">(Vol. 68, pp. 251–265).</w:t>
      </w:r>
    </w:p>
    <w:bookmarkEnd w:id="84"/>
    <w:bookmarkStart w:id="85" w:name="ref-Yentes2023"/>
    <w:p>
      <w:pPr>
        <w:pStyle w:val="Bibliography"/>
      </w:pPr>
      <w:r>
        <w:t xml:space="preserve">Yentes, R., &amp; Wilhelm, F. (2023).</w:t>
      </w:r>
      <w:r>
        <w:t xml:space="preserve"> </w:t>
      </w:r>
      <w:r>
        <w:rPr>
          <w:i/>
          <w:iCs/>
        </w:rPr>
        <w:t xml:space="preserve">Careless: Procedures for computing indices of careless responding</w:t>
      </w:r>
      <w:r>
        <w:t xml:space="preserve">.</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2025-04-18T16:28:02Z</dcterms:created>
  <dcterms:modified xsi:type="dcterms:W3CDTF">2025-04-18T16:28:02Z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csl">
    <vt:lpwstr>apa.csl</vt:lpwstr>
  </property>
  <property fmtid="{D5CDD505-2E9C-101B-9397-08002B2CF9AE}" pid="10" name="date">
    <vt:lpwstr>2025-04-27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cite">
    <vt:lpwstr>@*</vt:lpwstr>
  </property>
  <property fmtid="{D5CDD505-2E9C-101B-9397-08002B2CF9AE}" pid="19" name="notebook-preview-options">
    <vt:lpwstr/>
  </property>
  <property fmtid="{D5CDD505-2E9C-101B-9397-08002B2CF9AE}" pid="20" name="published-title">
    <vt:lpwstr>Presentation Date</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location">
    <vt:lpwstr>left</vt:lpwstr>
  </property>
  <property fmtid="{D5CDD505-2E9C-101B-9397-08002B2CF9AE}" pid="27" name="toc-title">
    <vt:lpwstr>Contents</vt:lpwstr>
  </property>
  <property fmtid="{D5CDD505-2E9C-101B-9397-08002B2CF9AE}" pid="28" name="unroll-markdown-cells">
    <vt:lpwstr>True</vt:lpwstr>
  </property>
</Properties>
</file>