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00.png" ContentType="image/png"/>
  <Override PartName="/word/media/rId10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Modeling Response Time: The F &gt; C Phenomenon and the Distance-Difficulty Hypothesis</w:t>
      </w:r>
    </w:p>
    <w:p>
      <w:pPr>
        <w:pStyle w:val="Author"/>
      </w:pPr>
      <w:r>
        <w:t xml:space="preserve">Nicole Bonge</w:t>
      </w:r>
    </w:p>
    <w:p>
      <w:pPr>
        <w:pStyle w:val="Author"/>
      </w:pPr>
      <w:r>
        <w:t xml:space="preserve">Ronna C. Turner</w:t>
      </w:r>
    </w:p>
    <w:p>
      <w:pPr>
        <w:pStyle w:val="Date"/>
      </w:pPr>
      <w:r>
        <w:t xml:space="preserve">2025-04-25</w:t>
      </w:r>
    </w:p>
    <w:p>
      <w:pPr>
        <w:pStyle w:val="AbstractTitle"/>
      </w:pPr>
      <w:r>
        <w:t xml:space="preserve">Abstract</w:t>
      </w:r>
    </w:p>
    <w:p>
      <w:pPr>
        <w:pStyle w:val="Abstract"/>
      </w:pPr>
      <w:r>
        <w:t xml:space="preserve">Response time has long been thought to be closely related with intelligence via processing speed. If asked to describe a genius, one might describe a person who can do complex mental calculations quickly and with ease. This stereotype that students with high ability level tend to answer questions fastest has come under question, however, with research indicating that response time is a complex process, dependent on more than just ability level. In this study, we use multilevel linear models to analyze the responses and response times on the 2019 TIMSS mathematics achievement test for eighth-grade students in the United States. Our results demonstrate response time’s dependency on student ability level, whether the student answered the item correctly (F &gt; C phenomenon), and item difficulty in relation to the student’s ability level (distance-difficulty hypothesis). We find evidence to support the F &gt; C phenomenon, the distance-difficulty hypothesis, and an interaction between the two. Our results affirm the complexity of cognitive processes involved in item responses, and challenge the widespread use of response time as a stand-alone metric to assess item quality and respondent effort.</w:t>
      </w:r>
    </w:p>
    <w:bookmarkStart w:id="20" w:name="introduction"/>
    <w:p>
      <w:pPr>
        <w:pStyle w:val="Heading2"/>
      </w:pPr>
      <w:r>
        <w:t xml:space="preserve">1 Introduction</w:t>
      </w:r>
    </w:p>
    <w:p>
      <w:pPr>
        <w:pStyle w:val="FirstParagraph"/>
      </w:pPr>
      <w:r>
        <w:t xml:space="preserve">Researchers have long contemplated the role of response time in</w:t>
      </w:r>
      <w:r>
        <w:t xml:space="preserve"> </w:t>
      </w:r>
      <w:r>
        <w:t xml:space="preserve">achievement testing, and how time-to-completion can inform about an item</w:t>
      </w:r>
      <w:r>
        <w:t xml:space="preserve"> </w:t>
      </w:r>
      <w:r>
        <w:t xml:space="preserve">functioning and participant performance. Among researchers, it is a</w:t>
      </w:r>
      <w:r>
        <w:t xml:space="preserve"> </w:t>
      </w:r>
      <w:r>
        <w:t xml:space="preserve">widely held belief that response time is indicative of the cognitive</w:t>
      </w:r>
      <w:r>
        <w:t xml:space="preserve"> </w:t>
      </w:r>
      <w:r>
        <w:t xml:space="preserve">effort required to answer an item (Höhne et al., 2007), so researchers</w:t>
      </w:r>
      <w:r>
        <w:t xml:space="preserve"> </w:t>
      </w:r>
      <w:r>
        <w:t xml:space="preserve">use response time to gauge item quality and comprehensibility (Bassili</w:t>
      </w:r>
      <w:r>
        <w:t xml:space="preserve"> </w:t>
      </w:r>
      <w:r>
        <w:t xml:space="preserve">et al., 1996; Lenzner, 2012; Lenzner et al., 2010), to detect respondent</w:t>
      </w:r>
      <w:r>
        <w:t xml:space="preserve"> </w:t>
      </w:r>
      <w:r>
        <w:t xml:space="preserve">fatigue (Nguyen, 2017), effort (Bowling et al., 2023; Krosnick, 1991;</w:t>
      </w:r>
      <w:r>
        <w:t xml:space="preserve"> </w:t>
      </w:r>
      <w:r>
        <w:t xml:space="preserve">Ulitzsch et al., 2022), and other characteristics such as persistence,</w:t>
      </w:r>
      <w:r>
        <w:t xml:space="preserve"> </w:t>
      </w:r>
      <w:r>
        <w:t xml:space="preserve">motivation, and disengagement (e.g., Nagy &amp; Ulitzsch, 2021; Wise &amp;</w:t>
      </w:r>
      <w:r>
        <w:t xml:space="preserve"> </w:t>
      </w:r>
      <w:r>
        <w:t xml:space="preserve">Demars, 2006). Researchers have also used response time to investigate</w:t>
      </w:r>
      <w:r>
        <w:t xml:space="preserve"> </w:t>
      </w:r>
      <w:r>
        <w:t xml:space="preserve">other cognitive processes underlying item responses (De Boeck &amp; Jeon,</w:t>
      </w:r>
      <w:r>
        <w:t xml:space="preserve"> </w:t>
      </w:r>
      <w:r>
        <w:t xml:space="preserve">2019), with recent research challenging the long-held</w:t>
      </w:r>
      <w:r>
        <w:t xml:space="preserve"> </w:t>
      </w:r>
      <w:r>
        <w:t xml:space="preserve">“faster equals</w:t>
      </w:r>
      <w:r>
        <w:t xml:space="preserve"> </w:t>
      </w:r>
      <w:r>
        <w:t xml:space="preserve">smarter”</w:t>
      </w:r>
      <w:r>
        <w:t xml:space="preserve"> </w:t>
      </w:r>
      <w:r>
        <w:t xml:space="preserve">stereotype (Gernsbacher et al., 2020).</w:t>
      </w:r>
    </w:p>
    <w:p>
      <w:pPr>
        <w:pStyle w:val="BodyText"/>
      </w:pPr>
      <w:r>
        <w:t xml:space="preserve">In this study, we extend previous models posed by Tancoš et al. (2023)</w:t>
      </w:r>
      <w:r>
        <w:t xml:space="preserve"> </w:t>
      </w:r>
      <w:r>
        <w:t xml:space="preserve">to achievement data, arguing that response time depends on (1) item</w:t>
      </w:r>
      <w:r>
        <w:t xml:space="preserve"> </w:t>
      </w:r>
      <w:r>
        <w:t xml:space="preserve">difficulty, (2) respondent ability level, (3) the distance between the</w:t>
      </w:r>
      <w:r>
        <w:t xml:space="preserve"> </w:t>
      </w:r>
      <w:r>
        <w:t xml:space="preserve">item’s difficulty and the respondent’s ability level (referred to as the</w:t>
      </w:r>
      <w:r>
        <w:t xml:space="preserve"> </w:t>
      </w:r>
      <w:r>
        <w:t xml:space="preserve">distance-difficulty hypothesis; Thissen, 1983), and (4) whether the</w:t>
      </w:r>
      <w:r>
        <w:t xml:space="preserve"> </w:t>
      </w:r>
      <w:r>
        <w:t xml:space="preserve">respondent answered the item correctly (F &gt; C phenomenon; Beckmann,</w:t>
      </w:r>
      <w:r>
        <w:t xml:space="preserve"> </w:t>
      </w:r>
      <w:r>
        <w:t xml:space="preserve">2000).</w:t>
      </w:r>
    </w:p>
    <w:bookmarkEnd w:id="20"/>
    <w:bookmarkStart w:id="30" w:name="theoretical-framework"/>
    <w:p>
      <w:pPr>
        <w:pStyle w:val="Heading2"/>
      </w:pPr>
      <w:r>
        <w:t xml:space="preserve">2 Theoretical Framework</w:t>
      </w:r>
    </w:p>
    <w:bookmarkStart w:id="22" w:name="the-f-c-phenomenon"/>
    <w:p>
      <w:pPr>
        <w:pStyle w:val="Heading3"/>
      </w:pPr>
      <w:r>
        <w:t xml:space="preserve">2.1 The F &gt; C Phenomenon</w:t>
      </w:r>
    </w:p>
    <w:p>
      <w:pPr>
        <w:pStyle w:val="FirstParagraph"/>
      </w:pPr>
      <w:r>
        <w:t xml:space="preserve">One approach to modelling response time is the F &gt; C (False &gt; Correct)</w:t>
      </w:r>
      <w:r>
        <w:t xml:space="preserve"> </w:t>
      </w:r>
      <w:r>
        <w:t xml:space="preserve">phenomenon (Beckmann, 2000), also called the I &gt; C phenomenon, which</w:t>
      </w:r>
      <w:r>
        <w:t xml:space="preserve"> </w:t>
      </w:r>
      <w:r>
        <w:t xml:space="preserve">posits that respondents take longer to report incorrect answers than</w:t>
      </w:r>
      <w:r>
        <w:t xml:space="preserve"> </w:t>
      </w:r>
      <w:r>
        <w:t xml:space="preserve">they take to provide correct ones. Formally, the F &gt; C phenomenon is</w:t>
      </w:r>
      <w:r>
        <w:t xml:space="preserve"> </w:t>
      </w:r>
      <w:r>
        <w:t xml:space="preserve">given by (Beckmann, 2000, as cited in Tancoš et al., 2023, p. 3):</w:t>
      </w:r>
    </w:p>
    <w:p>
      <w:pPr>
        <w:pStyle w:val="BodyText"/>
      </w:pPr>
      <w:bookmarkStart w:id="21" w:name="eq-FC"/>
      <m:oMathPara>
        <m:oMathParaPr>
          <m:jc m:val="center"/>
        </m:oMathParaPr>
        <m:oMath>
          <m:sSub>
            <m:e>
              <m:r>
                <m:t>t</m:t>
              </m:r>
            </m:e>
            <m:sub>
              <m:r>
                <m:t>i</m:t>
              </m:r>
              <m:r>
                <m:t>j</m:t>
              </m:r>
            </m:sub>
          </m:sSub>
          <m:r>
            <m:rPr>
              <m:sty m:val="p"/>
            </m:rPr>
            <m:t>=</m:t>
          </m:r>
          <m:r>
            <m:t>μ</m:t>
          </m:r>
          <m:r>
            <m:rPr>
              <m:sty m:val="p"/>
            </m:rPr>
            <m:t>+</m:t>
          </m:r>
          <m:r>
            <m:t>γ</m:t>
          </m:r>
          <m:r>
            <m:t>F</m:t>
          </m:r>
          <m:sSub>
            <m:e>
              <m:r>
                <m:t>C</m:t>
              </m:r>
            </m:e>
            <m:sub>
              <m:r>
                <m:t>i</m:t>
              </m:r>
              <m:r>
                <m:t>j</m:t>
              </m:r>
            </m:sub>
          </m:sSub>
          <m:r>
            <m:rPr>
              <m:sty m:val="p"/>
            </m:rPr>
            <m:t>+</m:t>
          </m:r>
          <m:sSub>
            <m:e>
              <m:r>
                <m:t>ϵ</m:t>
              </m:r>
            </m:e>
            <m:sub>
              <m:r>
                <m:t>i</m:t>
              </m:r>
              <m:r>
                <m:t>j</m:t>
              </m:r>
            </m:sub>
          </m:sSub>
          <m:r>
            <m:rPr>
              <m:sty m:val="p"/>
            </m:rPr>
            <m:t>,</m:t>
          </m:r>
          <m:r>
            <m:t>  </m:t>
          </m:r>
          <m:d>
            <m:dPr>
              <m:begChr m:val="("/>
              <m:endChr m:val=")"/>
              <m:sepChr m:val=""/>
              <m:grow/>
            </m:dPr>
            <m:e>
              <m:r>
                <m:t>1</m:t>
              </m:r>
            </m:e>
          </m:d>
        </m:oMath>
      </m:oMathPara>
      <w:bookmarkEnd w:id="21"/>
    </w:p>
    <w:p>
      <w:pPr>
        <w:pStyle w:val="FirstParagraph"/>
      </w:pPr>
      <w:r>
        <w:t xml:space="preserve">where</w:t>
      </w:r>
      <w:r>
        <w:t xml:space="preserve"> </w:t>
      </w:r>
      <m:oMath>
        <m:sSub>
          <m:e>
            <m:r>
              <m:t>t</m:t>
            </m:r>
          </m:e>
          <m:sub>
            <m:r>
              <m:t>i</m:t>
            </m:r>
            <m:r>
              <m:t>j</m:t>
            </m:r>
          </m:sub>
        </m:sSub>
      </m:oMath>
      <w:r>
        <w:t xml:space="preserve"> </w:t>
      </w:r>
      <w:r>
        <w:t xml:space="preserve">is the response time of respondent</w:t>
      </w:r>
      <w:r>
        <w:t xml:space="preserve"> </w:t>
      </w:r>
      <m:oMath>
        <m:r>
          <m:t>j</m:t>
        </m:r>
      </m:oMath>
      <w:r>
        <w:t xml:space="preserve"> </w:t>
      </w:r>
      <w:r>
        <w:t xml:space="preserve">on item</w:t>
      </w:r>
      <w:r>
        <w:t xml:space="preserve"> </w:t>
      </w:r>
      <m:oMath>
        <m:r>
          <m:t>i</m:t>
        </m:r>
      </m:oMath>
      <w:r>
        <w:t xml:space="preserve">;</w:t>
      </w:r>
      <w:r>
        <w:t xml:space="preserve"> </w:t>
      </w:r>
      <m:oMath>
        <m:r>
          <m:t>μ</m:t>
        </m:r>
      </m:oMath>
      <w:r>
        <w:t xml:space="preserve"> </w:t>
      </w:r>
      <w:r>
        <w:t xml:space="preserve">is an</w:t>
      </w:r>
      <w:r>
        <w:t xml:space="preserve"> </w:t>
      </w:r>
      <w:r>
        <w:t xml:space="preserve">intercept representing the average response time across all items and</w:t>
      </w:r>
      <w:r>
        <w:t xml:space="preserve"> </w:t>
      </w:r>
      <w:r>
        <w:t xml:space="preserve">respondents;</w:t>
      </w:r>
      <w:r>
        <w:t xml:space="preserve"> </w:t>
      </w:r>
      <m:oMath>
        <m:r>
          <m:t>F</m:t>
        </m:r>
        <m:sSub>
          <m:e>
            <m:r>
              <m:t>C</m:t>
            </m:r>
          </m:e>
          <m:sub>
            <m:r>
              <m:t>i</m:t>
            </m:r>
            <m:r>
              <m:t>j</m:t>
            </m:r>
          </m:sub>
        </m:sSub>
      </m:oMath>
      <w:r>
        <w:t xml:space="preserve"> </w:t>
      </w:r>
      <w:r>
        <w:t xml:space="preserve">is a binary indicator representing whether</w:t>
      </w:r>
      <w:r>
        <w:t xml:space="preserve"> </w:t>
      </w:r>
      <w:r>
        <w:t xml:space="preserve">respondent</w:t>
      </w:r>
      <w:r>
        <w:t xml:space="preserve"> </w:t>
      </w:r>
      <m:oMath>
        <m:r>
          <m:t>j</m:t>
        </m:r>
      </m:oMath>
      <w:r>
        <w:t xml:space="preserve"> </w:t>
      </w:r>
      <w:r>
        <w:t xml:space="preserve">answered item</w:t>
      </w:r>
      <w:r>
        <w:t xml:space="preserve"> </w:t>
      </w:r>
      <m:oMath>
        <m:r>
          <m:t>i</m:t>
        </m:r>
      </m:oMath>
      <w:r>
        <w:t xml:space="preserve"> </w:t>
      </w:r>
      <w:r>
        <w:t xml:space="preserve">correctly;</w:t>
      </w:r>
      <w:r>
        <w:t xml:space="preserve"> </w:t>
      </w:r>
      <m:oMath>
        <m:r>
          <m:t>γ</m:t>
        </m:r>
      </m:oMath>
      <w:r>
        <w:t xml:space="preserve"> </w:t>
      </w:r>
      <w:r>
        <w:t xml:space="preserve">is an</w:t>
      </w:r>
      <w:r>
        <w:t xml:space="preserve"> </w:t>
      </w:r>
      <w:r>
        <w:t xml:space="preserve">unstandardized regression coefficient representing the mean difference</w:t>
      </w:r>
      <w:r>
        <w:t xml:space="preserve"> </w:t>
      </w:r>
      <w:r>
        <w:t xml:space="preserve">in response time between false and correct answers; and</w:t>
      </w:r>
      <w:r>
        <w:t xml:space="preserve"> </w:t>
      </w:r>
      <m:oMath>
        <m:sSub>
          <m:e>
            <m:r>
              <m:t>ϵ</m:t>
            </m:r>
          </m:e>
          <m:sub>
            <m:r>
              <m:t>i</m:t>
            </m:r>
            <m:r>
              <m:t>j</m:t>
            </m:r>
          </m:sub>
        </m:sSub>
      </m:oMath>
      <w:r>
        <w:t xml:space="preserve"> </w:t>
      </w:r>
      <w:r>
        <w:t xml:space="preserve">is a normally distributed residual.</w:t>
      </w:r>
    </w:p>
    <w:bookmarkEnd w:id="22"/>
    <w:bookmarkStart w:id="25" w:name="the-distance-difficulty-hypothesis"/>
    <w:p>
      <w:pPr>
        <w:pStyle w:val="Heading3"/>
      </w:pPr>
      <w:r>
        <w:t xml:space="preserve">2.2 The Distance-Difficulty Hypothesis</w:t>
      </w:r>
    </w:p>
    <w:p>
      <w:pPr>
        <w:pStyle w:val="FirstParagraph"/>
      </w:pPr>
      <w:r>
        <w:t xml:space="preserve">Another approach to modeling response time is the distance-difficulty</w:t>
      </w:r>
      <w:r>
        <w:t xml:space="preserve"> </w:t>
      </w:r>
      <w:r>
        <w:t xml:space="preserve">hypothesis, based in item response theory, proposed originally by</w:t>
      </w:r>
      <w:r>
        <w:t xml:space="preserve"> </w:t>
      </w:r>
      <w:r>
        <w:t xml:space="preserve">Thissen (1983). The distance-difficulty hypothesis states that response</w:t>
      </w:r>
      <w:r>
        <w:t xml:space="preserve"> </w:t>
      </w:r>
      <w:r>
        <w:t xml:space="preserve">time decreases with increasing distance between an item’s difficulty</w:t>
      </w:r>
      <w:r>
        <w:t xml:space="preserve"> </w:t>
      </w:r>
      <w:r>
        <w:t xml:space="preserve">(</w:t>
      </w:r>
      <m:oMath>
        <m:sSub>
          <m:e>
            <m:r>
              <m:t>b</m:t>
            </m:r>
          </m:e>
          <m:sub>
            <m:r>
              <m:t>i</m:t>
            </m:r>
          </m:sub>
        </m:sSub>
      </m:oMath>
      <w:r>
        <w:t xml:space="preserve">) and a respondent’s ability level (</w:t>
      </w:r>
      <m:oMath>
        <m:sSub>
          <m:e>
            <m:r>
              <m:t>θ</m:t>
            </m:r>
          </m:e>
          <m:sub>
            <m:r>
              <m:t>j</m:t>
            </m:r>
          </m:sub>
        </m:sSub>
      </m:oMath>
      <w:r>
        <w:t xml:space="preserve">), given by</w:t>
      </w:r>
      <w:r>
        <w:t xml:space="preserve"> </w:t>
      </w:r>
      <m:oMath>
        <m:sSub>
          <m:e>
            <m:r>
              <m:t>δ</m:t>
            </m:r>
          </m:e>
          <m:sub>
            <m:r>
              <m:t>i</m:t>
            </m:r>
            <m:r>
              <m:t>j</m:t>
            </m:r>
          </m:sub>
        </m:sSub>
        <m:r>
          <m:rPr>
            <m:sty m:val="p"/>
          </m:rPr>
          <m:t>=</m:t>
        </m:r>
        <m:d>
          <m:dPr>
            <m:begChr m:val="|"/>
            <m:endChr m:val="|"/>
            <m:sepChr m:val=""/>
            <m:grow/>
          </m:dPr>
          <m:e>
            <m:sSub>
              <m:e>
                <m:r>
                  <m:t>θ</m:t>
                </m:r>
              </m:e>
              <m:sub>
                <m:r>
                  <m:t>j</m:t>
                </m:r>
              </m:sub>
            </m:sSub>
            <m:r>
              <m:rPr>
                <m:sty m:val="p"/>
              </m:rPr>
              <m:t>−</m:t>
            </m:r>
            <m:sSub>
              <m:e>
                <m:r>
                  <m:t>b</m:t>
                </m:r>
              </m:e>
              <m:sub>
                <m:r>
                  <m:t>i</m:t>
                </m:r>
              </m:sub>
            </m:sSub>
          </m:e>
        </m:d>
      </m:oMath>
      <w:r>
        <w:t xml:space="preserve">, called person-item distance. In other</w:t>
      </w:r>
      <w:r>
        <w:t xml:space="preserve"> </w:t>
      </w:r>
      <w:r>
        <w:t xml:space="preserve">words, a respondent should take longer to answer a question that is</w:t>
      </w:r>
      <w:r>
        <w:t xml:space="preserve"> </w:t>
      </w:r>
      <w:r>
        <w:t xml:space="preserve">close to their ability level. Conversely, a respondent should take less</w:t>
      </w:r>
      <w:r>
        <w:t xml:space="preserve"> </w:t>
      </w:r>
      <w:r>
        <w:t xml:space="preserve">time to answer a question that is very easy or very difficult, relative</w:t>
      </w:r>
      <w:r>
        <w:t xml:space="preserve"> </w:t>
      </w:r>
      <w:r>
        <w:t xml:space="preserve">to the respondent’s ability level. Thissen’s model is given by:</w:t>
      </w:r>
    </w:p>
    <w:p>
      <w:pPr>
        <w:pStyle w:val="BodyText"/>
      </w:pPr>
      <w:bookmarkStart w:id="23" w:name="eq-DD"/>
      <m:oMathPara>
        <m:oMathParaPr>
          <m:jc m:val="center"/>
        </m:oMathParaPr>
        <m:oMath>
          <m:r>
            <m:rPr>
              <m:sty m:val="p"/>
            </m:rPr>
            <m:t>ln</m:t>
          </m:r>
          <m:d>
            <m:dPr>
              <m:begChr m:val="("/>
              <m:endChr m:val=")"/>
              <m:sepChr m:val=""/>
              <m:grow/>
            </m:dPr>
            <m:e>
              <m:sSub>
                <m:e>
                  <m:r>
                    <m:t>t</m:t>
                  </m:r>
                </m:e>
                <m:sub>
                  <m:r>
                    <m:t>i</m:t>
                  </m:r>
                  <m:r>
                    <m:t>j</m:t>
                  </m:r>
                </m:sub>
              </m:sSub>
            </m:e>
          </m:d>
          <m:r>
            <m:rPr>
              <m:sty m:val="p"/>
            </m:rPr>
            <m:t>=</m:t>
          </m:r>
          <m:r>
            <m:t>μ</m:t>
          </m:r>
          <m:r>
            <m:rPr>
              <m:sty m:val="p"/>
            </m:rPr>
            <m:t>+</m:t>
          </m:r>
          <m:sSub>
            <m:e>
              <m:r>
                <m:t>τ</m:t>
              </m:r>
            </m:e>
            <m:sub>
              <m:r>
                <m:t>j</m:t>
              </m:r>
            </m:sub>
          </m:sSub>
          <m:r>
            <m:rPr>
              <m:sty m:val="p"/>
            </m:rPr>
            <m:t>+</m:t>
          </m:r>
          <m:sSub>
            <m:e>
              <m:r>
                <m:t>β</m:t>
              </m:r>
            </m:e>
            <m:sub>
              <m:r>
                <m:t>i</m:t>
              </m:r>
            </m:sub>
          </m:sSub>
          <m:r>
            <m:rPr>
              <m:sty m:val="p"/>
            </m:rPr>
            <m:t>−</m:t>
          </m:r>
          <m:r>
            <m:t>γ</m:t>
          </m:r>
          <m:sSub>
            <m:e>
              <m:r>
                <m:t>δ</m:t>
              </m:r>
            </m:e>
            <m:sub>
              <m:r>
                <m:t>i</m:t>
              </m:r>
              <m:r>
                <m:t>j</m:t>
              </m:r>
            </m:sub>
          </m:sSub>
          <m:r>
            <m:rPr>
              <m:sty m:val="p"/>
            </m:rPr>
            <m:t>+</m:t>
          </m:r>
          <m:sSub>
            <m:e>
              <m:r>
                <m:t>ϵ</m:t>
              </m:r>
            </m:e>
            <m:sub>
              <m:r>
                <m:t>i</m:t>
              </m:r>
              <m:r>
                <m:t>j</m:t>
              </m:r>
            </m:sub>
          </m:sSub>
          <m:r>
            <m:rPr>
              <m:sty m:val="p"/>
            </m:rPr>
            <m:t>,</m:t>
          </m:r>
          <m:r>
            <m:t>  </m:t>
          </m:r>
          <m:d>
            <m:dPr>
              <m:begChr m:val="("/>
              <m:endChr m:val=")"/>
              <m:sepChr m:val=""/>
              <m:grow/>
            </m:dPr>
            <m:e>
              <m:r>
                <m:t>2</m:t>
              </m:r>
            </m:e>
          </m:d>
        </m:oMath>
      </m:oMathPara>
      <w:bookmarkEnd w:id="23"/>
    </w:p>
    <w:p>
      <w:pPr>
        <w:pStyle w:val="FirstParagraph"/>
      </w:pPr>
      <w:r>
        <w:t xml:space="preserve">where</w:t>
      </w:r>
      <w:r>
        <w:t xml:space="preserve"> </w:t>
      </w:r>
      <m:oMath>
        <m:r>
          <m:rPr>
            <m:sty m:val="p"/>
          </m:rPr>
          <m:t>ln</m:t>
        </m:r>
        <m:d>
          <m:dPr>
            <m:begChr m:val="("/>
            <m:endChr m:val=")"/>
            <m:sepChr m:val=""/>
            <m:grow/>
          </m:dPr>
          <m:e>
            <m:sSub>
              <m:e>
                <m:r>
                  <m:t>t</m:t>
                </m:r>
              </m:e>
              <m:sub>
                <m:r>
                  <m:t>i</m:t>
                </m:r>
                <m:r>
                  <m:t>j</m:t>
                </m:r>
              </m:sub>
            </m:sSub>
          </m:e>
        </m:d>
      </m:oMath>
      <w:r>
        <w:t xml:space="preserve"> </w:t>
      </w:r>
      <w:r>
        <w:t xml:space="preserve">is a logarithmic transformation of the response</w:t>
      </w:r>
      <w:r>
        <w:t xml:space="preserve"> </w:t>
      </w:r>
      <w:r>
        <w:t xml:space="preserve">time for respondent</w:t>
      </w:r>
      <w:r>
        <w:t xml:space="preserve"> </w:t>
      </w:r>
      <m:oMath>
        <m:r>
          <m:t>j</m:t>
        </m:r>
      </m:oMath>
      <w:r>
        <w:t xml:space="preserve"> </w:t>
      </w:r>
      <w:r>
        <w:t xml:space="preserve">on item</w:t>
      </w:r>
      <w:r>
        <w:t xml:space="preserve"> </w:t>
      </w:r>
      <m:oMath>
        <m:r>
          <m:t>i</m:t>
        </m:r>
      </m:oMath>
      <w:r>
        <w:t xml:space="preserve"> </w:t>
      </w:r>
      <w:r>
        <w:t xml:space="preserve">(this transformation is meant to</w:t>
      </w:r>
      <w:r>
        <w:t xml:space="preserve"> </w:t>
      </w:r>
      <w:r>
        <w:t xml:space="preserve">achieve normally distributed errors</w:t>
      </w:r>
      <w:r>
        <w:t xml:space="preserve"> </w:t>
      </w:r>
      <m:oMath>
        <m:sSub>
          <m:e>
            <m:r>
              <m:t>ϵ</m:t>
            </m:r>
          </m:e>
          <m:sub>
            <m:r>
              <m:t>i</m:t>
            </m:r>
            <m:r>
              <m:t>j</m:t>
            </m:r>
          </m:sub>
        </m:sSub>
      </m:oMath>
      <w:r>
        <w:t xml:space="preserve">);</w:t>
      </w:r>
      <w:r>
        <w:t xml:space="preserve"> </w:t>
      </w:r>
      <m:oMath>
        <m:r>
          <m:t>μ</m:t>
        </m:r>
      </m:oMath>
      <w:r>
        <w:t xml:space="preserve"> </w:t>
      </w:r>
      <w:r>
        <w:t xml:space="preserve">is the</w:t>
      </w:r>
      <w:r>
        <w:t xml:space="preserve"> </w:t>
      </w:r>
      <w:r>
        <w:t xml:space="preserve">intercept, representing the average response time across all respondents</w:t>
      </w:r>
      <w:r>
        <w:t xml:space="preserve"> </w:t>
      </w:r>
      <w:r>
        <w:t xml:space="preserve">and items;</w:t>
      </w:r>
      <w:r>
        <w:t xml:space="preserve"> </w:t>
      </w:r>
      <m:oMath>
        <m:sSub>
          <m:e>
            <m:r>
              <m:t>τ</m:t>
            </m:r>
          </m:e>
          <m:sub>
            <m:r>
              <m:t>j</m:t>
            </m:r>
          </m:sub>
        </m:sSub>
      </m:oMath>
      <w:r>
        <w:t xml:space="preserve"> </w:t>
      </w:r>
      <w:r>
        <w:t xml:space="preserve">represents respondent</w:t>
      </w:r>
      <w:r>
        <w:t xml:space="preserve"> </w:t>
      </w:r>
      <m:oMath>
        <m:r>
          <m:t>j</m:t>
        </m:r>
      </m:oMath>
      <w:r>
        <w:t xml:space="preserve">’s average response time</w:t>
      </w:r>
      <w:r>
        <w:t xml:space="preserve"> </w:t>
      </w:r>
      <w:r>
        <w:t xml:space="preserve">across all items;</w:t>
      </w:r>
      <w:r>
        <w:t xml:space="preserve"> </w:t>
      </w:r>
      <m:oMath>
        <m:sSub>
          <m:e>
            <m:r>
              <m:t>β</m:t>
            </m:r>
          </m:e>
          <m:sub>
            <m:r>
              <m:t>i</m:t>
            </m:r>
          </m:sub>
        </m:sSub>
      </m:oMath>
      <w:r>
        <w:t xml:space="preserve"> </w:t>
      </w:r>
      <w:r>
        <w:t xml:space="preserve">represents the response time of an</w:t>
      </w:r>
      <w:r>
        <w:t xml:space="preserve"> </w:t>
      </w:r>
      <w:r>
        <w:t xml:space="preserve">average-ability respondent for item</w:t>
      </w:r>
      <w:r>
        <w:t xml:space="preserve"> </w:t>
      </w:r>
      <m:oMath>
        <m:r>
          <m:t>i</m:t>
        </m:r>
      </m:oMath>
      <w:r>
        <w:t xml:space="preserve">; and</w:t>
      </w:r>
      <w:r>
        <w:t xml:space="preserve"> </w:t>
      </w:r>
      <m:oMath>
        <m:r>
          <m:t>γ</m:t>
        </m:r>
      </m:oMath>
      <w:r>
        <w:t xml:space="preserve"> </w:t>
      </w:r>
      <w:r>
        <w:t xml:space="preserve">is a coefficient</w:t>
      </w:r>
      <w:r>
        <w:t xml:space="preserve"> </w:t>
      </w:r>
      <w:r>
        <w:t xml:space="preserve">representing the magnitude of the difference of the relationship between</w:t>
      </w:r>
      <w:r>
        <w:t xml:space="preserve"> </w:t>
      </w:r>
      <w:r>
        <w:t xml:space="preserve">response time and the ability-difficulty distance, which is expected to</w:t>
      </w:r>
      <w:r>
        <w:t xml:space="preserve"> </w:t>
      </w:r>
      <w:r>
        <w:t xml:space="preserve">be negative.</w:t>
      </w:r>
    </w:p>
    <w:p>
      <w:pPr>
        <w:pStyle w:val="BodyText"/>
      </w:pPr>
      <w:r>
        <w:t xml:space="preserve">Ferrando and Lorenzo-Seva (2007) proposed an alternative person-item</w:t>
      </w:r>
      <w:r>
        <w:t xml:space="preserve"> </w:t>
      </w:r>
      <w:r>
        <w:t xml:space="preserve">distance measure according to the two-parameter logistic (2PL) model.</w:t>
      </w:r>
      <w:r>
        <w:t xml:space="preserve"> </w:t>
      </w:r>
      <w:r>
        <w:t xml:space="preserve">This model is given by (Ferrando &amp; Lorenzo-Seva, 2007, p. 528):</w:t>
      </w:r>
    </w:p>
    <w:p>
      <w:pPr>
        <w:pStyle w:val="BodyText"/>
      </w:pPr>
      <w:bookmarkStart w:id="24" w:name="eq-FLS"/>
      <m:oMathPara>
        <m:oMathParaPr>
          <m:jc m:val="center"/>
        </m:oMathParaPr>
        <m:oMath>
          <m:sSub>
            <m:e>
              <m:r>
                <m:t>δ</m:t>
              </m:r>
            </m:e>
            <m:sub>
              <m:r>
                <m:t>i</m:t>
              </m:r>
              <m:r>
                <m:t>j</m:t>
              </m:r>
            </m:sub>
          </m:sSub>
          <m:r>
            <m:rPr>
              <m:sty m:val="p"/>
            </m:rPr>
            <m:t>=</m:t>
          </m:r>
          <m:rad>
            <m:radPr>
              <m:degHide m:val="on"/>
            </m:radPr>
            <m:deg/>
            <m:e>
              <m:sSubSup>
                <m:e>
                  <m:r>
                    <m:t>a</m:t>
                  </m:r>
                </m:e>
                <m:sub>
                  <m:r>
                    <m:t>i</m:t>
                  </m:r>
                </m:sub>
                <m:sup>
                  <m:r>
                    <m:t>2</m:t>
                  </m:r>
                </m:sup>
              </m:sSubSup>
              <m:sSup>
                <m:e>
                  <m:d>
                    <m:dPr>
                      <m:begChr m:val="("/>
                      <m:endChr m:val=")"/>
                      <m:sepChr m:val=""/>
                      <m:grow/>
                    </m:dPr>
                    <m:e>
                      <m:sSub>
                        <m:e>
                          <m:r>
                            <m:t>θ</m:t>
                          </m:r>
                        </m:e>
                        <m:sub>
                          <m:r>
                            <m:t>j</m:t>
                          </m:r>
                        </m:sub>
                      </m:sSub>
                      <m:r>
                        <m:rPr>
                          <m:sty m:val="p"/>
                        </m:rPr>
                        <m:t>−</m:t>
                      </m:r>
                      <m:sSub>
                        <m:e>
                          <m:r>
                            <m:t>b</m:t>
                          </m:r>
                        </m:e>
                        <m:sub>
                          <m:r>
                            <m:t>i</m:t>
                          </m:r>
                        </m:sub>
                      </m:sSub>
                    </m:e>
                  </m:d>
                </m:e>
                <m:sup>
                  <m:r>
                    <m:t>2</m:t>
                  </m:r>
                </m:sup>
              </m:sSup>
            </m:e>
          </m:rad>
          <m:r>
            <m:rPr>
              <m:sty m:val="p"/>
            </m:rPr>
            <m:t>,</m:t>
          </m:r>
          <m:r>
            <m:t>  </m:t>
          </m:r>
          <m:d>
            <m:dPr>
              <m:begChr m:val="("/>
              <m:endChr m:val=")"/>
              <m:sepChr m:val=""/>
              <m:grow/>
            </m:dPr>
            <m:e>
              <m:r>
                <m:t>3</m:t>
              </m:r>
            </m:e>
          </m:d>
        </m:oMath>
      </m:oMathPara>
      <w:bookmarkEnd w:id="24"/>
    </w:p>
    <w:p>
      <w:pPr>
        <w:pStyle w:val="FirstParagraph"/>
      </w:pPr>
      <w:r>
        <w:t xml:space="preserve">where</w:t>
      </w:r>
      <w:r>
        <w:t xml:space="preserve"> </w:t>
      </w:r>
      <m:oMath>
        <m:sSub>
          <m:e>
            <m:r>
              <m:t>a</m:t>
            </m:r>
          </m:e>
          <m:sub>
            <m:r>
              <m:t>i</m:t>
            </m:r>
          </m:sub>
        </m:sSub>
      </m:oMath>
      <w:r>
        <w:t xml:space="preserve"> </w:t>
      </w:r>
      <w:r>
        <w:t xml:space="preserve">is the discrimination for item</w:t>
      </w:r>
      <w:r>
        <w:t xml:space="preserve"> </w:t>
      </w:r>
      <m:oMath>
        <m:r>
          <m:t>i</m:t>
        </m:r>
      </m:oMath>
      <w:r>
        <w:t xml:space="preserve">. Well-designed items have positive</w:t>
      </w:r>
      <w:r>
        <w:t xml:space="preserve"> </w:t>
      </w:r>
      <w:r>
        <w:t xml:space="preserve">discrimination, in which case, one can simplify</w:t>
      </w:r>
      <w:r>
        <w:t xml:space="preserve"> </w:t>
      </w:r>
      <w:hyperlink w:anchor="eq-FLS">
        <w:r>
          <w:rPr>
            <w:rStyle w:val="Hyperlink"/>
          </w:rPr>
          <w:t xml:space="preserve">Equation 3</w:t>
        </w:r>
      </w:hyperlink>
      <w:r>
        <w:t xml:space="preserve"> </w:t>
      </w:r>
      <w:r>
        <w:t xml:space="preserve">to</w:t>
      </w:r>
      <w:r>
        <w:t xml:space="preserve"> </w:t>
      </w:r>
      <m:oMath>
        <m:sSub>
          <m:e>
            <m:r>
              <m:t>δ</m:t>
            </m:r>
          </m:e>
          <m:sub>
            <m:r>
              <m:t>i</m:t>
            </m:r>
            <m:r>
              <m:t>j</m:t>
            </m:r>
          </m:sub>
        </m:sSub>
        <m:r>
          <m:rPr>
            <m:sty m:val="p"/>
          </m:rPr>
          <m:t>=</m:t>
        </m:r>
        <m:sSub>
          <m:e>
            <m:r>
              <m:t>a</m:t>
            </m:r>
          </m:e>
          <m:sub>
            <m:r>
              <m:t>i</m:t>
            </m:r>
          </m:sub>
        </m:sSub>
        <m:d>
          <m:dPr>
            <m:begChr m:val="|"/>
            <m:endChr m:val="|"/>
            <m:sepChr m:val=""/>
            <m:grow/>
          </m:dPr>
          <m:e>
            <m:sSub>
              <m:e>
                <m:r>
                  <m:t>θ</m:t>
                </m:r>
              </m:e>
              <m:sub>
                <m:r>
                  <m:t>j</m:t>
                </m:r>
              </m:sub>
            </m:sSub>
            <m:r>
              <m:rPr>
                <m:sty m:val="p"/>
              </m:rPr>
              <m:t>−</m:t>
            </m:r>
            <m:sSub>
              <m:e>
                <m:r>
                  <m:t>b</m:t>
                </m:r>
              </m:e>
              <m:sub>
                <m:r>
                  <m:t>i</m:t>
                </m:r>
              </m:sub>
            </m:sSub>
          </m:e>
        </m:d>
      </m:oMath>
      <w:r>
        <w:t xml:space="preserve">. We call this discrimination-adjusted</w:t>
      </w:r>
      <w:r>
        <w:t xml:space="preserve"> </w:t>
      </w:r>
      <w:r>
        <w:t xml:space="preserve">person-item distance the</w:t>
      </w:r>
      <w:r>
        <w:t xml:space="preserve"> </w:t>
      </w:r>
      <w:r>
        <w:t xml:space="preserve">“ability-difficulty distance.”</w:t>
      </w:r>
    </w:p>
    <w:bookmarkEnd w:id="25"/>
    <w:bookmarkStart w:id="28" w:name="the-tancoš-models"/>
    <w:p>
      <w:pPr>
        <w:pStyle w:val="Heading3"/>
      </w:pPr>
      <w:r>
        <w:t xml:space="preserve">2.3 The Tancoš Models</w:t>
      </w:r>
    </w:p>
    <w:p>
      <w:pPr>
        <w:pStyle w:val="FirstParagraph"/>
      </w:pPr>
      <w:r>
        <w:t xml:space="preserve">Combining these approaches, Tancoš et al. (2023) examined the time</w:t>
      </w:r>
      <w:r>
        <w:t xml:space="preserve"> </w:t>
      </w:r>
      <w:r>
        <w:t xml:space="preserve">children took to complete fluid-reasoning tasks in a game-based</w:t>
      </w:r>
      <w:r>
        <w:t xml:space="preserve"> </w:t>
      </w:r>
      <w:r>
        <w:t xml:space="preserve">application, using item difficulty, respondent ability level, and answer</w:t>
      </w:r>
      <w:r>
        <w:t xml:space="preserve"> </w:t>
      </w:r>
      <w:r>
        <w:t xml:space="preserve">correctness as predictors in multilevel regression models with response</w:t>
      </w:r>
      <w:r>
        <w:t xml:space="preserve"> </w:t>
      </w:r>
      <w:r>
        <w:t xml:space="preserve">time as the outcome variable.</w:t>
      </w:r>
    </w:p>
    <w:p>
      <w:pPr>
        <w:pStyle w:val="BodyText"/>
      </w:pPr>
      <w:r>
        <w:t xml:space="preserve">Tancoš et al. (2023) proposed two series of multilevel models relating</w:t>
      </w:r>
      <w:r>
        <w:t xml:space="preserve"> </w:t>
      </w:r>
      <w:r>
        <w:t xml:space="preserve">fluid intelligence in children to response time. The first series of</w:t>
      </w:r>
      <w:r>
        <w:t xml:space="preserve"> </w:t>
      </w:r>
      <w:r>
        <w:t xml:space="preserve">models focused on the F &gt; C phenomenon, controlling for item difficulty</w:t>
      </w:r>
      <w:r>
        <w:t xml:space="preserve"> </w:t>
      </w:r>
      <w:r>
        <w:t xml:space="preserve">(</w:t>
      </w:r>
      <m:oMath>
        <m:sSub>
          <m:e>
            <m:r>
              <m:t>b</m:t>
            </m:r>
          </m:e>
          <m:sub>
            <m:r>
              <m:t>i</m:t>
            </m:r>
          </m:sub>
        </m:sSub>
      </m:oMath>
      <w:r>
        <w:t xml:space="preserve">) and respondent ability (</w:t>
      </w:r>
      <m:oMath>
        <m:sSub>
          <m:e>
            <m:r>
              <m:t>θ</m:t>
            </m:r>
          </m:e>
          <m:sub>
            <m:r>
              <m:t>j</m:t>
            </m:r>
          </m:sub>
        </m:sSub>
      </m:oMath>
      <w:r>
        <w:t xml:space="preserve">) with an interaction between</w:t>
      </w:r>
      <w:r>
        <w:t xml:space="preserve"> </w:t>
      </w:r>
      <w:r>
        <w:t xml:space="preserve">answer correctness (</w:t>
      </w:r>
      <m:oMath>
        <m:r>
          <m:t>F</m:t>
        </m:r>
        <m:sSub>
          <m:e>
            <m:r>
              <m:t>C</m:t>
            </m:r>
          </m:e>
          <m:sub>
            <m:r>
              <m:t>i</m:t>
            </m:r>
            <m:r>
              <m:t>j</m:t>
            </m:r>
          </m:sub>
        </m:sSub>
      </m:oMath>
      <w:r>
        <w:t xml:space="preserve">) and respondent ability. This series of</w:t>
      </w:r>
      <w:r>
        <w:t xml:space="preserve"> </w:t>
      </w:r>
      <w:r>
        <w:t xml:space="preserve">model culminates with the following model (Tancoš et al., 2023, p. 7):</w:t>
      </w:r>
    </w:p>
    <w:p>
      <w:pPr>
        <w:pStyle w:val="BodyText"/>
      </w:pPr>
      <w:bookmarkStart w:id="26" w:name="eq-Tancos"/>
      <m:oMathPara>
        <m:oMathParaPr>
          <m:jc m:val="center"/>
        </m:oMathParaPr>
        <m:oMath>
          <m:r>
            <m:rPr>
              <m:sty m:val="p"/>
            </m:rPr>
            <m:t>ln</m:t>
          </m:r>
          <m:d>
            <m:dPr>
              <m:begChr m:val="("/>
              <m:endChr m:val=")"/>
              <m:sepChr m:val=""/>
              <m:grow/>
            </m:dPr>
            <m:e>
              <m:sSub>
                <m:e>
                  <m:r>
                    <m:t>t</m:t>
                  </m:r>
                </m:e>
                <m:sub>
                  <m:r>
                    <m:t>i</m:t>
                  </m:r>
                  <m:r>
                    <m:t>j</m:t>
                  </m:r>
                </m:sub>
              </m:sSub>
            </m:e>
          </m:d>
          <m:r>
            <m:rPr>
              <m:sty m:val="p"/>
            </m:rPr>
            <m:t>=</m:t>
          </m:r>
          <m:r>
            <m:t>μ</m:t>
          </m:r>
          <m:r>
            <m:rPr>
              <m:sty m:val="p"/>
            </m:rPr>
            <m:t>+</m:t>
          </m:r>
          <m:sSub>
            <m:e>
              <m:r>
                <m:t>ν</m:t>
              </m:r>
            </m:e>
            <m:sub>
              <m:r>
                <m:t>j</m:t>
              </m:r>
            </m:sub>
          </m:sSub>
          <m:r>
            <m:rPr>
              <m:sty m:val="p"/>
            </m:rPr>
            <m:t>+</m:t>
          </m:r>
          <m:sSub>
            <m:e>
              <m:r>
                <m:t>β</m:t>
              </m:r>
            </m:e>
            <m:sub>
              <m:r>
                <m:t>i</m:t>
              </m:r>
            </m:sub>
          </m:sSub>
          <m:r>
            <m:rPr>
              <m:sty m:val="p"/>
            </m:rPr>
            <m:t>+</m:t>
          </m:r>
          <m:sSub>
            <m:e>
              <m:r>
                <m:t>γ</m:t>
              </m:r>
            </m:e>
            <m:sub>
              <m:r>
                <m:t>1</m:t>
              </m:r>
            </m:sub>
          </m:sSub>
          <m:r>
            <m:t>F</m:t>
          </m:r>
          <m:sSub>
            <m:e>
              <m:r>
                <m:t>C</m:t>
              </m:r>
            </m:e>
            <m:sub>
              <m:r>
                <m:t>i</m:t>
              </m:r>
              <m:r>
                <m:t>j</m:t>
              </m:r>
            </m:sub>
          </m:sSub>
          <m:r>
            <m:rPr>
              <m:sty m:val="p"/>
            </m:rPr>
            <m:t>+</m:t>
          </m:r>
          <m:sSub>
            <m:e>
              <m:r>
                <m:t>γ</m:t>
              </m:r>
            </m:e>
            <m:sub>
              <m:r>
                <m:t>2</m:t>
              </m:r>
            </m:sub>
          </m:sSub>
          <m:sSub>
            <m:e>
              <m:r>
                <m:t>b</m:t>
              </m:r>
            </m:e>
            <m:sub>
              <m:r>
                <m:t>i</m:t>
              </m:r>
            </m:sub>
          </m:sSub>
          <m:r>
            <m:rPr>
              <m:sty m:val="p"/>
            </m:rPr>
            <m:t>+</m:t>
          </m:r>
          <m:sSub>
            <m:e>
              <m:r>
                <m:t>γ</m:t>
              </m:r>
            </m:e>
            <m:sub>
              <m:r>
                <m:t>3</m:t>
              </m:r>
            </m:sub>
          </m:sSub>
          <m:sSub>
            <m:e>
              <m:r>
                <m:t>θ</m:t>
              </m:r>
            </m:e>
            <m:sub>
              <m:r>
                <m:t>j</m:t>
              </m:r>
            </m:sub>
          </m:sSub>
          <m:r>
            <m:rPr>
              <m:sty m:val="p"/>
            </m:rPr>
            <m:t>+</m:t>
          </m:r>
          <m:sSub>
            <m:e>
              <m:r>
                <m:t>γ</m:t>
              </m:r>
            </m:e>
            <m:sub>
              <m:r>
                <m:t>13</m:t>
              </m:r>
            </m:sub>
          </m:sSub>
          <m:r>
            <m:t>F</m:t>
          </m:r>
          <m:sSub>
            <m:e>
              <m:r>
                <m:t>C</m:t>
              </m:r>
            </m:e>
            <m:sub>
              <m:r>
                <m:t>i</m:t>
              </m:r>
              <m:r>
                <m:t>j</m:t>
              </m:r>
            </m:sub>
          </m:sSub>
          <m:sSub>
            <m:e>
              <m:r>
                <m:t>θ</m:t>
              </m:r>
            </m:e>
            <m:sub>
              <m:r>
                <m:t>j</m:t>
              </m:r>
            </m:sub>
          </m:sSub>
          <m:r>
            <m:rPr>
              <m:sty m:val="p"/>
            </m:rPr>
            <m:t>+</m:t>
          </m:r>
          <m:sSub>
            <m:e>
              <m:r>
                <m:t>ϵ</m:t>
              </m:r>
            </m:e>
            <m:sub>
              <m:r>
                <m:t>i</m:t>
              </m:r>
              <m:r>
                <m:t>j</m:t>
              </m:r>
            </m:sub>
          </m:sSub>
          <m:r>
            <m:rPr>
              <m:sty m:val="p"/>
            </m:rPr>
            <m:t>,</m:t>
          </m:r>
          <m:r>
            <m:t>  </m:t>
          </m:r>
          <m:d>
            <m:dPr>
              <m:begChr m:val="("/>
              <m:endChr m:val=")"/>
              <m:sepChr m:val=""/>
              <m:grow/>
            </m:dPr>
            <m:e>
              <m:r>
                <m:t>4</m:t>
              </m:r>
            </m:e>
          </m:d>
        </m:oMath>
      </m:oMathPara>
      <w:bookmarkEnd w:id="26"/>
    </w:p>
    <w:p>
      <w:pPr>
        <w:pStyle w:val="FirstParagraph"/>
      </w:pPr>
      <w:r>
        <w:t xml:space="preserve">where</w:t>
      </w:r>
      <w:r>
        <w:t xml:space="preserve"> </w:t>
      </w:r>
      <m:oMath>
        <m:r>
          <m:rPr>
            <m:sty m:val="p"/>
          </m:rPr>
          <m:t>ln</m:t>
        </m:r>
        <m:d>
          <m:dPr>
            <m:begChr m:val="("/>
            <m:endChr m:val=")"/>
            <m:sepChr m:val=""/>
            <m:grow/>
          </m:dPr>
          <m:e>
            <m:sSub>
              <m:e>
                <m:r>
                  <m:t>t</m:t>
                </m:r>
              </m:e>
              <m:sub>
                <m:r>
                  <m:t>i</m:t>
                </m:r>
                <m:r>
                  <m:t>j</m:t>
                </m:r>
              </m:sub>
            </m:sSub>
          </m:e>
        </m:d>
      </m:oMath>
      <w:r>
        <w:t xml:space="preserve"> </w:t>
      </w:r>
      <w:r>
        <w:t xml:space="preserve">is a logarithmic transformation of the response</w:t>
      </w:r>
      <w:r>
        <w:t xml:space="preserve"> </w:t>
      </w:r>
      <w:r>
        <w:t xml:space="preserve">time for person</w:t>
      </w:r>
      <w:r>
        <w:t xml:space="preserve"> </w:t>
      </w:r>
      <m:oMath>
        <m:r>
          <m:t>j</m:t>
        </m:r>
      </m:oMath>
      <w:r>
        <w:t xml:space="preserve"> </w:t>
      </w:r>
      <w:r>
        <w:t xml:space="preserve">to item</w:t>
      </w:r>
      <w:r>
        <w:t xml:space="preserve"> </w:t>
      </w:r>
      <m:oMath>
        <m:r>
          <m:t>i</m:t>
        </m:r>
      </m:oMath>
      <w:r>
        <w:t xml:space="preserve">;</w:t>
      </w:r>
      <w:r>
        <w:t xml:space="preserve"> </w:t>
      </w:r>
      <m:oMath>
        <m:r>
          <m:t>μ</m:t>
        </m:r>
      </m:oMath>
      <w:r>
        <w:t xml:space="preserve"> </w:t>
      </w:r>
      <w:r>
        <w:t xml:space="preserve">is the fixed intercept,</w:t>
      </w:r>
      <w:r>
        <w:t xml:space="preserve"> </w:t>
      </w:r>
      <w:r>
        <w:t xml:space="preserve">representing the transformed response time of an average-ability</w:t>
      </w:r>
      <w:r>
        <w:t xml:space="preserve"> </w:t>
      </w:r>
      <w:r>
        <w:t xml:space="preserve">respondent to an item of average difficulty;</w:t>
      </w:r>
      <w:r>
        <w:t xml:space="preserve"> </w:t>
      </w:r>
      <m:oMath>
        <m:sSub>
          <m:e>
            <m:r>
              <m:t>ν</m:t>
            </m:r>
          </m:e>
          <m:sub>
            <m:r>
              <m:t>j</m:t>
            </m:r>
          </m:sub>
        </m:sSub>
      </m:oMath>
      <w:r>
        <w:t xml:space="preserve"> </w:t>
      </w:r>
      <w:r>
        <w:t xml:space="preserve">is the random</w:t>
      </w:r>
      <w:r>
        <w:t xml:space="preserve"> </w:t>
      </w:r>
      <w:r>
        <w:t xml:space="preserve">intercept for person</w:t>
      </w:r>
      <w:r>
        <w:t xml:space="preserve"> </w:t>
      </w:r>
      <m:oMath>
        <m:r>
          <m:t>j</m:t>
        </m:r>
      </m:oMath>
      <w:r>
        <w:t xml:space="preserve">, representing the general speediness of</w:t>
      </w:r>
      <w:r>
        <w:t xml:space="preserve"> </w:t>
      </w:r>
      <w:r>
        <w:t xml:space="preserve">respondent</w:t>
      </w:r>
      <w:r>
        <w:t xml:space="preserve"> </w:t>
      </w:r>
      <m:oMath>
        <m:r>
          <m:t>j</m:t>
        </m:r>
      </m:oMath>
      <w:r>
        <w:t xml:space="preserve"> </w:t>
      </w:r>
      <w:r>
        <w:t xml:space="preserve">(the average transformed response time of respondent</w:t>
      </w:r>
      <w:r>
        <w:t xml:space="preserve"> </w:t>
      </w:r>
      <m:oMath>
        <m:r>
          <m:t>j</m:t>
        </m:r>
      </m:oMath>
      <w:r>
        <w:t xml:space="preserve"> </w:t>
      </w:r>
      <w:r>
        <w:t xml:space="preserve">across all items);</w:t>
      </w:r>
      <w:r>
        <w:t xml:space="preserve"> </w:t>
      </w:r>
      <m:oMath>
        <m:sSub>
          <m:e>
            <m:r>
              <m:t>β</m:t>
            </m:r>
          </m:e>
          <m:sub>
            <m:r>
              <m:t>i</m:t>
            </m:r>
          </m:sub>
        </m:sSub>
      </m:oMath>
      <w:r>
        <w:t xml:space="preserve"> </w:t>
      </w:r>
      <w:r>
        <w:t xml:space="preserve">is the random intercept for item</w:t>
      </w:r>
      <w:r>
        <w:t xml:space="preserve"> </w:t>
      </w:r>
      <m:oMath>
        <m:r>
          <m:t>i</m:t>
        </m:r>
      </m:oMath>
      <w:r>
        <w:t xml:space="preserve">,</w:t>
      </w:r>
      <w:r>
        <w:t xml:space="preserve"> </w:t>
      </w:r>
      <w:r>
        <w:t xml:space="preserve">representing the expected transformed response time required by a</w:t>
      </w:r>
      <w:r>
        <w:t xml:space="preserve"> </w:t>
      </w:r>
      <w:r>
        <w:t xml:space="preserve">respondent of average ability to item</w:t>
      </w:r>
      <w:r>
        <w:t xml:space="preserve"> </w:t>
      </w:r>
      <m:oMath>
        <m:r>
          <m:t>i</m:t>
        </m:r>
      </m:oMath>
      <w:r>
        <w:t xml:space="preserve">;</w:t>
      </w:r>
      <w:r>
        <w:t xml:space="preserve"> </w:t>
      </w:r>
      <m:oMath>
        <m:sSub>
          <m:e>
            <m:r>
              <m:t>γ</m:t>
            </m:r>
          </m:e>
          <m:sub>
            <m:r>
              <m:t>1</m:t>
            </m:r>
          </m:sub>
        </m:sSub>
      </m:oMath>
      <w:r>
        <w:t xml:space="preserve">,</w:t>
      </w:r>
      <w:r>
        <w:t xml:space="preserve"> </w:t>
      </w:r>
      <m:oMath>
        <m:sSub>
          <m:e>
            <m:r>
              <m:t>γ</m:t>
            </m:r>
          </m:e>
          <m:sub>
            <m:r>
              <m:t>2</m:t>
            </m:r>
          </m:sub>
        </m:sSub>
      </m:oMath>
      <w:r>
        <w:t xml:space="preserve">,</w:t>
      </w:r>
      <w:r>
        <w:t xml:space="preserve"> </w:t>
      </w:r>
      <m:oMath>
        <m:sSub>
          <m:e>
            <m:r>
              <m:t>γ</m:t>
            </m:r>
          </m:e>
          <m:sub>
            <m:r>
              <m:t>3</m:t>
            </m:r>
          </m:sub>
        </m:sSub>
      </m:oMath>
      <w:r>
        <w:t xml:space="preserve">, and</w:t>
      </w:r>
      <w:r>
        <w:t xml:space="preserve"> </w:t>
      </w:r>
      <m:oMath>
        <m:sSub>
          <m:e>
            <m:r>
              <m:t>γ</m:t>
            </m:r>
          </m:e>
          <m:sub>
            <m:r>
              <m:t>13</m:t>
            </m:r>
          </m:sub>
        </m:sSub>
      </m:oMath>
      <w:r>
        <w:t xml:space="preserve"> </w:t>
      </w:r>
      <w:r>
        <w:t xml:space="preserve">are fixed effects of the corresponding</w:t>
      </w:r>
      <w:r>
        <w:t xml:space="preserve"> </w:t>
      </w:r>
      <w:r>
        <w:t xml:space="preserve">predictors; and</w:t>
      </w:r>
      <w:r>
        <w:t xml:space="preserve"> </w:t>
      </w:r>
      <m:oMath>
        <m:sSub>
          <m:e>
            <m:r>
              <m:t>ϵ</m:t>
            </m:r>
          </m:e>
          <m:sub>
            <m:r>
              <m:t>i</m:t>
            </m:r>
            <m:r>
              <m:t>j</m:t>
            </m:r>
          </m:sub>
        </m:sSub>
      </m:oMath>
      <w:r>
        <w:t xml:space="preserve"> </w:t>
      </w:r>
      <w:r>
        <w:t xml:space="preserve">is the normally distributed residual.</w:t>
      </w:r>
    </w:p>
    <w:p>
      <w:pPr>
        <w:pStyle w:val="BodyText"/>
      </w:pPr>
      <w:r>
        <w:t xml:space="preserve">The second series of models Tancoš et al. (2023) proposed assessed the</w:t>
      </w:r>
      <w:r>
        <w:t xml:space="preserve"> </w:t>
      </w:r>
      <w:r>
        <w:t xml:space="preserve">distance-difficulty hypothesis, and investigates the incremental</w:t>
      </w:r>
      <w:r>
        <w:t xml:space="preserve"> </w:t>
      </w:r>
      <w:r>
        <w:t xml:space="preserve">validity of the distance-difficulty hypothesis over the F &gt; C</w:t>
      </w:r>
      <w:r>
        <w:t xml:space="preserve"> </w:t>
      </w:r>
      <w:r>
        <w:t xml:space="preserve">phenomenon. This model is given by (Tancoš et al., 2023, p. 8):</w:t>
      </w:r>
    </w:p>
    <w:p>
      <w:pPr>
        <w:pStyle w:val="BodyText"/>
      </w:pPr>
      <w:bookmarkStart w:id="27" w:name="eq-Tancos2"/>
      <m:oMathPara>
        <m:oMathParaPr>
          <m:jc m:val="center"/>
        </m:oMathParaPr>
        <m:oMath>
          <m:r>
            <m:rPr>
              <m:sty m:val="p"/>
            </m:rPr>
            <m:t>ln</m:t>
          </m:r>
          <m:d>
            <m:dPr>
              <m:begChr m:val="("/>
              <m:endChr m:val=")"/>
              <m:sepChr m:val=""/>
              <m:grow/>
            </m:dPr>
            <m:e>
              <m:sSub>
                <m:e>
                  <m:r>
                    <m:t>t</m:t>
                  </m:r>
                </m:e>
                <m:sub>
                  <m:r>
                    <m:t>i</m:t>
                  </m:r>
                  <m:r>
                    <m:t>j</m:t>
                  </m:r>
                </m:sub>
              </m:sSub>
            </m:e>
          </m:d>
          <m:r>
            <m:rPr>
              <m:sty m:val="p"/>
            </m:rPr>
            <m:t>=</m:t>
          </m:r>
          <m:r>
            <m:t>μ</m:t>
          </m:r>
          <m:r>
            <m:rPr>
              <m:sty m:val="p"/>
            </m:rPr>
            <m:t>+</m:t>
          </m:r>
          <m:sSub>
            <m:e>
              <m:r>
                <m:t>ν</m:t>
              </m:r>
            </m:e>
            <m:sub>
              <m:r>
                <m:t>j</m:t>
              </m:r>
            </m:sub>
          </m:sSub>
          <m:r>
            <m:rPr>
              <m:sty m:val="p"/>
            </m:rPr>
            <m:t>+</m:t>
          </m:r>
          <m:sSub>
            <m:e>
              <m:r>
                <m:t>β</m:t>
              </m:r>
            </m:e>
            <m:sub>
              <m:r>
                <m:t>i</m:t>
              </m:r>
            </m:sub>
          </m:sSub>
          <m:r>
            <m:rPr>
              <m:sty m:val="p"/>
            </m:rPr>
            <m:t>+</m:t>
          </m:r>
          <m:sSub>
            <m:e>
              <m:r>
                <m:t>γ</m:t>
              </m:r>
            </m:e>
            <m:sub>
              <m:r>
                <m:t>4</m:t>
              </m:r>
            </m:sub>
          </m:sSub>
          <m:sSub>
            <m:e>
              <m:r>
                <m:t>δ</m:t>
              </m:r>
            </m:e>
            <m:sub>
              <m:r>
                <m:t>i</m:t>
              </m:r>
              <m:r>
                <m:t>j</m:t>
              </m:r>
            </m:sub>
          </m:sSub>
          <m:r>
            <m:rPr>
              <m:sty m:val="p"/>
            </m:rPr>
            <m:t>+</m:t>
          </m:r>
          <m:sSub>
            <m:e>
              <m:r>
                <m:t>γ</m:t>
              </m:r>
            </m:e>
            <m:sub>
              <m:r>
                <m:t>1</m:t>
              </m:r>
            </m:sub>
          </m:sSub>
          <m:r>
            <m:t>F</m:t>
          </m:r>
          <m:sSub>
            <m:e>
              <m:r>
                <m:t>C</m:t>
              </m:r>
            </m:e>
            <m:sub>
              <m:r>
                <m:t>i</m:t>
              </m:r>
              <m:r>
                <m:t>j</m:t>
              </m:r>
            </m:sub>
          </m:sSub>
          <m:r>
            <m:rPr>
              <m:sty m:val="p"/>
            </m:rPr>
            <m:t>+</m:t>
          </m:r>
          <m:sSub>
            <m:e>
              <m:r>
                <m:t>γ</m:t>
              </m:r>
            </m:e>
            <m:sub>
              <m:r>
                <m:t>14</m:t>
              </m:r>
            </m:sub>
          </m:sSub>
          <m:r>
            <m:t>F</m:t>
          </m:r>
          <m:sSub>
            <m:e>
              <m:r>
                <m:t>C</m:t>
              </m:r>
            </m:e>
            <m:sub>
              <m:r>
                <m:t>i</m:t>
              </m:r>
              <m:r>
                <m:t>j</m:t>
              </m:r>
            </m:sub>
          </m:sSub>
          <m:sSub>
            <m:e>
              <m:r>
                <m:t>δ</m:t>
              </m:r>
            </m:e>
            <m:sub>
              <m:r>
                <m:t>i</m:t>
              </m:r>
              <m:r>
                <m:t>j</m:t>
              </m:r>
            </m:sub>
          </m:sSub>
          <m:r>
            <m:rPr>
              <m:sty m:val="p"/>
            </m:rPr>
            <m:t>+</m:t>
          </m:r>
          <m:sSub>
            <m:e>
              <m:r>
                <m:t>ϵ</m:t>
              </m:r>
            </m:e>
            <m:sub>
              <m:r>
                <m:t>i</m:t>
              </m:r>
              <m:r>
                <m:t>j</m:t>
              </m:r>
            </m:sub>
          </m:sSub>
          <m:r>
            <m:rPr>
              <m:sty m:val="p"/>
            </m:rPr>
            <m:t>,</m:t>
          </m:r>
          <m:r>
            <m:t>  </m:t>
          </m:r>
          <m:d>
            <m:dPr>
              <m:begChr m:val="("/>
              <m:endChr m:val=")"/>
              <m:sepChr m:val=""/>
              <m:grow/>
            </m:dPr>
            <m:e>
              <m:r>
                <m:t>5</m:t>
              </m:r>
            </m:e>
          </m:d>
        </m:oMath>
      </m:oMathPara>
      <w:bookmarkEnd w:id="27"/>
    </w:p>
    <w:p>
      <w:pPr>
        <w:pStyle w:val="FirstParagraph"/>
      </w:pPr>
      <w:r>
        <w:t xml:space="preserve">where</w:t>
      </w:r>
      <w:r>
        <w:t xml:space="preserve"> </w:t>
      </w:r>
      <m:oMath>
        <m:r>
          <m:rPr>
            <m:sty m:val="p"/>
          </m:rPr>
          <m:t>ln</m:t>
        </m:r>
        <m:d>
          <m:dPr>
            <m:begChr m:val="("/>
            <m:endChr m:val=")"/>
            <m:sepChr m:val=""/>
            <m:grow/>
          </m:dPr>
          <m:e>
            <m:sSub>
              <m:e>
                <m:r>
                  <m:t>t</m:t>
                </m:r>
              </m:e>
              <m:sub>
                <m:r>
                  <m:t>i</m:t>
                </m:r>
                <m:r>
                  <m:t>j</m:t>
                </m:r>
              </m:sub>
            </m:sSub>
          </m:e>
        </m:d>
      </m:oMath>
      <w:r>
        <w:t xml:space="preserve">,</w:t>
      </w:r>
      <w:r>
        <w:t xml:space="preserve"> </w:t>
      </w:r>
      <m:oMath>
        <m:r>
          <m:t>μ</m:t>
        </m:r>
      </m:oMath>
      <w:r>
        <w:t xml:space="preserve">,</w:t>
      </w:r>
      <w:r>
        <w:t xml:space="preserve"> </w:t>
      </w:r>
      <m:oMath>
        <m:sSub>
          <m:e>
            <m:r>
              <m:t>ν</m:t>
            </m:r>
          </m:e>
          <m:sub>
            <m:r>
              <m:t>j</m:t>
            </m:r>
          </m:sub>
        </m:sSub>
      </m:oMath>
      <w:r>
        <w:t xml:space="preserve">,</w:t>
      </w:r>
      <w:r>
        <w:t xml:space="preserve"> </w:t>
      </w:r>
      <m:oMath>
        <m:sSub>
          <m:e>
            <m:r>
              <m:t>β</m:t>
            </m:r>
          </m:e>
          <m:sub>
            <m:r>
              <m:t>i</m:t>
            </m:r>
          </m:sub>
        </m:sSub>
      </m:oMath>
      <w:r>
        <w:t xml:space="preserve">, and</w:t>
      </w:r>
      <w:r>
        <w:t xml:space="preserve"> </w:t>
      </w:r>
      <m:oMath>
        <m:r>
          <m:t>F</m:t>
        </m:r>
        <m:sSub>
          <m:e>
            <m:r>
              <m:t>C</m:t>
            </m:r>
          </m:e>
          <m:sub>
            <m:r>
              <m:t>i</m:t>
            </m:r>
            <m:r>
              <m:t>j</m:t>
            </m:r>
          </m:sub>
        </m:sSub>
      </m:oMath>
      <w:r>
        <w:t xml:space="preserve"> </w:t>
      </w:r>
      <w:r>
        <w:t xml:space="preserve">are as</w:t>
      </w:r>
      <w:r>
        <w:t xml:space="preserve"> </w:t>
      </w:r>
      <w:r>
        <w:t xml:space="preserve">defined above;</w:t>
      </w:r>
      <w:r>
        <w:t xml:space="preserve"> </w:t>
      </w:r>
      <m:oMath>
        <m:sSub>
          <m:e>
            <m:r>
              <m:t>δ</m:t>
            </m:r>
          </m:e>
          <m:sub>
            <m:r>
              <m:t>i</m:t>
            </m:r>
            <m:r>
              <m:t>j</m:t>
            </m:r>
          </m:sub>
        </m:sSub>
        <m:r>
          <m:rPr>
            <m:sty m:val="p"/>
          </m:rPr>
          <m:t>=</m:t>
        </m:r>
        <m:d>
          <m:dPr>
            <m:begChr m:val="|"/>
            <m:endChr m:val="|"/>
            <m:sepChr m:val=""/>
            <m:grow/>
          </m:dPr>
          <m:e>
            <m:sSub>
              <m:e>
                <m:r>
                  <m:t>θ</m:t>
                </m:r>
              </m:e>
              <m:sub>
                <m:r>
                  <m:t>j</m:t>
                </m:r>
              </m:sub>
            </m:sSub>
            <m:r>
              <m:rPr>
                <m:sty m:val="p"/>
              </m:rPr>
              <m:t>−</m:t>
            </m:r>
            <m:sSub>
              <m:e>
                <m:r>
                  <m:t>b</m:t>
                </m:r>
              </m:e>
              <m:sub>
                <m:r>
                  <m:t>i</m:t>
                </m:r>
              </m:sub>
            </m:sSub>
          </m:e>
        </m:d>
      </m:oMath>
      <w:r>
        <w:t xml:space="preserve"> </w:t>
      </w:r>
      <w:r>
        <w:t xml:space="preserve">is the absolute distance</w:t>
      </w:r>
      <w:r>
        <w:t xml:space="preserve"> </w:t>
      </w:r>
      <w:r>
        <w:t xml:space="preserve">between respondent</w:t>
      </w:r>
      <w:r>
        <w:t xml:space="preserve"> </w:t>
      </w:r>
      <m:oMath>
        <m:r>
          <m:t>j</m:t>
        </m:r>
      </m:oMath>
      <w:r>
        <w:t xml:space="preserve">’s ability level and item</w:t>
      </w:r>
      <w:r>
        <w:t xml:space="preserve"> </w:t>
      </w:r>
      <m:oMath>
        <m:r>
          <m:t>i</m:t>
        </m:r>
      </m:oMath>
      <w:r>
        <w:t xml:space="preserve">’s difficulty;</w:t>
      </w:r>
      <w:r>
        <w:t xml:space="preserve"> </w:t>
      </w:r>
      <m:oMath>
        <m:sSub>
          <m:e>
            <m:r>
              <m:t>γ</m:t>
            </m:r>
          </m:e>
          <m:sub>
            <m:r>
              <m:t>1</m:t>
            </m:r>
          </m:sub>
        </m:sSub>
      </m:oMath>
      <w:r>
        <w:t xml:space="preserve">,</w:t>
      </w:r>
      <w:r>
        <w:t xml:space="preserve"> </w:t>
      </w:r>
      <m:oMath>
        <m:sSub>
          <m:e>
            <m:r>
              <m:t>γ</m:t>
            </m:r>
          </m:e>
          <m:sub>
            <m:r>
              <m:t>2</m:t>
            </m:r>
          </m:sub>
        </m:sSub>
      </m:oMath>
      <w:r>
        <w:t xml:space="preserve">,</w:t>
      </w:r>
      <w:r>
        <w:t xml:space="preserve"> </w:t>
      </w:r>
      <m:oMath>
        <m:sSub>
          <m:e>
            <m:r>
              <m:t>γ</m:t>
            </m:r>
          </m:e>
          <m:sub>
            <m:r>
              <m:t>3</m:t>
            </m:r>
          </m:sub>
        </m:sSub>
      </m:oMath>
      <w:r>
        <w:t xml:space="preserve">, and</w:t>
      </w:r>
      <w:r>
        <w:t xml:space="preserve"> </w:t>
      </w:r>
      <m:oMath>
        <m:sSub>
          <m:e>
            <m:r>
              <m:t>γ</m:t>
            </m:r>
          </m:e>
          <m:sub>
            <m:r>
              <m:t>13</m:t>
            </m:r>
          </m:sub>
        </m:sSub>
      </m:oMath>
      <w:r>
        <w:t xml:space="preserve"> </w:t>
      </w:r>
      <w:r>
        <w:t xml:space="preserve">are the fixed</w:t>
      </w:r>
      <w:r>
        <w:t xml:space="preserve"> </w:t>
      </w:r>
      <w:r>
        <w:t xml:space="preserve">effects of the corresponding predictors; and</w:t>
      </w:r>
      <w:r>
        <w:t xml:space="preserve"> </w:t>
      </w:r>
      <m:oMath>
        <m:sSub>
          <m:e>
            <m:r>
              <m:t>ϵ</m:t>
            </m:r>
          </m:e>
          <m:sub>
            <m:r>
              <m:t>i</m:t>
            </m:r>
            <m:r>
              <m:t>j</m:t>
            </m:r>
          </m:sub>
        </m:sSub>
      </m:oMath>
      <w:r>
        <w:t xml:space="preserve"> </w:t>
      </w:r>
      <w:r>
        <w:t xml:space="preserve">is the</w:t>
      </w:r>
      <w:r>
        <w:t xml:space="preserve"> </w:t>
      </w:r>
      <w:r>
        <w:t xml:space="preserve">normally distributed residual.</w:t>
      </w:r>
    </w:p>
    <w:p>
      <w:pPr>
        <w:pStyle w:val="BodyText"/>
      </w:pPr>
      <w:r>
        <w:t xml:space="preserve">In their study, Tancoš et al. (2023) found that the F &gt; C phenomenon</w:t>
      </w:r>
      <w:r>
        <w:t xml:space="preserve"> </w:t>
      </w:r>
      <w:r>
        <w:t xml:space="preserve">remained significant after controlling for item difficulty and person</w:t>
      </w:r>
      <w:r>
        <w:t xml:space="preserve"> </w:t>
      </w:r>
      <w:r>
        <w:t xml:space="preserve">ability, with a significant interaction between ability level and item</w:t>
      </w:r>
      <w:r>
        <w:t xml:space="preserve"> </w:t>
      </w:r>
      <w:r>
        <w:t xml:space="preserve">correctness. Moreover, they found ability level to be a significant</w:t>
      </w:r>
      <w:r>
        <w:t xml:space="preserve"> </w:t>
      </w:r>
      <w:r>
        <w:t xml:space="preserve">predictor of transformed response time (though, only in items with</w:t>
      </w:r>
      <w:r>
        <w:t xml:space="preserve"> </w:t>
      </w:r>
      <w:r>
        <w:t xml:space="preserve">moderate or high difficulty), while item difficulty was not. In sum,</w:t>
      </w:r>
      <w:r>
        <w:t xml:space="preserve"> </w:t>
      </w:r>
      <w:r>
        <w:t xml:space="preserve">their results indicate that on items with moderate-to-high difficulty,</w:t>
      </w:r>
      <w:r>
        <w:t xml:space="preserve"> </w:t>
      </w:r>
      <w:r>
        <w:t xml:space="preserve">children with higher ability levels took longer to report incorrect</w:t>
      </w:r>
      <w:r>
        <w:t xml:space="preserve"> </w:t>
      </w:r>
      <w:r>
        <w:t xml:space="preserve">answers than children with lower ability levels. However, Tancoš et al.</w:t>
      </w:r>
      <w:r>
        <w:t xml:space="preserve"> </w:t>
      </w:r>
      <w:r>
        <w:t xml:space="preserve">(2023) failed to find a relationship between response time and ability</w:t>
      </w:r>
      <w:r>
        <w:t xml:space="preserve"> </w:t>
      </w:r>
      <w:r>
        <w:t xml:space="preserve">level in correctly answered items, challenging the</w:t>
      </w:r>
      <w:r>
        <w:t xml:space="preserve"> </w:t>
      </w:r>
      <w:r>
        <w:t xml:space="preserve">“faster equals</w:t>
      </w:r>
      <w:r>
        <w:t xml:space="preserve"> </w:t>
      </w:r>
      <w:r>
        <w:t xml:space="preserve">smarter”</w:t>
      </w:r>
      <w:r>
        <w:t xml:space="preserve"> </w:t>
      </w:r>
      <w:r>
        <w:t xml:space="preserve">stereotype.</w:t>
      </w:r>
    </w:p>
    <w:p>
      <w:pPr>
        <w:pStyle w:val="BodyText"/>
      </w:pPr>
      <w:r>
        <w:t xml:space="preserve">Furthermore, Tancoš et al. (2023) found incremental validity of the</w:t>
      </w:r>
      <w:r>
        <w:t xml:space="preserve"> </w:t>
      </w:r>
      <w:r>
        <w:t xml:space="preserve">distance-difficulty hypothesis above and beyond the F &gt; C phenomenon,</w:t>
      </w:r>
      <w:r>
        <w:t xml:space="preserve"> </w:t>
      </w:r>
      <w:r>
        <w:t xml:space="preserve">providing evidence to support that answer correctness moderates the</w:t>
      </w:r>
      <w:r>
        <w:t xml:space="preserve"> </w:t>
      </w:r>
      <w:r>
        <w:t xml:space="preserve">effect of ability-difficulty distance, (</w:t>
      </w:r>
      <m:oMath>
        <m:sSub>
          <m:e>
            <m:r>
              <m:t>δ</m:t>
            </m:r>
          </m:e>
          <m:sub>
            <m:r>
              <m:t>i</m:t>
            </m:r>
            <m:r>
              <m:t>j</m:t>
            </m:r>
          </m:sub>
        </m:sSub>
      </m:oMath>
      <w:r>
        <w:t xml:space="preserve">), on response</w:t>
      </w:r>
      <w:r>
        <w:t xml:space="preserve"> </w:t>
      </w:r>
      <w:r>
        <w:t xml:space="preserve">time. Taken together, these results suggest that items near a</w:t>
      </w:r>
      <w:r>
        <w:t xml:space="preserve"> </w:t>
      </w:r>
      <w:r>
        <w:t xml:space="preserve">respondent’s ability level take the longest amount of time to answer,</w:t>
      </w:r>
      <w:r>
        <w:t xml:space="preserve"> </w:t>
      </w:r>
      <w:r>
        <w:t xml:space="preserve">with even more time required to answer items incorrectly. Moreover, as</w:t>
      </w:r>
      <w:r>
        <w:t xml:space="preserve"> </w:t>
      </w:r>
      <m:oMath>
        <m:sSub>
          <m:e>
            <m:r>
              <m:t>δ</m:t>
            </m:r>
          </m:e>
          <m:sub>
            <m:r>
              <m:t>i</m:t>
            </m:r>
            <m:r>
              <m:t>j</m:t>
            </m:r>
          </m:sub>
        </m:sSub>
      </m:oMath>
      <w:r>
        <w:t xml:space="preserve"> </w:t>
      </w:r>
      <w:r>
        <w:t xml:space="preserve">increased the difference in response time narrowed,</w:t>
      </w:r>
      <w:r>
        <w:t xml:space="preserve"> </w:t>
      </w:r>
      <w:r>
        <w:t xml:space="preserve">eventually changing direction. That is, when an item was very easy or</w:t>
      </w:r>
      <w:r>
        <w:t xml:space="preserve"> </w:t>
      </w:r>
      <w:r>
        <w:t xml:space="preserve">very difficult relative to the respondent’s ability level, respondents</w:t>
      </w:r>
      <w:r>
        <w:t xml:space="preserve"> </w:t>
      </w:r>
      <w:r>
        <w:t xml:space="preserve">tended to take longer to report correct answers than false ones.</w:t>
      </w:r>
    </w:p>
    <w:bookmarkEnd w:id="28"/>
    <w:bookmarkStart w:id="29" w:name="the-proposed-models"/>
    <w:p>
      <w:pPr>
        <w:pStyle w:val="Heading3"/>
      </w:pPr>
      <w:r>
        <w:t xml:space="preserve">2.4 The Proposed Models</w:t>
      </w:r>
    </w:p>
    <w:p>
      <w:pPr>
        <w:pStyle w:val="FirstParagraph"/>
      </w:pPr>
      <w:r>
        <w:t xml:space="preserve">In this study, we will extend the Tancoš et al. (2023) methodology to</w:t>
      </w:r>
      <w:r>
        <w:t xml:space="preserve"> </w:t>
      </w:r>
      <w:r>
        <w:t xml:space="preserve">mathematics achievement data from the 2019 TIMSS (Trends in</w:t>
      </w:r>
      <w:r>
        <w:t xml:space="preserve"> </w:t>
      </w:r>
      <w:r>
        <w:t xml:space="preserve">International Mathematics and Science Study) for fourth- and</w:t>
      </w:r>
      <w:r>
        <w:t xml:space="preserve"> </w:t>
      </w:r>
      <w:r>
        <w:t xml:space="preserve">eighth-grade students. Using these data, we will compare results from</w:t>
      </w:r>
      <w:r>
        <w:t xml:space="preserve"> </w:t>
      </w:r>
      <w:r>
        <w:t xml:space="preserve">two series of multilevel linear models to assess the F &gt; C phenomenon,</w:t>
      </w:r>
      <w:r>
        <w:t xml:space="preserve"> </w:t>
      </w:r>
      <w:r>
        <w:t xml:space="preserve">the distance-difficulty hypothesis, and any interaction between the two.</w:t>
      </w:r>
    </w:p>
    <w:p>
      <w:pPr>
        <w:pStyle w:val="BodyText"/>
      </w:pPr>
      <w:r>
        <w:t xml:space="preserve">The first series of models will assess the F &gt; C phenomenon,</w:t>
      </w:r>
      <w:r>
        <w:t xml:space="preserve"> </w:t>
      </w:r>
      <w:r>
        <w:t xml:space="preserve">controlling for ability level and item difficulty. With these models, we</w:t>
      </w:r>
      <w:r>
        <w:t xml:space="preserve"> </w:t>
      </w:r>
      <w:r>
        <w:t xml:space="preserve">will determine whether the relationship between ability level and</w:t>
      </w:r>
      <w:r>
        <w:t xml:space="preserve"> </w:t>
      </w:r>
      <w:r>
        <w:t xml:space="preserve">response time is moderated by answer correctness. Then, we will assess</w:t>
      </w:r>
      <w:r>
        <w:t xml:space="preserve"> </w:t>
      </w:r>
      <w:r>
        <w:t xml:space="preserve">the distance-difficulty hypothesis using the second series of models,</w:t>
      </w:r>
      <w:r>
        <w:t xml:space="preserve"> </w:t>
      </w:r>
      <w:r>
        <w:t xml:space="preserve">controlling for the discrimination-adjusted ability-difficulty distance.</w:t>
      </w:r>
      <w:r>
        <w:t xml:space="preserve"> </w:t>
      </w:r>
      <w:r>
        <w:t xml:space="preserve">If we find the F &gt; C phenomenon and distance-difficulty hypothesis both</w:t>
      </w:r>
      <w:r>
        <w:t xml:space="preserve"> </w:t>
      </w:r>
      <w:r>
        <w:t xml:space="preserve">hold, we will investigate whether there is a significant interaction</w:t>
      </w:r>
      <w:r>
        <w:t xml:space="preserve"> </w:t>
      </w:r>
      <w:r>
        <w:t xml:space="preserve">between the (discrimination-adjusted) ability-difficulty distance, which</w:t>
      </w:r>
      <w:r>
        <w:t xml:space="preserve"> </w:t>
      </w:r>
      <w:r>
        <w:t xml:space="preserve">we call</w:t>
      </w:r>
      <w:r>
        <w:t xml:space="preserve"> </w:t>
      </w:r>
      <w:r>
        <w:t xml:space="preserve">“the Tancoš model.”</w:t>
      </w:r>
      <w:r>
        <w:t xml:space="preserve"> </w:t>
      </w:r>
      <w:r>
        <w:t xml:space="preserve">A significant interaction would suggest a</w:t>
      </w:r>
      <w:r>
        <w:t xml:space="preserve"> </w:t>
      </w:r>
      <w:r>
        <w:t xml:space="preserve">difference in the relationship between the time needed to answer an item</w:t>
      </w:r>
      <w:r>
        <w:t xml:space="preserve"> </w:t>
      </w:r>
      <w:r>
        <w:t xml:space="preserve">and the ability-difficulty distance, according to whether the respondent</w:t>
      </w:r>
      <w:r>
        <w:t xml:space="preserve"> </w:t>
      </w:r>
      <w:r>
        <w:t xml:space="preserve">answered the item correctly. See Appendix 1 for the list of models used.</w:t>
      </w:r>
    </w:p>
    <w:bookmarkEnd w:id="29"/>
    <w:bookmarkEnd w:id="30"/>
    <w:bookmarkStart w:id="37" w:name="sec-method"/>
    <w:p>
      <w:pPr>
        <w:pStyle w:val="Heading2"/>
      </w:pPr>
      <w:r>
        <w:t xml:space="preserve">3 Method</w:t>
      </w:r>
    </w:p>
    <w:bookmarkStart w:id="31" w:name="participants-and-measures"/>
    <w:p>
      <w:pPr>
        <w:pStyle w:val="Heading3"/>
      </w:pPr>
      <w:r>
        <w:t xml:space="preserve">3.1 Participants and Measures</w:t>
      </w:r>
    </w:p>
    <w:p>
      <w:pPr>
        <w:pStyle w:val="FirstParagraph"/>
      </w:pPr>
      <w:r>
        <w:t xml:space="preserve">We examined data from the 2019 TIMSS mathematics achievement assessment.</w:t>
      </w:r>
      <w:r>
        <w:t xml:space="preserve"> </w:t>
      </w:r>
      <w:r>
        <w:t xml:space="preserve">The TIMSS is a set of international assessments of fourth- and</w:t>
      </w:r>
      <w:r>
        <w:t xml:space="preserve"> </w:t>
      </w:r>
      <w:r>
        <w:t xml:space="preserve">eighth-grade students’ mathematics and science achievement and</w:t>
      </w:r>
      <w:r>
        <w:t xml:space="preserve"> </w:t>
      </w:r>
      <w:r>
        <w:t xml:space="preserve">attitudes, along with survey responses from teachers and principals to</w:t>
      </w:r>
      <w:r>
        <w:t xml:space="preserve"> </w:t>
      </w:r>
      <w:r>
        <w:t xml:space="preserve">gather information related to the background contexts for learning. The</w:t>
      </w:r>
      <w:r>
        <w:t xml:space="preserve"> </w:t>
      </w:r>
      <w:r>
        <w:t xml:space="preserve">TIMSS is conducted every four years, with 64 countries participating in</w:t>
      </w:r>
      <w:r>
        <w:t xml:space="preserve"> </w:t>
      </w:r>
      <w:r>
        <w:t xml:space="preserve">the 2019 assessment cycle (Mullis et al., 2020). In the United States,</w:t>
      </w:r>
      <w:r>
        <w:t xml:space="preserve"> </w:t>
      </w:r>
      <w:r>
        <w:t xml:space="preserve">data were collected from 9,944 eighth-grade students in 273 schools.</w:t>
      </w:r>
      <w:r>
        <w:t xml:space="preserve"> </w:t>
      </w:r>
      <w:r>
        <w:t xml:space="preserve">Beginning in 2019, the United States opted into the eTIMSS, a new</w:t>
      </w:r>
      <w:r>
        <w:t xml:space="preserve"> </w:t>
      </w:r>
      <w:r>
        <w:t xml:space="preserve">computer-based version of the assessment, allowing response time data to</w:t>
      </w:r>
      <w:r>
        <w:t xml:space="preserve"> </w:t>
      </w:r>
      <w:r>
        <w:t xml:space="preserve">be collected alongside participating student responses. Students</w:t>
      </w:r>
      <w:r>
        <w:t xml:space="preserve"> </w:t>
      </w:r>
      <w:r>
        <w:t xml:space="preserve">answered items from one of fourteen booklets, composed of item block</w:t>
      </w:r>
      <w:r>
        <w:t xml:space="preserve"> </w:t>
      </w:r>
      <w:r>
        <w:t xml:space="preserve">combinations. Response times were computed as time in seconds spent on a</w:t>
      </w:r>
      <w:r>
        <w:t xml:space="preserve"> </w:t>
      </w:r>
      <w:r>
        <w:t xml:space="preserve">page with a single item, or a set of connected items (such as multi-part</w:t>
      </w:r>
      <w:r>
        <w:t xml:space="preserve"> </w:t>
      </w:r>
      <w:r>
        <w:t xml:space="preserve">questions); to maximize the validity of our response time records, we</w:t>
      </w:r>
      <w:r>
        <w:t xml:space="preserve"> </w:t>
      </w:r>
      <w:r>
        <w:t xml:space="preserve">dropped items that were presented as a set on a page and kept only those</w:t>
      </w:r>
      <w:r>
        <w:t xml:space="preserve"> </w:t>
      </w:r>
      <w:r>
        <w:t xml:space="preserve">items that were presented in isolation on a page. We call these</w:t>
      </w:r>
      <w:r>
        <w:t xml:space="preserve"> </w:t>
      </w:r>
      <w:r>
        <w:t xml:space="preserve">“isolated items.”</w:t>
      </w:r>
      <w:r>
        <w:t xml:space="preserve"> </w:t>
      </w:r>
      <w:r>
        <w:t xml:space="preserve">After dropping items presented together on a page, we</w:t>
      </w:r>
      <w:r>
        <w:t xml:space="preserve"> </w:t>
      </w:r>
      <w:r>
        <w:t xml:space="preserve">analyzed responses from each booklet to determine which booklet(s) had</w:t>
      </w:r>
      <w:r>
        <w:t xml:space="preserve"> </w:t>
      </w:r>
      <w:r>
        <w:t xml:space="preserve">the most isolated items and the most responses per booklet. A list of</w:t>
      </w:r>
      <w:r>
        <w:t xml:space="preserve"> </w:t>
      </w:r>
      <w:r>
        <w:t xml:space="preserve">each booklet’s number of isolated items and number of respondents for</w:t>
      </w:r>
      <w:r>
        <w:t xml:space="preserve"> </w:t>
      </w:r>
      <w:r>
        <w:t xml:space="preserve">eighth grade students are shown in Appendix 2. Of the 14 booklets, we</w:t>
      </w:r>
      <w:r>
        <w:t xml:space="preserve"> </w:t>
      </w:r>
      <w:r>
        <w:t xml:space="preserve">chose Booklet 14. Our final sample contained 552 complete responses to</w:t>
      </w:r>
      <w:r>
        <w:t xml:space="preserve"> </w:t>
      </w:r>
      <w:r>
        <w:t xml:space="preserve">13 isolated items.</w:t>
      </w:r>
    </w:p>
    <w:bookmarkEnd w:id="31"/>
    <w:bookmarkStart w:id="32" w:name="irt-analysis"/>
    <w:p>
      <w:pPr>
        <w:pStyle w:val="Heading3"/>
      </w:pPr>
      <w:r>
        <w:t xml:space="preserve">3.2 IRT Analysis</w:t>
      </w:r>
    </w:p>
    <w:p>
      <w:pPr>
        <w:pStyle w:val="FirstParagraph"/>
      </w:pPr>
      <w:r>
        <w:t xml:space="preserve">All analyses were conducted using R Statistical Software (v4.4.1; R Core</w:t>
      </w:r>
      <w:r>
        <w:t xml:space="preserve"> </w:t>
      </w:r>
      <w:r>
        <w:t xml:space="preserve">Team, 2024). The TIMSS mathematics assessments were validated by the</w:t>
      </w:r>
      <w:r>
        <w:t xml:space="preserve"> </w:t>
      </w:r>
      <w:r>
        <w:t xml:space="preserve">creators using a two-parameter logistic (2PL) model, so we performed a</w:t>
      </w:r>
      <w:r>
        <w:t xml:space="preserve"> </w:t>
      </w:r>
      <w:r>
        <w:t xml:space="preserve">2PL IRT analysis using the</w:t>
      </w:r>
      <w:r>
        <w:t xml:space="preserve"> </w:t>
      </w:r>
      <w:r>
        <w:rPr>
          <w:i/>
          <w:iCs/>
        </w:rPr>
        <w:t xml:space="preserve">mirt</w:t>
      </w:r>
      <w:r>
        <w:t xml:space="preserve"> </w:t>
      </w:r>
      <w:r>
        <w:t xml:space="preserve">R package (v1.41; Chalmers, 2012) to</w:t>
      </w:r>
      <w:r>
        <w:t xml:space="preserve"> </w:t>
      </w:r>
      <w:r>
        <w:t xml:space="preserve">obtain each item’s difficulty (</w:t>
      </w:r>
      <m:oMath>
        <m:sSub>
          <m:e>
            <m:r>
              <m:t>b</m:t>
            </m:r>
          </m:e>
          <m:sub>
            <m:r>
              <m:t>i</m:t>
            </m:r>
          </m:sub>
        </m:sSub>
      </m:oMath>
      <w:r>
        <w:t xml:space="preserve">), discrimination (</w:t>
      </w:r>
      <m:oMath>
        <m:sSub>
          <m:e>
            <m:r>
              <m:t>a</m:t>
            </m:r>
          </m:e>
          <m:sub>
            <m:r>
              <m:t>i</m:t>
            </m:r>
          </m:sub>
        </m:sSub>
      </m:oMath>
      <w:r>
        <w:t xml:space="preserve">), and each</w:t>
      </w:r>
      <w:r>
        <w:t xml:space="preserve"> </w:t>
      </w:r>
      <w:r>
        <w:t xml:space="preserve">respondent’s estimated ability parameter (</w:t>
      </w:r>
      <m:oMath>
        <m:sSub>
          <m:e>
            <m:r>
              <m:t>θ</m:t>
            </m:r>
          </m:e>
          <m:sub>
            <m:r>
              <m:t>j</m:t>
            </m:r>
          </m:sub>
        </m:sSub>
      </m:oMath>
      <w:r>
        <w:t xml:space="preserve">). See</w:t>
      </w:r>
      <w:r>
        <w:t xml:space="preserve"> </w:t>
      </w:r>
      <w:hyperlink w:anchor="tbl-Table1">
        <w:r>
          <w:rPr>
            <w:rStyle w:val="Hyperlink"/>
          </w:rPr>
          <w:t xml:space="preserve">Table 1</w:t>
        </w:r>
      </w:hyperlink>
      <w:r>
        <w:t xml:space="preserve"> </w:t>
      </w:r>
      <w:r>
        <w:t xml:space="preserve">for</w:t>
      </w:r>
      <w:r>
        <w:t xml:space="preserve"> </w:t>
      </w:r>
      <w:r>
        <w:t xml:space="preserve">descriptive statistics and 2PL parameters. Empirical reliability was</w:t>
      </w:r>
      <w:r>
        <w:t xml:space="preserve"> </w:t>
      </w:r>
      <w:r>
        <w:t xml:space="preserve">sufficiently high for analysis (</w:t>
      </w:r>
      <m:oMath>
        <m:sSub>
          <m:e>
            <m:r>
              <m:t>r</m:t>
            </m:r>
          </m:e>
          <m:sub>
            <m:r>
              <m:t>x</m:t>
            </m:r>
            <m:r>
              <m:t>x</m:t>
            </m:r>
          </m:sub>
        </m:sSub>
        <m:r>
          <m:rPr>
            <m:sty m:val="p"/>
          </m:rPr>
          <m:t>=</m:t>
        </m:r>
        <m:r>
          <m:t>.85</m:t>
        </m:r>
      </m:oMath>
      <w:r>
        <w:t xml:space="preserve">).</w:t>
      </w:r>
    </w:p>
    <w:bookmarkEnd w:id="32"/>
    <w:bookmarkStart w:id="36" w:name="main-analysis"/>
    <w:p>
      <w:pPr>
        <w:pStyle w:val="Heading3"/>
      </w:pPr>
      <w:r>
        <w:t xml:space="preserve">3.3 Main Analysis</w:t>
      </w:r>
    </w:p>
    <w:p>
      <w:pPr>
        <w:pStyle w:val="FirstParagraph"/>
      </w:pPr>
      <w:r>
        <w:t xml:space="preserve">Our main analysis involved two series of nested linear multilevel</w:t>
      </w:r>
      <w:r>
        <w:t xml:space="preserve"> </w:t>
      </w:r>
      <w:r>
        <w:t xml:space="preserve">regression models. The first series of models tested the F &gt; C</w:t>
      </w:r>
      <w:r>
        <w:t xml:space="preserve"> </w:t>
      </w:r>
      <w:r>
        <w:t xml:space="preserve">phenomenon, controlling for item difficulty and respondent ability; the</w:t>
      </w:r>
      <w:r>
        <w:t xml:space="preserve"> </w:t>
      </w:r>
      <w:r>
        <w:t xml:space="preserve">second series of models assessed the distance-difficulty hypothesis and</w:t>
      </w:r>
      <w:r>
        <w:t xml:space="preserve"> </w:t>
      </w:r>
      <w:r>
        <w:t xml:space="preserve">its interaction with the F &gt; C phenomenon. We used the</w:t>
      </w:r>
      <w:r>
        <w:t xml:space="preserve"> </w:t>
      </w:r>
      <w:r>
        <w:rPr>
          <w:i/>
          <w:iCs/>
        </w:rPr>
        <w:t xml:space="preserve">lme4</w:t>
      </w:r>
      <w:r>
        <w:t xml:space="preserve"> </w:t>
      </w:r>
      <w:r>
        <w:t xml:space="preserve">package</w:t>
      </w:r>
      <w:r>
        <w:t xml:space="preserve"> </w:t>
      </w:r>
      <w:r>
        <w:t xml:space="preserve">(v1.1-35.5; Bates et al., 2015) to estimate each model, and after</w:t>
      </w:r>
      <w:r>
        <w:t xml:space="preserve"> </w:t>
      </w:r>
      <w:r>
        <w:t xml:space="preserve">estimation, we computed the variance inflation factor (VIF) to check</w:t>
      </w:r>
      <w:r>
        <w:t xml:space="preserve"> </w:t>
      </w:r>
      <w:r>
        <w:t xml:space="preserve">each model for multicollinearity using the</w:t>
      </w:r>
      <w:r>
        <w:t xml:space="preserve"> </w:t>
      </w:r>
      <w:r>
        <w:rPr>
          <w:i/>
          <w:iCs/>
        </w:rPr>
        <w:t xml:space="preserve">car</w:t>
      </w:r>
      <w:r>
        <w:t xml:space="preserve"> </w:t>
      </w:r>
      <w:r>
        <w:t xml:space="preserve">package (v3.1-3; Fox &amp;</w:t>
      </w:r>
      <w:r>
        <w:t xml:space="preserve"> </w:t>
      </w:r>
      <w:r>
        <w:t xml:space="preserve">Weisberg, 2019). Finally, we used the</w:t>
      </w:r>
      <w:r>
        <w:t xml:space="preserve"> </w:t>
      </w:r>
      <w:r>
        <w:rPr>
          <w:i/>
          <w:iCs/>
        </w:rPr>
        <w:t xml:space="preserve">lmerTest</w:t>
      </w:r>
      <w:r>
        <w:t xml:space="preserve"> </w:t>
      </w:r>
      <w:r>
        <w:t xml:space="preserve">package (v3.1-3;</w:t>
      </w:r>
      <w:r>
        <w:t xml:space="preserve"> </w:t>
      </w:r>
      <w:r>
        <w:t xml:space="preserve">Kuznetsova et al., 2017) to compare models.</w:t>
      </w:r>
    </w:p>
    <w:p>
      <w:pPr>
        <w:pStyle w:val="BodyText"/>
      </w:pPr>
      <w:r>
        <w:t xml:space="preserve">We began our analysis by estimating a null model (Model 0) to serve as a</w:t>
      </w:r>
      <w:r>
        <w:t xml:space="preserve"> </w:t>
      </w:r>
      <w:r>
        <w:t xml:space="preserve">baseline for both series of models. Consistent with Tancoš et al.</w:t>
      </w:r>
      <w:r>
        <w:t xml:space="preserve"> </w:t>
      </w:r>
      <w:r>
        <w:t xml:space="preserve">(2023), Model 0 included only fixed and random intercept terms for</w:t>
      </w:r>
      <w:r>
        <w:t xml:space="preserve"> </w:t>
      </w:r>
      <w:r>
        <w:t xml:space="preserve">respondents and items; all models used a logarithmically transformed</w:t>
      </w:r>
      <w:r>
        <w:t xml:space="preserve"> </w:t>
      </w:r>
      <w:r>
        <w:t xml:space="preserve">response time for the dependent variable to linearize the relationship</w:t>
      </w:r>
      <w:r>
        <w:t xml:space="preserve"> </w:t>
      </w:r>
      <w:r>
        <w:t xml:space="preserve">between the predictor variables and response time.</w:t>
      </w:r>
    </w:p>
    <w:p>
      <w:pPr>
        <w:pStyle w:val="BodyText"/>
      </w:pPr>
      <w:r>
        <w:t xml:space="preserve">For the first series of models, we began by defining Model A1, which</w:t>
      </w:r>
      <w:r>
        <w:t xml:space="preserve"> </w:t>
      </w:r>
      <w:r>
        <w:t xml:space="preserve">includes only a binary predictor for item correctness (</w:t>
      </w:r>
      <m:oMath>
        <m:r>
          <m:t>F</m:t>
        </m:r>
        <m:sSub>
          <m:e>
            <m:r>
              <m:t>C</m:t>
            </m:r>
          </m:e>
          <m:sub>
            <m:r>
              <m:t>i</m:t>
            </m:r>
            <m:r>
              <m:t>j</m:t>
            </m:r>
          </m:sub>
        </m:sSub>
      </m:oMath>
      <w:r>
        <w:t xml:space="preserve">); Model</w:t>
      </w:r>
      <w:r>
        <w:t xml:space="preserve"> </w:t>
      </w:r>
      <w:r>
        <w:t xml:space="preserve">A2 includes two additional predictors, item difficulty</w:t>
      </w:r>
      <w:r>
        <w:t xml:space="preserve"> </w:t>
      </w:r>
      <m:oMath>
        <m:sSub>
          <m:e>
            <m:r>
              <m:t>b</m:t>
            </m:r>
          </m:e>
          <m:sub>
            <m:r>
              <m:t>i</m:t>
            </m:r>
          </m:sub>
        </m:sSub>
      </m:oMath>
      <w:r>
        <w:t xml:space="preserve"> </w:t>
      </w:r>
      <w:r>
        <w:t xml:space="preserve">and</w:t>
      </w:r>
      <w:r>
        <w:t xml:space="preserve"> </w:t>
      </w:r>
      <w:r>
        <w:t xml:space="preserve">respondent ability</w:t>
      </w:r>
      <w:r>
        <w:t xml:space="preserve"> </w:t>
      </w:r>
      <m:oMath>
        <m:sSub>
          <m:e>
            <m:r>
              <m:t>θ</m:t>
            </m:r>
          </m:e>
          <m:sub>
            <m:r>
              <m:t>j</m:t>
            </m:r>
          </m:sub>
        </m:sSub>
      </m:oMath>
      <w:r>
        <w:t xml:space="preserve"> </w:t>
      </w:r>
      <w:r>
        <w:t xml:space="preserve">for control variables; finally, Model A3</w:t>
      </w:r>
      <w:r>
        <w:t xml:space="preserve"> </w:t>
      </w:r>
      <w:r>
        <w:t xml:space="preserve">includes an interaction term between item correctness and respondent</w:t>
      </w:r>
      <w:r>
        <w:t xml:space="preserve"> </w:t>
      </w:r>
      <w:r>
        <w:t xml:space="preserve">ability to investigate whether item correctness moderates the</w:t>
      </w:r>
      <w:r>
        <w:t xml:space="preserve"> </w:t>
      </w:r>
      <w:r>
        <w:t xml:space="preserve">relationship between ability level and the F &gt; C phenomenon. Model A3</w:t>
      </w:r>
      <w:r>
        <w:t xml:space="preserve"> </w:t>
      </w:r>
      <w:r>
        <w:t xml:space="preserve">is given by</w:t>
      </w:r>
      <w:r>
        <w:t xml:space="preserve"> </w:t>
      </w:r>
      <w:hyperlink w:anchor="eq-Tancos">
        <w:r>
          <w:rPr>
            <w:rStyle w:val="Hyperlink"/>
          </w:rPr>
          <w:t xml:space="preserve">Equation 4</w:t>
        </w:r>
      </w:hyperlink>
      <w:r>
        <w:t xml:space="preserve">.</w:t>
      </w:r>
    </w:p>
    <w:p>
      <w:pPr>
        <w:pStyle w:val="BodyText"/>
      </w:pPr>
      <w:r>
        <w:t xml:space="preserve">The second series of models begins with Model B1, which includes only</w:t>
      </w:r>
      <w:r>
        <w:t xml:space="preserve"> </w:t>
      </w:r>
      <w:r>
        <w:t xml:space="preserve">the discrimination-adjusted ability-difficulty distance,</w:t>
      </w:r>
      <w:r>
        <w:t xml:space="preserve"> </w:t>
      </w:r>
      <m:oMath>
        <m:sSub>
          <m:e>
            <m:r>
              <m:t>δ</m:t>
            </m:r>
          </m:e>
          <m:sub>
            <m:r>
              <m:t>i</m:t>
            </m:r>
            <m:r>
              <m:t>j</m:t>
            </m:r>
          </m:sub>
        </m:sSub>
        <m:r>
          <m:rPr>
            <m:sty m:val="p"/>
          </m:rPr>
          <m:t>=</m:t>
        </m:r>
        <m:sSub>
          <m:e>
            <m:r>
              <m:t>a</m:t>
            </m:r>
          </m:e>
          <m:sub>
            <m:r>
              <m:t>i</m:t>
            </m:r>
          </m:sub>
        </m:sSub>
        <m:d>
          <m:dPr>
            <m:begChr m:val="|"/>
            <m:endChr m:val="|"/>
            <m:sepChr m:val=""/>
            <m:grow/>
          </m:dPr>
          <m:e>
            <m:sSub>
              <m:e>
                <m:r>
                  <m:t>θ</m:t>
                </m:r>
              </m:e>
              <m:sub>
                <m:r>
                  <m:t>j</m:t>
                </m:r>
              </m:sub>
            </m:sSub>
            <m:r>
              <m:rPr>
                <m:sty m:val="p"/>
              </m:rPr>
              <m:t>−</m:t>
            </m:r>
            <m:sSub>
              <m:e>
                <m:r>
                  <m:t>b</m:t>
                </m:r>
              </m:e>
              <m:sub>
                <m:r>
                  <m:t>i</m:t>
                </m:r>
              </m:sub>
            </m:sSub>
          </m:e>
        </m:d>
      </m:oMath>
      <w:r>
        <w:t xml:space="preserve"> </w:t>
      </w:r>
      <w:r>
        <w:t xml:space="preserve">(</w:t>
      </w:r>
      <w:r>
        <w:t xml:space="preserve">“ability-difficulty distance”</w:t>
      </w:r>
      <w:r>
        <w:t xml:space="preserve">) to</w:t>
      </w:r>
      <w:r>
        <w:t xml:space="preserve"> </w:t>
      </w:r>
      <w:r>
        <w:t xml:space="preserve">test the distance-difficulty hypothesis. Model B2 includes</w:t>
      </w:r>
      <w:r>
        <w:t xml:space="preserve"> </w:t>
      </w:r>
      <m:oMath>
        <m:r>
          <m:t>F</m:t>
        </m:r>
        <m:sSub>
          <m:e>
            <m:r>
              <m:t>C</m:t>
            </m:r>
          </m:e>
          <m:sub>
            <m:r>
              <m:t>i</m:t>
            </m:r>
            <m:r>
              <m:t>j</m:t>
            </m:r>
          </m:sub>
        </m:sSub>
      </m:oMath>
      <w:r>
        <w:t xml:space="preserve">,</w:t>
      </w:r>
      <w:r>
        <w:t xml:space="preserve"> </w:t>
      </w:r>
      <w:r>
        <w:t xml:space="preserve">representing item correctness, to assess the incremental validity of the</w:t>
      </w:r>
      <w:r>
        <w:t xml:space="preserve"> </w:t>
      </w:r>
      <w:r>
        <w:t xml:space="preserve">F &gt; C phenomenon beyond the distance-difficulty hypothesis. Finally,</w:t>
      </w:r>
      <w:r>
        <w:t xml:space="preserve"> </w:t>
      </w:r>
      <w:r>
        <w:t xml:space="preserve">Model B3, given by</w:t>
      </w:r>
      <w:r>
        <w:t xml:space="preserve"> </w:t>
      </w:r>
      <w:hyperlink w:anchor="eq-Tancos2">
        <w:r>
          <w:rPr>
            <w:rStyle w:val="Hyperlink"/>
          </w:rPr>
          <w:t xml:space="preserve">Equation 5</w:t>
        </w:r>
      </w:hyperlink>
      <w:r>
        <w:t xml:space="preserve">, includes an interaction term between the</w:t>
      </w:r>
      <w:r>
        <w:t xml:space="preserve"> </w:t>
      </w:r>
      <w:r>
        <w:t xml:space="preserve">ability-difficulty distance</w:t>
      </w:r>
      <w:r>
        <w:t xml:space="preserve"> </w:t>
      </w:r>
      <m:oMath>
        <m:sSub>
          <m:e>
            <m:r>
              <m:t>δ</m:t>
            </m:r>
          </m:e>
          <m:sub>
            <m:r>
              <m:t>i</m:t>
            </m:r>
            <m:r>
              <m:t>j</m:t>
            </m:r>
          </m:sub>
        </m:sSub>
      </m:oMath>
      <w:r>
        <w:t xml:space="preserve"> </w:t>
      </w:r>
      <w:r>
        <w:t xml:space="preserve">and item correctness</w:t>
      </w:r>
      <w:r>
        <w:t xml:space="preserve"> </w:t>
      </w:r>
      <m:oMath>
        <m:r>
          <m:t>F</m:t>
        </m:r>
        <m:sSub>
          <m:e>
            <m:r>
              <m:t>C</m:t>
            </m:r>
          </m:e>
          <m:sub>
            <m:r>
              <m:t>i</m:t>
            </m:r>
            <m:r>
              <m:t>j</m:t>
            </m:r>
          </m:sub>
        </m:sSub>
      </m:oMath>
      <w:r>
        <w:t xml:space="preserve"> </w:t>
      </w:r>
      <w:r>
        <w:t xml:space="preserve">to investigate whether the distance-difficulty hypothesis is moderated</w:t>
      </w:r>
      <w:r>
        <w:t xml:space="preserve"> </w:t>
      </w:r>
      <w:r>
        <w:t xml:space="preserve">by item correctness.</w:t>
      </w:r>
    </w:p>
    <w:bookmarkStart w:id="33" w:name="null-model"/>
    <w:p>
      <w:pPr>
        <w:pStyle w:val="Heading4"/>
      </w:pPr>
      <w:r>
        <w:t xml:space="preserve">3.3.1 Null Model</w:t>
      </w:r>
    </w:p>
    <w:p>
      <w:pPr>
        <w:pStyle w:val="FirstParagraph"/>
      </w:pPr>
      <w:r>
        <w:t xml:space="preserve">The null model, Model 0, served as our baseline model for both series of</w:t>
      </w:r>
      <w:r>
        <w:t xml:space="preserve"> </w:t>
      </w:r>
      <w:r>
        <w:t xml:space="preserve">models. The fixed intercept was significant, (</w:t>
      </w:r>
      <m:oMath>
        <m:r>
          <m:t>μ</m:t>
        </m:r>
        <m:r>
          <m:rPr>
            <m:sty m:val="p"/>
          </m:rPr>
          <m:t>=</m:t>
        </m:r>
      </m:oMath>
      <w:r>
        <w:t xml:space="preserve"> </w:t>
      </w:r>
      <w:r>
        <w:t xml:space="preserve">3.92, 95% CI [3.67,</w:t>
      </w:r>
      <w:r>
        <w:t xml:space="preserve"> </w:t>
      </w:r>
      <w:r>
        <w:t xml:space="preserve">4.18]). Transforming this parameter, we see the average response time</w:t>
      </w:r>
      <w:r>
        <w:t xml:space="preserve"> </w:t>
      </w:r>
      <w:r>
        <w:t xml:space="preserve">for a student of average ability on an item of average difficulty was</w:t>
      </w:r>
      <w:r>
        <w:t xml:space="preserve"> </w:t>
      </w:r>
      <w:r>
        <w:t xml:space="preserve">54.16 seconds.</w:t>
      </w:r>
      <w:r>
        <w:t xml:space="preserve"> </w:t>
      </w:r>
      <w:hyperlink w:anchor="tbl-Table2">
        <w:r>
          <w:rPr>
            <w:rStyle w:val="Hyperlink"/>
          </w:rPr>
          <w:t xml:space="preserve">Table 2</w:t>
        </w:r>
      </w:hyperlink>
      <w:r>
        <w:t xml:space="preserve"> </w:t>
      </w:r>
      <w:r>
        <w:t xml:space="preserve">displays complete results for Model 0.</w:t>
      </w:r>
    </w:p>
    <w:bookmarkEnd w:id="33"/>
    <w:bookmarkStart w:id="34" w:name="models-assessing-f-c-phenomenon"/>
    <w:p>
      <w:pPr>
        <w:pStyle w:val="Heading4"/>
      </w:pPr>
      <w:r>
        <w:t xml:space="preserve">3.3.2 Models Assessing F &gt; C Phenomenon</w:t>
      </w:r>
    </w:p>
    <w:p>
      <w:pPr>
        <w:pStyle w:val="FirstParagraph"/>
      </w:pPr>
      <w:r>
        <w:t xml:space="preserve">We began with Model A1. We found it took students significantly more</w:t>
      </w:r>
      <w:r>
        <w:t xml:space="preserve"> </w:t>
      </w:r>
      <w:r>
        <w:t xml:space="preserve">time to answer an item correctly than it did to answer incorrectly</w:t>
      </w:r>
      <w:r>
        <w:t xml:space="preserve"> </w:t>
      </w:r>
      <w:r>
        <w:t xml:space="preserve">(</w:t>
      </w:r>
      <m:oMath>
        <m:sSub>
          <m:e>
            <m:r>
              <m:t>γ</m:t>
            </m:r>
          </m:e>
          <m:sub>
            <m:r>
              <m:t>1</m:t>
            </m:r>
          </m:sub>
        </m:sSub>
        <m:r>
          <m:rPr>
            <m:sty m:val="p"/>
          </m:rPr>
          <m:t>=</m:t>
        </m:r>
      </m:oMath>
      <w:r>
        <w:t xml:space="preserve"> </w:t>
      </w:r>
      <w:r>
        <w:t xml:space="preserve">0.21, 95% CI [0.17, 0.25]). Transforming this parameter, we</w:t>
      </w:r>
      <w:r>
        <w:t xml:space="preserve"> </w:t>
      </w:r>
      <w:r>
        <w:t xml:space="preserve">see students took on average, 1.23 seconds longer to provide correct</w:t>
      </w:r>
      <w:r>
        <w:t xml:space="preserve"> </w:t>
      </w:r>
      <w:r>
        <w:t xml:space="preserve">responses than incorrect ones.</w:t>
      </w:r>
      <w:r>
        <w:t xml:space="preserve"> </w:t>
      </w:r>
      <w:hyperlink w:anchor="tbl-Table3">
        <w:r>
          <w:rPr>
            <w:rStyle w:val="Hyperlink"/>
          </w:rPr>
          <w:t xml:space="preserve">Table 3</w:t>
        </w:r>
      </w:hyperlink>
      <w:r>
        <w:t xml:space="preserve"> </w:t>
      </w:r>
      <w:r>
        <w:t xml:space="preserve">displays complete results for</w:t>
      </w:r>
      <w:r>
        <w:t xml:space="preserve"> </w:t>
      </w:r>
      <w:r>
        <w:t xml:space="preserve">Model A1.</w:t>
      </w:r>
    </w:p>
    <w:p>
      <w:pPr>
        <w:pStyle w:val="BodyText"/>
      </w:pPr>
      <w:r>
        <w:t xml:space="preserve">In Model A2, the F &gt; C phenomenon was suppressed but remained</w:t>
      </w:r>
      <w:r>
        <w:t xml:space="preserve"> </w:t>
      </w:r>
      <w:r>
        <w:t xml:space="preserve">significant, (</w:t>
      </w:r>
      <m:oMath>
        <m:sSub>
          <m:e>
            <m:r>
              <m:t>γ</m:t>
            </m:r>
          </m:e>
          <m:sub>
            <m:r>
              <m:t>1</m:t>
            </m:r>
          </m:sub>
        </m:sSub>
        <m:r>
          <m:rPr>
            <m:sty m:val="p"/>
          </m:rPr>
          <m:t>=</m:t>
        </m:r>
      </m:oMath>
      <w:r>
        <w:t xml:space="preserve"> </w:t>
      </w:r>
      <w:r>
        <w:t xml:space="preserve">0.18, 95% CI [0.14, 0.22]). Students with higher</w:t>
      </w:r>
      <w:r>
        <w:t xml:space="preserve"> </w:t>
      </w:r>
      <w:r>
        <w:t xml:space="preserve">ability levels took significantly longer to answer items (</w:t>
      </w:r>
      <m:oMath>
        <m:sSub>
          <m:e>
            <m:r>
              <m:t>γ</m:t>
            </m:r>
          </m:e>
          <m:sub>
            <m:r>
              <m:t>3</m:t>
            </m:r>
          </m:sub>
        </m:sSub>
        <m:r>
          <m:rPr>
            <m:sty m:val="p"/>
          </m:rPr>
          <m:t>=</m:t>
        </m:r>
      </m:oMath>
      <w:r>
        <w:t xml:space="preserve"> </w:t>
      </w:r>
      <w:r>
        <w:t xml:space="preserve">0.13,</w:t>
      </w:r>
      <w:r>
        <w:t xml:space="preserve"> </w:t>
      </w:r>
      <w:r>
        <w:t xml:space="preserve">95% CI [0.09, 0.17]), and students took significantly longer to answer</w:t>
      </w:r>
      <w:r>
        <w:t xml:space="preserve"> </w:t>
      </w:r>
      <w:r>
        <w:t xml:space="preserve">more difficult questions (</w:t>
      </w:r>
      <m:oMath>
        <m:sSub>
          <m:e>
            <m:r>
              <m:t>γ</m:t>
            </m:r>
          </m:e>
          <m:sub>
            <m:r>
              <m:t>2</m:t>
            </m:r>
          </m:sub>
        </m:sSub>
        <m:r>
          <m:rPr>
            <m:sty m:val="p"/>
          </m:rPr>
          <m:t>=</m:t>
        </m:r>
      </m:oMath>
      <w:r>
        <w:t xml:space="preserve"> </w:t>
      </w:r>
      <w:r>
        <w:t xml:space="preserve">0.36, 95% CI [0.08, 0.62]).</w:t>
      </w:r>
      <w:r>
        <w:t xml:space="preserve"> </w:t>
      </w:r>
      <w:hyperlink w:anchor="tbl-Table4">
        <w:r>
          <w:rPr>
            <w:rStyle w:val="Hyperlink"/>
          </w:rPr>
          <w:t xml:space="preserve">Table 4</w:t>
        </w:r>
      </w:hyperlink>
      <w:r>
        <w:t xml:space="preserve"> </w:t>
      </w:r>
      <w:r>
        <w:t xml:space="preserve">displays complete results for Model A2.</w:t>
      </w:r>
    </w:p>
    <w:p>
      <w:pPr>
        <w:pStyle w:val="BodyText"/>
      </w:pPr>
      <w:r>
        <w:t xml:space="preserve">In Model A3, the F &gt; C phenomenon remained significant (</w:t>
      </w:r>
      <m:oMath>
        <m:sSub>
          <m:e>
            <m:r>
              <m:t>γ</m:t>
            </m:r>
          </m:e>
          <m:sub>
            <m:r>
              <m:t>1</m:t>
            </m:r>
          </m:sub>
        </m:sSub>
        <m:r>
          <m:rPr>
            <m:sty m:val="p"/>
          </m:rPr>
          <m:t>=</m:t>
        </m:r>
      </m:oMath>
      <w:r>
        <w:t xml:space="preserve"> </w:t>
      </w:r>
      <w:r>
        <w:t xml:space="preserve">0.19,</w:t>
      </w:r>
      <w:r>
        <w:t xml:space="preserve"> </w:t>
      </w:r>
      <w:r>
        <w:t xml:space="preserve">95% CI [0.15, 0.23]), as did item difficulty (</w:t>
      </w:r>
      <m:oMath>
        <m:sSub>
          <m:e>
            <m:r>
              <m:t>γ</m:t>
            </m:r>
          </m:e>
          <m:sub>
            <m:r>
              <m:t>2</m:t>
            </m:r>
          </m:sub>
        </m:sSub>
        <m:r>
          <m:rPr>
            <m:sty m:val="p"/>
          </m:rPr>
          <m:t>=</m:t>
        </m:r>
      </m:oMath>
      <w:r>
        <w:t xml:space="preserve"> </w:t>
      </w:r>
      <w:r>
        <w:t xml:space="preserve">0.35, 95% CI</w:t>
      </w:r>
      <w:r>
        <w:t xml:space="preserve"> </w:t>
      </w:r>
      <w:r>
        <w:t xml:space="preserve">[0.07, 0.62]) and student ability level (</w:t>
      </w:r>
      <m:oMath>
        <m:sSub>
          <m:e>
            <m:r>
              <m:t>γ</m:t>
            </m:r>
          </m:e>
          <m:sub>
            <m:r>
              <m:t>3</m:t>
            </m:r>
          </m:sub>
        </m:sSub>
        <m:r>
          <m:rPr>
            <m:sty m:val="p"/>
          </m:rPr>
          <m:t>=</m:t>
        </m:r>
      </m:oMath>
      <w:r>
        <w:t xml:space="preserve"> </w:t>
      </w:r>
      <w:r>
        <w:t xml:space="preserve">0.22, 95% CI [0.18,</w:t>
      </w:r>
      <w:r>
        <w:t xml:space="preserve"> </w:t>
      </w:r>
      <w:r>
        <w:t xml:space="preserve">0.27]). Moreover, we found a significant interaction between item</w:t>
      </w:r>
      <w:r>
        <w:t xml:space="preserve"> </w:t>
      </w:r>
      <w:r>
        <w:t xml:space="preserve">correctness and ability level (</w:t>
      </w:r>
      <m:oMath>
        <m:sSub>
          <m:e>
            <m:r>
              <m:t>γ</m:t>
            </m:r>
          </m:e>
          <m:sub>
            <m:r>
              <m:t>13</m:t>
            </m:r>
          </m:sub>
        </m:sSub>
        <m:r>
          <m:rPr>
            <m:sty m:val="p"/>
          </m:rPr>
          <m:t>=</m:t>
        </m:r>
      </m:oMath>
      <w:r>
        <w:t xml:space="preserve">-0.21, 95% CI [-0.26, -0.16]).</w:t>
      </w:r>
      <w:r>
        <w:t xml:space="preserve"> </w:t>
      </w:r>
      <w:r>
        <w:t xml:space="preserve">Taken together, we can interpret this to mean that students with lower</w:t>
      </w:r>
      <w:r>
        <w:t xml:space="preserve"> </w:t>
      </w:r>
      <w:r>
        <w:t xml:space="preserve">ability levels took longer to answer items correctly than incorrectly,</w:t>
      </w:r>
      <w:r>
        <w:t xml:space="preserve"> </w:t>
      </w:r>
      <w:r>
        <w:t xml:space="preserve">and students with higher ability levels took longer to provide incorrect</w:t>
      </w:r>
      <w:r>
        <w:t xml:space="preserve"> </w:t>
      </w:r>
      <w:r>
        <w:t xml:space="preserve">answers than correct ones. Moreover, we found a positive relationship</w:t>
      </w:r>
      <w:r>
        <w:t xml:space="preserve"> </w:t>
      </w:r>
      <w:r>
        <w:t xml:space="preserve">between ability level and response time for incorrect answers, but no</w:t>
      </w:r>
      <w:r>
        <w:t xml:space="preserve"> </w:t>
      </w:r>
      <w:r>
        <w:t xml:space="preserve">substantial relationship between ability level and response time for</w:t>
      </w:r>
      <w:r>
        <w:t xml:space="preserve"> </w:t>
      </w:r>
      <w:r>
        <w:t xml:space="preserve">correct answers. This pattern is shown in</w:t>
      </w:r>
      <w:r>
        <w:t xml:space="preserve"> </w:t>
      </w:r>
      <w:hyperlink w:anchor="fig-Figure1">
        <w:r>
          <w:rPr>
            <w:rStyle w:val="Hyperlink"/>
          </w:rPr>
          <w:t xml:space="preserve">Figure 1</w:t>
        </w:r>
      </w:hyperlink>
      <w:r>
        <w:t xml:space="preserve">, and</w:t>
      </w:r>
      <w:r>
        <w:t xml:space="preserve"> </w:t>
      </w:r>
      <w:hyperlink w:anchor="tbl-Table5">
        <w:r>
          <w:rPr>
            <w:rStyle w:val="Hyperlink"/>
          </w:rPr>
          <w:t xml:space="preserve">Table 5</w:t>
        </w:r>
      </w:hyperlink>
      <w:r>
        <w:t xml:space="preserve"> </w:t>
      </w:r>
      <w:r>
        <w:t xml:space="preserve">displays complete results for Model A3.</w:t>
      </w:r>
    </w:p>
    <w:p>
      <w:pPr>
        <w:pStyle w:val="BodyText"/>
      </w:pPr>
      <w:r>
        <w:t xml:space="preserve">Overall, every model fit better than the null model, and each model fit</w:t>
      </w:r>
      <w:r>
        <w:t xml:space="preserve"> </w:t>
      </w:r>
      <w:r>
        <w:t xml:space="preserve">better than the preceding model in the series</w:t>
      </w:r>
      <w:r>
        <w:t xml:space="preserve"> </w:t>
      </w:r>
      <w:hyperlink w:anchor="tbl-Table6">
        <w:r>
          <w:rPr>
            <w:rStyle w:val="Hyperlink"/>
          </w:rPr>
          <w:t xml:space="preserve">Table 6</w:t>
        </w:r>
      </w:hyperlink>
      <w:r>
        <w:t xml:space="preserve">. Given the</w:t>
      </w:r>
      <w:r>
        <w:t xml:space="preserve"> </w:t>
      </w:r>
      <w:r>
        <w:t xml:space="preserve">information criteria and the goodness-of-fit measures, we chose to</w:t>
      </w:r>
      <w:r>
        <w:t xml:space="preserve"> </w:t>
      </w:r>
      <w:r>
        <w:t xml:space="preserve">retain Model A3 as our final model.</w:t>
      </w:r>
    </w:p>
    <w:bookmarkEnd w:id="34"/>
    <w:bookmarkStart w:id="35" w:name="Xe1b16fdb4b93f6a951b524d5f3bc90c2c09cd13"/>
    <w:p>
      <w:pPr>
        <w:pStyle w:val="Heading4"/>
      </w:pPr>
      <w:r>
        <w:t xml:space="preserve">3.3.3 Models Assessing the Distance-Difficulty Hypothesis</w:t>
      </w:r>
    </w:p>
    <w:p>
      <w:pPr>
        <w:pStyle w:val="FirstParagraph"/>
      </w:pPr>
      <w:r>
        <w:t xml:space="preserve">Model B1 assessed the distance-difficulty hypothesis as a predictor for</w:t>
      </w:r>
      <w:r>
        <w:t xml:space="preserve"> </w:t>
      </w:r>
      <w:r>
        <w:t xml:space="preserve">the logarithmic transform of response time, which was significant</w:t>
      </w:r>
      <w:r>
        <w:t xml:space="preserve"> </w:t>
      </w:r>
      <w:r>
        <w:t xml:space="preserve">(</w:t>
      </w:r>
      <m:oMath>
        <m:sSub>
          <m:e>
            <m:r>
              <m:t>γ</m:t>
            </m:r>
          </m:e>
          <m:sub>
            <m:r>
              <m:t>4</m:t>
            </m:r>
          </m:sub>
        </m:sSub>
        <m:r>
          <m:rPr>
            <m:sty m:val="p"/>
          </m:rPr>
          <m:t>=</m:t>
        </m:r>
      </m:oMath>
      <w:r>
        <w:t xml:space="preserve"> </w:t>
      </w:r>
      <w:r>
        <w:t xml:space="preserve">-0.09, 95% CI [-0.10, -0.08]). From this, we see that for each</w:t>
      </w:r>
      <w:r>
        <w:t xml:space="preserve"> </w:t>
      </w:r>
      <w:r>
        <w:t xml:space="preserve">one-unit increase in</w:t>
      </w:r>
      <w:r>
        <w:t xml:space="preserve"> </w:t>
      </w:r>
      <m:oMath>
        <m:sSub>
          <m:e>
            <m:r>
              <m:t>δ</m:t>
            </m:r>
          </m:e>
          <m:sub>
            <m:r>
              <m:t>i</m:t>
            </m:r>
            <m:r>
              <m:t>j</m:t>
            </m:r>
          </m:sub>
        </m:sSub>
      </m:oMath>
      <w:r>
        <w:t xml:space="preserve">, response time is decreased by 8.6%. For</w:t>
      </w:r>
      <w:r>
        <w:t xml:space="preserve"> </w:t>
      </w:r>
      <w:r>
        <w:t xml:space="preserve">example, when</w:t>
      </w:r>
      <w:r>
        <w:t xml:space="preserve"> </w:t>
      </w:r>
      <m:oMath>
        <m:sSub>
          <m:e>
            <m:r>
              <m:t>δ</m:t>
            </m:r>
          </m:e>
          <m:sub>
            <m:r>
              <m:t>i</m:t>
            </m:r>
            <m:r>
              <m:t>j</m:t>
            </m:r>
          </m:sub>
        </m:sSub>
        <m:r>
          <m:rPr>
            <m:sty m:val="p"/>
          </m:rPr>
          <m:t>=</m:t>
        </m:r>
        <m:r>
          <m:t>0</m:t>
        </m:r>
      </m:oMath>
      <w:r>
        <w:t xml:space="preserve">, the expected response time is 60.46 seconds;</w:t>
      </w:r>
      <w:r>
        <w:t xml:space="preserve"> </w:t>
      </w:r>
      <w:r>
        <w:t xml:space="preserve">when</w:t>
      </w:r>
      <w:r>
        <w:t xml:space="preserve"> </w:t>
      </w:r>
      <m:oMath>
        <m:sSub>
          <m:e>
            <m:r>
              <m:t>δ</m:t>
            </m:r>
          </m:e>
          <m:sub>
            <m:r>
              <m:t>i</m:t>
            </m:r>
            <m:r>
              <m:t>j</m:t>
            </m:r>
          </m:sub>
        </m:sSub>
        <m:r>
          <m:rPr>
            <m:sty m:val="p"/>
          </m:rPr>
          <m:t>=</m:t>
        </m:r>
        <m:r>
          <m:t>1</m:t>
        </m:r>
      </m:oMath>
      <w:r>
        <w:t xml:space="preserve">, the expected response time is 55.26 seconds; when</w:t>
      </w:r>
      <w:r>
        <w:t xml:space="preserve"> </w:t>
      </w:r>
      <m:oMath>
        <m:sSub>
          <m:e>
            <m:r>
              <m:t>δ</m:t>
            </m:r>
          </m:e>
          <m:sub>
            <m:r>
              <m:t>i</m:t>
            </m:r>
            <m:r>
              <m:t>j</m:t>
            </m:r>
          </m:sub>
        </m:sSub>
        <m:r>
          <m:rPr>
            <m:sty m:val="p"/>
          </m:rPr>
          <m:t>=</m:t>
        </m:r>
        <m:r>
          <m:t>2</m:t>
        </m:r>
      </m:oMath>
      <w:r>
        <w:t xml:space="preserve">, the expected response time is 50.50 seconds, and so on.</w:t>
      </w:r>
      <w:r>
        <w:t xml:space="preserve"> </w:t>
      </w:r>
      <w:hyperlink w:anchor="tbl-Table7">
        <w:r>
          <w:rPr>
            <w:rStyle w:val="Hyperlink"/>
          </w:rPr>
          <w:t xml:space="preserve">Table 7</w:t>
        </w:r>
      </w:hyperlink>
      <w:r>
        <w:t xml:space="preserve"> </w:t>
      </w:r>
      <w:r>
        <w:t xml:space="preserve">displays the complete results for Model B1.</w:t>
      </w:r>
    </w:p>
    <w:p>
      <w:pPr>
        <w:pStyle w:val="BodyText"/>
      </w:pPr>
      <w:r>
        <w:t xml:space="preserve">For Model B2, we added item correctness as a fixed effect, which was</w:t>
      </w:r>
      <w:r>
        <w:t xml:space="preserve"> </w:t>
      </w:r>
      <w:r>
        <w:t xml:space="preserve">significant (</w:t>
      </w:r>
      <m:oMath>
        <m:sSub>
          <m:e>
            <m:r>
              <m:t>γ</m:t>
            </m:r>
          </m:e>
          <m:sub>
            <m:r>
              <m:t>1</m:t>
            </m:r>
          </m:sub>
        </m:sSub>
        <m:r>
          <m:rPr>
            <m:sty m:val="p"/>
          </m:rPr>
          <m:t>=</m:t>
        </m:r>
      </m:oMath>
      <w:r>
        <w:t xml:space="preserve"> </w:t>
      </w:r>
      <w:r>
        <w:t xml:space="preserve">0.22, 95% CI [0.18, 0.26]). The ability-difficulty</w:t>
      </w:r>
      <w:r>
        <w:t xml:space="preserve"> </w:t>
      </w:r>
      <w:r>
        <w:t xml:space="preserve">distance remained significant but was suppressed (</w:t>
      </w:r>
      <m:oMath>
        <m:sSub>
          <m:e>
            <m:r>
              <m:t>γ</m:t>
            </m:r>
          </m:e>
          <m:sub>
            <m:r>
              <m:t>4</m:t>
            </m:r>
          </m:sub>
        </m:sSub>
        <m:r>
          <m:rPr>
            <m:sty m:val="p"/>
          </m:rPr>
          <m:t>=</m:t>
        </m:r>
      </m:oMath>
      <w:r>
        <w:t xml:space="preserve"> </w:t>
      </w:r>
      <w:r>
        <w:t xml:space="preserve">-0.09, 95% CI</w:t>
      </w:r>
      <w:r>
        <w:t xml:space="preserve"> </w:t>
      </w:r>
      <w:r>
        <w:t xml:space="preserve">[-0.11, -0.08]). From this, we see that students took longer to</w:t>
      </w:r>
      <w:r>
        <w:t xml:space="preserve"> </w:t>
      </w:r>
      <w:r>
        <w:t xml:space="preserve">provide correct answers than incorrect ones, and regardless of item</w:t>
      </w:r>
      <w:r>
        <w:t xml:space="preserve"> </w:t>
      </w:r>
      <w:r>
        <w:t xml:space="preserve">correctness, as the ability-difficulty distance increased, response time</w:t>
      </w:r>
      <w:r>
        <w:t xml:space="preserve"> </w:t>
      </w:r>
      <w:r>
        <w:t xml:space="preserve">decreased. See</w:t>
      </w:r>
      <w:r>
        <w:t xml:space="preserve"> </w:t>
      </w:r>
      <w:hyperlink w:anchor="tbl-Table8">
        <w:r>
          <w:rPr>
            <w:rStyle w:val="Hyperlink"/>
          </w:rPr>
          <w:t xml:space="preserve">Table 8</w:t>
        </w:r>
      </w:hyperlink>
      <w:r>
        <w:t xml:space="preserve"> </w:t>
      </w:r>
      <w:r>
        <w:t xml:space="preserve">for complete results for Model B2.</w:t>
      </w:r>
    </w:p>
    <w:p>
      <w:pPr>
        <w:pStyle w:val="BodyText"/>
      </w:pPr>
      <w:r>
        <w:t xml:space="preserve">Finally, in Model B3, we added an interaction term between item</w:t>
      </w:r>
      <w:r>
        <w:t xml:space="preserve"> </w:t>
      </w:r>
      <w:r>
        <w:t xml:space="preserve">correctness and the ability-difficulty distance, which was significant</w:t>
      </w:r>
      <w:r>
        <w:t xml:space="preserve"> </w:t>
      </w:r>
      <w:r>
        <w:t xml:space="preserve">(</w:t>
      </w:r>
      <m:oMath>
        <m:sSub>
          <m:e>
            <m:r>
              <m:t>γ</m:t>
            </m:r>
          </m:e>
          <m:sub>
            <m:r>
              <m:t>14</m:t>
            </m:r>
          </m:sub>
        </m:sSub>
        <m:r>
          <m:rPr>
            <m:sty m:val="p"/>
          </m:rPr>
          <m:t>=</m:t>
        </m:r>
      </m:oMath>
      <w:r>
        <w:t xml:space="preserve"> </w:t>
      </w:r>
      <w:r>
        <w:t xml:space="preserve">-0.08, 95% CI [-0.11, -0.05]). Item correctness and</w:t>
      </w:r>
      <w:r>
        <w:t xml:space="preserve"> </w:t>
      </w:r>
      <w:r>
        <w:t xml:space="preserve">ability-difficulty distance remained significant (</w:t>
      </w:r>
      <m:oMath>
        <m:sSub>
          <m:e>
            <m:r>
              <m:t>γ</m:t>
            </m:r>
          </m:e>
          <m:sub>
            <m:r>
              <m:t>1</m:t>
            </m:r>
          </m:sub>
        </m:sSub>
        <m:r>
          <m:rPr>
            <m:sty m:val="p"/>
          </m:rPr>
          <m:t>=</m:t>
        </m:r>
      </m:oMath>
      <w:r>
        <w:t xml:space="preserve"> </w:t>
      </w:r>
      <w:r>
        <w:t xml:space="preserve">-0.07, 95% CI</w:t>
      </w:r>
      <w:r>
        <w:t xml:space="preserve"> </w:t>
      </w:r>
      <w:r>
        <w:t xml:space="preserve">[-0.08,-0.05] and</w:t>
      </w:r>
      <w:r>
        <w:t xml:space="preserve"> </w:t>
      </w:r>
      <m:oMath>
        <m:sSub>
          <m:e>
            <m:r>
              <m:t>γ</m:t>
            </m:r>
          </m:e>
          <m:sub>
            <m:r>
              <m:t>4</m:t>
            </m:r>
          </m:sub>
        </m:sSub>
        <m:r>
          <m:rPr>
            <m:sty m:val="p"/>
          </m:rPr>
          <m:t>=</m:t>
        </m:r>
      </m:oMath>
      <w:r>
        <w:t xml:space="preserve"> </w:t>
      </w:r>
      <w:r>
        <w:t xml:space="preserve">0.29, 95% CI [0.24,0.34], respectively).</w:t>
      </w:r>
      <w:r>
        <w:t xml:space="preserve"> </w:t>
      </w:r>
      <w:r>
        <w:t xml:space="preserve">Taken together, we interpret these results as follows: students take</w:t>
      </w:r>
      <w:r>
        <w:t xml:space="preserve"> </w:t>
      </w:r>
      <w:r>
        <w:t xml:space="preserve">longer to provide correct answers to items near their ability level. As</w:t>
      </w:r>
      <w:r>
        <w:t xml:space="preserve"> </w:t>
      </w:r>
      <w:r>
        <w:t xml:space="preserve">the ability-difficulty distance increases, the relationship switches</w:t>
      </w:r>
      <w:r>
        <w:t xml:space="preserve"> </w:t>
      </w:r>
      <w:r>
        <w:t xml:space="preserve">around</w:t>
      </w:r>
      <w:r>
        <w:t xml:space="preserve"> </w:t>
      </w:r>
      <m:oMath>
        <m:sSub>
          <m:e>
            <m:r>
              <m:t>δ</m:t>
            </m:r>
          </m:e>
          <m:sub>
            <m:r>
              <m:t>i</m:t>
            </m:r>
            <m:r>
              <m:t>j</m:t>
            </m:r>
          </m:sub>
        </m:sSub>
        <m:r>
          <m:rPr>
            <m:sty m:val="p"/>
          </m:rPr>
          <m:t>=</m:t>
        </m:r>
      </m:oMath>
      <w:r>
        <w:t xml:space="preserve"> </w:t>
      </w:r>
      <w:r>
        <w:t xml:space="preserve">3.8, such that students beyond this point take longer</w:t>
      </w:r>
      <w:r>
        <w:t xml:space="preserve"> </w:t>
      </w:r>
      <w:r>
        <w:t xml:space="preserve">to provide incorrect answers. So, students take longer to provide</w:t>
      </w:r>
      <w:r>
        <w:t xml:space="preserve"> </w:t>
      </w:r>
      <w:r>
        <w:t xml:space="preserve">incorrect answers to items that are very difficult or very easy relative</w:t>
      </w:r>
      <w:r>
        <w:t xml:space="preserve"> </w:t>
      </w:r>
      <w:r>
        <w:t xml:space="preserve">to their ability level. Moreover, response time decreases as the</w:t>
      </w:r>
      <w:r>
        <w:t xml:space="preserve"> </w:t>
      </w:r>
      <w:r>
        <w:t xml:space="preserve">ability-difficulty distance increases, regardless of item correctness;</w:t>
      </w:r>
      <w:r>
        <w:t xml:space="preserve"> </w:t>
      </w:r>
      <w:r>
        <w:t xml:space="preserve">that is, students respond quicker to items that are very difficult or</w:t>
      </w:r>
      <w:r>
        <w:t xml:space="preserve"> </w:t>
      </w:r>
      <w:r>
        <w:t xml:space="preserve">very easy relative to their ability level. This pattern is shown in</w:t>
      </w:r>
      <w:r>
        <w:t xml:space="preserve"> </w:t>
      </w:r>
      <w:hyperlink w:anchor="fig-Figure2">
        <w:r>
          <w:rPr>
            <w:rStyle w:val="Hyperlink"/>
          </w:rPr>
          <w:t xml:space="preserve">Figure 2</w:t>
        </w:r>
      </w:hyperlink>
      <w:r>
        <w:t xml:space="preserve">, and</w:t>
      </w:r>
      <w:r>
        <w:t xml:space="preserve"> </w:t>
      </w:r>
      <w:hyperlink w:anchor="tbl-Table9">
        <w:r>
          <w:rPr>
            <w:rStyle w:val="Hyperlink"/>
          </w:rPr>
          <w:t xml:space="preserve">Table 9</w:t>
        </w:r>
      </w:hyperlink>
      <w:r>
        <w:t xml:space="preserve"> </w:t>
      </w:r>
      <w:r>
        <w:t xml:space="preserve">displays complete results for Model B3.</w:t>
      </w:r>
    </w:p>
    <w:p>
      <w:pPr>
        <w:pStyle w:val="BodyText"/>
      </w:pPr>
      <w:r>
        <w:t xml:space="preserve">Overall, each model fit the data better than the null model, and every</w:t>
      </w:r>
      <w:r>
        <w:t xml:space="preserve"> </w:t>
      </w:r>
      <w:r>
        <w:t xml:space="preserve">model in the series fit the data better than the preceding model</w:t>
      </w:r>
      <w:r>
        <w:t xml:space="preserve"> </w:t>
      </w:r>
      <w:r>
        <w:t xml:space="preserve">(</w:t>
      </w:r>
      <w:hyperlink w:anchor="tbl-Table10">
        <w:r>
          <w:rPr>
            <w:rStyle w:val="Hyperlink"/>
          </w:rPr>
          <w:t xml:space="preserve">Table 10</w:t>
        </w:r>
      </w:hyperlink>
      <w:r>
        <w:t xml:space="preserve">). Per this evidence, along with information criteria for</w:t>
      </w:r>
      <w:r>
        <w:t xml:space="preserve"> </w:t>
      </w:r>
      <w:r>
        <w:t xml:space="preserve">each model, we chose to retain Model B3 as our final model.</w:t>
      </w:r>
    </w:p>
    <w:bookmarkEnd w:id="35"/>
    <w:bookmarkEnd w:id="36"/>
    <w:bookmarkEnd w:id="37"/>
    <w:bookmarkStart w:id="38" w:name="conclusion"/>
    <w:p>
      <w:pPr>
        <w:pStyle w:val="Heading2"/>
      </w:pPr>
      <w:r>
        <w:t xml:space="preserve">4 Conclusion</w:t>
      </w:r>
    </w:p>
    <w:p>
      <w:pPr>
        <w:pStyle w:val="FirstParagraph"/>
      </w:pPr>
      <w:r>
        <w:t xml:space="preserve">The results of our study show that eighth-grade students’ responses to a</w:t>
      </w:r>
      <w:r>
        <w:t xml:space="preserve"> </w:t>
      </w:r>
      <w:r>
        <w:t xml:space="preserve">mathematics achievement assessment support the F &gt; C phenomenon after</w:t>
      </w:r>
      <w:r>
        <w:t xml:space="preserve"> </w:t>
      </w:r>
      <w:r>
        <w:t xml:space="preserve">controlling for ability level, item difficulty, and item correctness.</w:t>
      </w:r>
      <w:r>
        <w:t xml:space="preserve"> </w:t>
      </w:r>
      <w:r>
        <w:t xml:space="preserve">Moreover, students’ responses provide evidence to support the</w:t>
      </w:r>
      <w:r>
        <w:t xml:space="preserve"> </w:t>
      </w:r>
      <w:r>
        <w:t xml:space="preserve">distance-difficulty hypothesis after controlling for ability-difficulty</w:t>
      </w:r>
      <w:r>
        <w:t xml:space="preserve"> </w:t>
      </w:r>
      <w:r>
        <w:t xml:space="preserve">distance and item correctness, with a significant interaction between</w:t>
      </w:r>
      <w:r>
        <w:t xml:space="preserve"> </w:t>
      </w:r>
      <w:r>
        <w:t xml:space="preserve">item correctness and the ability-difficulty distance.</w:t>
      </w:r>
    </w:p>
    <w:p>
      <w:pPr>
        <w:pStyle w:val="BodyText"/>
      </w:pPr>
      <w:r>
        <w:t xml:space="preserve">The interaction between the F &gt; C phenomenon and item correctness may</w:t>
      </w:r>
      <w:r>
        <w:t xml:space="preserve"> </w:t>
      </w:r>
      <w:r>
        <w:t xml:space="preserve">have several explanations. Students with higher ability levels may have</w:t>
      </w:r>
      <w:r>
        <w:t xml:space="preserve"> </w:t>
      </w:r>
      <w:r>
        <w:t xml:space="preserve">higher levels of grit and may be more likely to try multiple approaches</w:t>
      </w:r>
      <w:r>
        <w:t xml:space="preserve"> </w:t>
      </w:r>
      <w:r>
        <w:t xml:space="preserve">to a problem if their initial strategy/approach does not yield a</w:t>
      </w:r>
      <w:r>
        <w:t xml:space="preserve"> </w:t>
      </w:r>
      <w:r>
        <w:t xml:space="preserve">solution (Credé et al., 2017; Duckworth et al., 2007; Steinmayr et al.,</w:t>
      </w:r>
      <w:r>
        <w:t xml:space="preserve"> </w:t>
      </w:r>
      <w:r>
        <w:t xml:space="preserve">2018). In contrast, students with lower ability levels may not see a</w:t>
      </w:r>
      <w:r>
        <w:t xml:space="preserve"> </w:t>
      </w:r>
      <w:r>
        <w:t xml:space="preserve">clear path to a solution when beginning a problem. As we saw,</w:t>
      </w:r>
      <w:r>
        <w:t xml:space="preserve"> </w:t>
      </w:r>
      <w:r>
        <w:t xml:space="preserve">lower-ability students took longer to answer questions correctly, which</w:t>
      </w:r>
      <w:r>
        <w:t xml:space="preserve"> </w:t>
      </w:r>
      <w:r>
        <w:t xml:space="preserve">could be indicative of students pausing to develop a plan of attack</w:t>
      </w:r>
      <w:r>
        <w:t xml:space="preserve"> </w:t>
      </w:r>
      <w:r>
        <w:t xml:space="preserve">before answering the question. Researchers (e.g., Chan et al., 2022)</w:t>
      </w:r>
      <w:r>
        <w:t xml:space="preserve"> </w:t>
      </w:r>
      <w:r>
        <w:t xml:space="preserve">have found that longer pauses before beginning a problem can lead to</w:t>
      </w:r>
      <w:r>
        <w:t xml:space="preserve"> </w:t>
      </w:r>
      <w:r>
        <w:t xml:space="preserve">more efficient problem-solving, and, ultimately, faster response times.</w:t>
      </w:r>
    </w:p>
    <w:p>
      <w:pPr>
        <w:pStyle w:val="BodyText"/>
      </w:pPr>
      <w:r>
        <w:t xml:space="preserve">The observed patterns in the relationship between the ability-difficulty</w:t>
      </w:r>
      <w:r>
        <w:t xml:space="preserve"> </w:t>
      </w:r>
      <w:r>
        <w:t xml:space="preserve">distance and response time align with the findings from the Tancoš et</w:t>
      </w:r>
      <w:r>
        <w:t xml:space="preserve"> </w:t>
      </w:r>
      <w:r>
        <w:t xml:space="preserve">al. (2023) study; students took longest to answer questions that matched</w:t>
      </w:r>
      <w:r>
        <w:t xml:space="preserve"> </w:t>
      </w:r>
      <w:r>
        <w:t xml:space="preserve">the student’s ability level, and response time decreased as the</w:t>
      </w:r>
      <w:r>
        <w:t xml:space="preserve"> </w:t>
      </w:r>
      <w:r>
        <w:t xml:space="preserve">ability-difficulty distance increased. One possible explanation for the</w:t>
      </w:r>
      <w:r>
        <w:t xml:space="preserve"> </w:t>
      </w:r>
      <w:r>
        <w:t xml:space="preserve">extended time taken to answer questions that match a student’s ability</w:t>
      </w:r>
      <w:r>
        <w:t xml:space="preserve"> </w:t>
      </w:r>
      <w:r>
        <w:t xml:space="preserve">level is that the question may be difficult enough to be challenging,</w:t>
      </w:r>
      <w:r>
        <w:t xml:space="preserve"> </w:t>
      </w:r>
      <w:r>
        <w:t xml:space="preserve">but not so challenging that they have little chance of answering the</w:t>
      </w:r>
      <w:r>
        <w:t xml:space="preserve"> </w:t>
      </w:r>
      <w:r>
        <w:t xml:space="preserve">question correctly. When items are very easy relative to a student’s</w:t>
      </w:r>
      <w:r>
        <w:t xml:space="preserve"> </w:t>
      </w:r>
      <w:r>
        <w:t xml:space="preserve">ability level, this pattern seems intuitive: easier items take less</w:t>
      </w:r>
      <w:r>
        <w:t xml:space="preserve"> </w:t>
      </w:r>
      <w:r>
        <w:t xml:space="preserve">time. However, the idea that students take less time to answer very</w:t>
      </w:r>
      <w:r>
        <w:t xml:space="preserve"> </w:t>
      </w:r>
      <w:r>
        <w:t xml:space="preserve">difficult questions is less intuitive but may be a result of an initial</w:t>
      </w:r>
      <w:r>
        <w:t xml:space="preserve"> </w:t>
      </w:r>
      <w:r>
        <w:t xml:space="preserve">misjudgment of the item’s difficulty, which would explain our finding</w:t>
      </w:r>
      <w:r>
        <w:t xml:space="preserve"> </w:t>
      </w:r>
      <w:r>
        <w:t xml:space="preserve">that students took longer to answer very difficult questions</w:t>
      </w:r>
      <w:r>
        <w:t xml:space="preserve"> </w:t>
      </w:r>
      <w:r>
        <w:t xml:space="preserve">incorrectly.</w:t>
      </w:r>
    </w:p>
    <w:p>
      <w:pPr>
        <w:pStyle w:val="BodyText"/>
      </w:pPr>
      <w:r>
        <w:t xml:space="preserve">Our study is limited by the low-stakes nature of the TIMSS mathematics</w:t>
      </w:r>
      <w:r>
        <w:t xml:space="preserve"> </w:t>
      </w:r>
      <w:r>
        <w:t xml:space="preserve">assessments. Students may not have been highly motivated to perform well</w:t>
      </w:r>
      <w:r>
        <w:t xml:space="preserve"> </w:t>
      </w:r>
      <w:r>
        <w:t xml:space="preserve">in this achievement assessment, particularly toward the end of the test,</w:t>
      </w:r>
      <w:r>
        <w:t xml:space="preserve"> </w:t>
      </w:r>
      <w:r>
        <w:t xml:space="preserve">so our estimates of student ability and item difficulty may be biased by</w:t>
      </w:r>
      <w:r>
        <w:t xml:space="preserve"> </w:t>
      </w:r>
      <w:r>
        <w:t xml:space="preserve">a lack of sufficient effort. Moreover, the magnitude of errors may be</w:t>
      </w:r>
      <w:r>
        <w:t xml:space="preserve"> </w:t>
      </w:r>
      <w:r>
        <w:t xml:space="preserve">compounded by the initial IRT estimate and subsequent multilevel</w:t>
      </w:r>
      <w:r>
        <w:t xml:space="preserve"> </w:t>
      </w:r>
      <w:r>
        <w:t xml:space="preserve">regression model. Finally, there may be unanalyzed differences in the</w:t>
      </w:r>
      <w:r>
        <w:t xml:space="preserve"> </w:t>
      </w:r>
      <w:r>
        <w:t xml:space="preserve">observed relationships across students of different demographic groups</w:t>
      </w:r>
      <w:r>
        <w:t xml:space="preserve"> </w:t>
      </w:r>
      <w:r>
        <w:t xml:space="preserve">(such as gender, race/ethnicity, or socio-economic status). Future</w:t>
      </w:r>
      <w:r>
        <w:t xml:space="preserve"> </w:t>
      </w:r>
      <w:r>
        <w:t xml:space="preserve">research could examine the magnitude of the fixed effects we analyzed in</w:t>
      </w:r>
      <w:r>
        <w:t xml:space="preserve"> </w:t>
      </w:r>
      <w:r>
        <w:t xml:space="preserve">this study by demographic group. Future research may also explore</w:t>
      </w:r>
      <w:r>
        <w:t xml:space="preserve"> </w:t>
      </w:r>
      <w:r>
        <w:t xml:space="preserve">whether the results from this study hold with attitudinal scales or</w:t>
      </w:r>
      <w:r>
        <w:t xml:space="preserve"> </w:t>
      </w:r>
      <w:r>
        <w:t xml:space="preserve">achievement scales in other academic disciplines. This study extended</w:t>
      </w:r>
      <w:r>
        <w:t xml:space="preserve"> </w:t>
      </w:r>
      <w:r>
        <w:t xml:space="preserve">the response time models found by Tancoš et al. (2023) in a</w:t>
      </w:r>
      <w:r>
        <w:t xml:space="preserve"> </w:t>
      </w:r>
      <w:r>
        <w:t xml:space="preserve">fluid-reasoning task to a mathematics achievement assessment involving</w:t>
      </w:r>
      <w:r>
        <w:t xml:space="preserve"> </w:t>
      </w:r>
      <w:r>
        <w:t xml:space="preserve">crystallized intelligence. Researchers and educators alike utilize</w:t>
      </w:r>
      <w:r>
        <w:t xml:space="preserve"> </w:t>
      </w:r>
      <w:r>
        <w:t xml:space="preserve">response time as a catch-all measurement of item suitability, respondent</w:t>
      </w:r>
      <w:r>
        <w:t xml:space="preserve"> </w:t>
      </w:r>
      <w:r>
        <w:t xml:space="preserve">effort, and ability-level, but this study’s results imply response time</w:t>
      </w:r>
      <w:r>
        <w:t xml:space="preserve"> </w:t>
      </w:r>
      <w:r>
        <w:t xml:space="preserve">is not appropriate as a stand-alone diagnostic tool, as response time is</w:t>
      </w:r>
      <w:r>
        <w:t xml:space="preserve"> </w:t>
      </w:r>
      <w:r>
        <w:t xml:space="preserve">influenced by a variety of factors.</w:t>
      </w:r>
    </w:p>
    <w:bookmarkEnd w:id="38"/>
    <w:bookmarkStart w:id="88" w:name="references"/>
    <w:p>
      <w:pPr>
        <w:pStyle w:val="Heading2"/>
      </w:pPr>
      <w:r>
        <w:t xml:space="preserve">References</w:t>
      </w:r>
    </w:p>
    <w:bookmarkStart w:id="87" w:name="refs"/>
    <w:bookmarkStart w:id="40" w:name="ref-Bassili1996"/>
    <w:p>
      <w:pPr>
        <w:pStyle w:val="Bibliography"/>
      </w:pPr>
      <w:r>
        <w:t xml:space="preserve">Bassili, John N, and B Stacey Scott. 1996.</w:t>
      </w:r>
      <w:r>
        <w:t xml:space="preserve"> </w:t>
      </w:r>
      <w:r>
        <w:t xml:space="preserve">“Response Latency as a Signal to Question Problems in Survey Research.”</w:t>
      </w:r>
      <w:r>
        <w:t xml:space="preserve"> </w:t>
      </w:r>
      <w:r>
        <w:rPr>
          <w:i/>
          <w:iCs/>
        </w:rPr>
        <w:t xml:space="preserve">Public Opinion Quarterly</w:t>
      </w:r>
      <w:r>
        <w:t xml:space="preserve"> </w:t>
      </w:r>
      <w:r>
        <w:t xml:space="preserve">60: 390–99.</w:t>
      </w:r>
      <w:r>
        <w:t xml:space="preserve"> </w:t>
      </w:r>
      <w:hyperlink r:id="rId39">
        <w:r>
          <w:rPr>
            <w:rStyle w:val="Hyperlink"/>
          </w:rPr>
          <w:t xml:space="preserve">https://academic.oup.com/poq/article/60/3/390/1832313</w:t>
        </w:r>
      </w:hyperlink>
      <w:r>
        <w:t xml:space="preserve">.</w:t>
      </w:r>
    </w:p>
    <w:bookmarkEnd w:id="40"/>
    <w:bookmarkStart w:id="42" w:name="ref-Bates2015"/>
    <w:p>
      <w:pPr>
        <w:pStyle w:val="Bibliography"/>
      </w:pPr>
      <w:r>
        <w:t xml:space="preserve">Bates, Douglas, Martin Mächler, Ben Bolker, and Steve Walker. 2015.</w:t>
      </w:r>
      <w:r>
        <w:t xml:space="preserve"> </w:t>
      </w:r>
      <w:r>
        <w:t xml:space="preserve">“Fitting Linear Mixed-Effects Models Using Lme4.”</w:t>
      </w:r>
      <w:r>
        <w:t xml:space="preserve"> </w:t>
      </w:r>
      <w:r>
        <w:rPr>
          <w:i/>
          <w:iCs/>
        </w:rPr>
        <w:t xml:space="preserve">Journal of Statistical Software</w:t>
      </w:r>
      <w:r>
        <w:t xml:space="preserve"> </w:t>
      </w:r>
      <w:r>
        <w:t xml:space="preserve">67: 1–48.</w:t>
      </w:r>
      <w:r>
        <w:t xml:space="preserve"> </w:t>
      </w:r>
      <w:hyperlink r:id="rId41">
        <w:r>
          <w:rPr>
            <w:rStyle w:val="Hyperlink"/>
          </w:rPr>
          <w:t xml:space="preserve">https://doi.org/10.18637/jss.v067.i01</w:t>
        </w:r>
      </w:hyperlink>
      <w:r>
        <w:t xml:space="preserve">.</w:t>
      </w:r>
    </w:p>
    <w:bookmarkEnd w:id="42"/>
    <w:bookmarkStart w:id="43" w:name="ref-Beckmann2000"/>
    <w:p>
      <w:pPr>
        <w:pStyle w:val="Bibliography"/>
      </w:pPr>
      <w:r>
        <w:t xml:space="preserve">Beckmann, Jens F. 2000.</w:t>
      </w:r>
      <w:r>
        <w:t xml:space="preserve"> </w:t>
      </w:r>
      <w:r>
        <w:t xml:space="preserve">“Differentielle Latenzzeitefekte Bei Der Bearbeitung von Reasoning-Items.”</w:t>
      </w:r>
      <w:r>
        <w:t xml:space="preserve"> </w:t>
      </w:r>
      <w:r>
        <w:rPr>
          <w:i/>
          <w:iCs/>
        </w:rPr>
        <w:t xml:space="preserve">Diagnostica</w:t>
      </w:r>
      <w:r>
        <w:t xml:space="preserve"> </w:t>
      </w:r>
      <w:r>
        <w:t xml:space="preserve">46: 124–29.</w:t>
      </w:r>
    </w:p>
    <w:bookmarkEnd w:id="43"/>
    <w:bookmarkStart w:id="45" w:name="ref-DeBoeck2019"/>
    <w:p>
      <w:pPr>
        <w:pStyle w:val="Bibliography"/>
      </w:pPr>
      <w:r>
        <w:t xml:space="preserve">Boeck, Paul De, and Minjeong Jeon. 2019.</w:t>
      </w:r>
      <w:r>
        <w:t xml:space="preserve"> </w:t>
      </w:r>
      <w:r>
        <w:t xml:space="preserve">“An Overview of Models for Response Times and Processes in Cognitive Tests.”</w:t>
      </w:r>
      <w:r>
        <w:t xml:space="preserve"> </w:t>
      </w:r>
      <w:r>
        <w:rPr>
          <w:i/>
          <w:iCs/>
        </w:rPr>
        <w:t xml:space="preserve">Frontiers in Psychology</w:t>
      </w:r>
      <w:r>
        <w:t xml:space="preserve"> </w:t>
      </w:r>
      <w:r>
        <w:t xml:space="preserve">10 (February).</w:t>
      </w:r>
      <w:r>
        <w:t xml:space="preserve"> </w:t>
      </w:r>
      <w:hyperlink r:id="rId44">
        <w:r>
          <w:rPr>
            <w:rStyle w:val="Hyperlink"/>
          </w:rPr>
          <w:t xml:space="preserve">https://doi.org/10.3389/fpsyg.2019.00102</w:t>
        </w:r>
      </w:hyperlink>
      <w:r>
        <w:t xml:space="preserve">.</w:t>
      </w:r>
    </w:p>
    <w:bookmarkEnd w:id="45"/>
    <w:bookmarkStart w:id="47" w:name="ref-Bowling2023"/>
    <w:p>
      <w:pPr>
        <w:pStyle w:val="Bibliography"/>
      </w:pPr>
      <w:r>
        <w:t xml:space="preserve">Bowling, Nathan A., Jason L. Huang, Cheyna K. Brower, and Caleb B. Bragg. 2023.</w:t>
      </w:r>
      <w:r>
        <w:t xml:space="preserve"> </w:t>
      </w:r>
      <w:r>
        <w:t xml:space="preserve">“The Quick and the Careless: The Construct Validity of Page Time as a Measure of Insufficient Effort Responding to Surveys.”</w:t>
      </w:r>
      <w:r>
        <w:t xml:space="preserve"> </w:t>
      </w:r>
      <w:r>
        <w:rPr>
          <w:i/>
          <w:iCs/>
        </w:rPr>
        <w:t xml:space="preserve">Organizational Research Methods</w:t>
      </w:r>
      <w:r>
        <w:t xml:space="preserve"> </w:t>
      </w:r>
      <w:r>
        <w:t xml:space="preserve">26 (April): 323–52.</w:t>
      </w:r>
      <w:r>
        <w:t xml:space="preserve"> </w:t>
      </w:r>
      <w:hyperlink r:id="rId46">
        <w:r>
          <w:rPr>
            <w:rStyle w:val="Hyperlink"/>
          </w:rPr>
          <w:t xml:space="preserve">https://doi.org/10.1177/10944281211056520</w:t>
        </w:r>
      </w:hyperlink>
      <w:r>
        <w:t xml:space="preserve">.</w:t>
      </w:r>
    </w:p>
    <w:bookmarkEnd w:id="47"/>
    <w:bookmarkStart w:id="49" w:name="ref-Chalmers2012"/>
    <w:p>
      <w:pPr>
        <w:pStyle w:val="Bibliography"/>
      </w:pPr>
      <w:r>
        <w:t xml:space="preserve">Chalmers, R. Philip. 2012.</w:t>
      </w:r>
      <w:r>
        <w:t xml:space="preserve"> </w:t>
      </w:r>
      <w:r>
        <w:t xml:space="preserve">“Mirt: A Multidimensional Item Response Theory Package for the r Environment.”</w:t>
      </w:r>
      <w:r>
        <w:t xml:space="preserve"> </w:t>
      </w:r>
      <w:r>
        <w:rPr>
          <w:i/>
          <w:iCs/>
        </w:rPr>
        <w:t xml:space="preserve">Journal of Statistical Software</w:t>
      </w:r>
      <w:r>
        <w:t xml:space="preserve"> </w:t>
      </w:r>
      <w:r>
        <w:t xml:space="preserve">48: 1–29.</w:t>
      </w:r>
      <w:r>
        <w:t xml:space="preserve"> </w:t>
      </w:r>
      <w:hyperlink r:id="rId48">
        <w:r>
          <w:rPr>
            <w:rStyle w:val="Hyperlink"/>
          </w:rPr>
          <w:t xml:space="preserve">https://doi.org/10.18637/jss.v048.i06</w:t>
        </w:r>
      </w:hyperlink>
      <w:r>
        <w:t xml:space="preserve">.</w:t>
      </w:r>
    </w:p>
    <w:bookmarkEnd w:id="49"/>
    <w:bookmarkStart w:id="51" w:name="ref-Chan2022"/>
    <w:p>
      <w:pPr>
        <w:pStyle w:val="Bibliography"/>
      </w:pPr>
      <w:r>
        <w:t xml:space="preserve">Chan, Jenny Yun Chen, Erin R. Ottmar, and Ji Eun Lee. 2022.</w:t>
      </w:r>
      <w:r>
        <w:t xml:space="preserve"> </w:t>
      </w:r>
      <w:r>
        <w:t xml:space="preserve">“Slow down to Speed up: Longer Pause Time Before Solving Problems Relates to Higher Strategy Efficiency.”</w:t>
      </w:r>
      <w:r>
        <w:t xml:space="preserve"> </w:t>
      </w:r>
      <w:r>
        <w:rPr>
          <w:i/>
          <w:iCs/>
        </w:rPr>
        <w:t xml:space="preserve">Learning and Individual Differences</w:t>
      </w:r>
      <w:r>
        <w:t xml:space="preserve"> </w:t>
      </w:r>
      <w:r>
        <w:t xml:space="preserve">93 (January).</w:t>
      </w:r>
      <w:r>
        <w:t xml:space="preserve"> </w:t>
      </w:r>
      <w:hyperlink r:id="rId50">
        <w:r>
          <w:rPr>
            <w:rStyle w:val="Hyperlink"/>
          </w:rPr>
          <w:t xml:space="preserve">https://doi.org/10.1016/j.lindif.2021.102109</w:t>
        </w:r>
      </w:hyperlink>
      <w:r>
        <w:t xml:space="preserve">.</w:t>
      </w:r>
    </w:p>
    <w:bookmarkEnd w:id="51"/>
    <w:bookmarkStart w:id="53" w:name="ref-Cred2017"/>
    <w:p>
      <w:pPr>
        <w:pStyle w:val="Bibliography"/>
      </w:pPr>
      <w:r>
        <w:t xml:space="preserve">Credé, Marcus, Michael C. Tynan, and Peter D. Harms. 2017.</w:t>
      </w:r>
      <w:r>
        <w:t xml:space="preserve"> </w:t>
      </w:r>
      <w:r>
        <w:t xml:space="preserve">“Much Ado about Grit: A Meta-Analytic Synthesis of the Grit Literature.”</w:t>
      </w:r>
      <w:r>
        <w:t xml:space="preserve"> </w:t>
      </w:r>
      <w:r>
        <w:rPr>
          <w:i/>
          <w:iCs/>
        </w:rPr>
        <w:t xml:space="preserve">Journal of Personality and Social Psychology</w:t>
      </w:r>
      <w:r>
        <w:t xml:space="preserve"> </w:t>
      </w:r>
      <w:r>
        <w:t xml:space="preserve">113 (September): 492–511.</w:t>
      </w:r>
      <w:r>
        <w:t xml:space="preserve"> </w:t>
      </w:r>
      <w:hyperlink r:id="rId52">
        <w:r>
          <w:rPr>
            <w:rStyle w:val="Hyperlink"/>
          </w:rPr>
          <w:t xml:space="preserve">https://doi.org/10.1037/pspp0000102</w:t>
        </w:r>
      </w:hyperlink>
      <w:r>
        <w:t xml:space="preserve">.</w:t>
      </w:r>
    </w:p>
    <w:bookmarkEnd w:id="53"/>
    <w:bookmarkStart w:id="55" w:name="ref-Duckworth2007"/>
    <w:p>
      <w:pPr>
        <w:pStyle w:val="Bibliography"/>
      </w:pPr>
      <w:r>
        <w:t xml:space="preserve">Duckworth, Angela L., Christopher Peterson, Michael D. Matthews, and Dennis R. Kelly. 2007.</w:t>
      </w:r>
      <w:r>
        <w:t xml:space="preserve"> </w:t>
      </w:r>
      <w:r>
        <w:t xml:space="preserve">“Grit: Perseverance and Passion for Long-Term Goals.”</w:t>
      </w:r>
      <w:r>
        <w:t xml:space="preserve"> </w:t>
      </w:r>
      <w:r>
        <w:rPr>
          <w:i/>
          <w:iCs/>
        </w:rPr>
        <w:t xml:space="preserve">Journal of Personality and Social Psychology</w:t>
      </w:r>
      <w:r>
        <w:t xml:space="preserve"> </w:t>
      </w:r>
      <w:r>
        <w:t xml:space="preserve">92 (June): 1087–1101.</w:t>
      </w:r>
      <w:r>
        <w:t xml:space="preserve"> </w:t>
      </w:r>
      <w:hyperlink r:id="rId54">
        <w:r>
          <w:rPr>
            <w:rStyle w:val="Hyperlink"/>
          </w:rPr>
          <w:t xml:space="preserve">https://doi.org/10.1037/0022-3514.92.6.1087</w:t>
        </w:r>
      </w:hyperlink>
      <w:r>
        <w:t xml:space="preserve">.</w:t>
      </w:r>
    </w:p>
    <w:bookmarkEnd w:id="55"/>
    <w:bookmarkStart w:id="57" w:name="ref-Ferrando2007"/>
    <w:p>
      <w:pPr>
        <w:pStyle w:val="Bibliography"/>
      </w:pPr>
      <w:r>
        <w:t xml:space="preserve">Ferrando, Pere J., and Urbano Lorenzo-Seva. 2007.</w:t>
      </w:r>
      <w:r>
        <w:t xml:space="preserve"> </w:t>
      </w:r>
      <w:r>
        <w:t xml:space="preserve">“A Measurement Model for Likert Responses That Incorporates Response Time.”</w:t>
      </w:r>
      <w:r>
        <w:t xml:space="preserve"> </w:t>
      </w:r>
      <w:r>
        <w:rPr>
          <w:i/>
          <w:iCs/>
        </w:rPr>
        <w:t xml:space="preserve">Multivariate Behavioral Research</w:t>
      </w:r>
      <w:r>
        <w:t xml:space="preserve"> </w:t>
      </w:r>
      <w:r>
        <w:t xml:space="preserve">42 (December): 675–706.</w:t>
      </w:r>
      <w:r>
        <w:t xml:space="preserve"> </w:t>
      </w:r>
      <w:hyperlink r:id="rId56">
        <w:r>
          <w:rPr>
            <w:rStyle w:val="Hyperlink"/>
          </w:rPr>
          <w:t xml:space="preserve">https://doi.org/10.1080/00273170701710247</w:t>
        </w:r>
      </w:hyperlink>
      <w:r>
        <w:t xml:space="preserve">.</w:t>
      </w:r>
    </w:p>
    <w:bookmarkEnd w:id="57"/>
    <w:bookmarkStart w:id="58" w:name="ref-Fox2019"/>
    <w:p>
      <w:pPr>
        <w:pStyle w:val="Bibliography"/>
      </w:pPr>
      <w:r>
        <w:t xml:space="preserve">Fox, John, and Sanford Weisberg. 2019.</w:t>
      </w:r>
      <w:r>
        <w:t xml:space="preserve"> </w:t>
      </w:r>
      <w:r>
        <w:rPr>
          <w:i/>
          <w:iCs/>
        </w:rPr>
        <w:t xml:space="preserve">An r Companion to Applied Regression</w:t>
      </w:r>
      <w:r>
        <w:t xml:space="preserve">. Third. Sage.</w:t>
      </w:r>
    </w:p>
    <w:bookmarkEnd w:id="58"/>
    <w:bookmarkStart w:id="60" w:name="ref-Gernsbacher2020"/>
    <w:p>
      <w:pPr>
        <w:pStyle w:val="Bibliography"/>
      </w:pPr>
      <w:r>
        <w:t xml:space="preserve">Gernsbacher, Morton Ann, Raechel N. Soicher, and Kathryn A. Becker-Blease. 2020.</w:t>
      </w:r>
      <w:r>
        <w:t xml:space="preserve"> </w:t>
      </w:r>
      <w:r>
        <w:t xml:space="preserve">“Four Empirically Based Reasons Not to Administer Time-Limited Tests.”</w:t>
      </w:r>
      <w:r>
        <w:t xml:space="preserve"> </w:t>
      </w:r>
      <w:r>
        <w:rPr>
          <w:i/>
          <w:iCs/>
        </w:rPr>
        <w:t xml:space="preserve">Translational Issues in Psychological Science</w:t>
      </w:r>
      <w:r>
        <w:t xml:space="preserve"> </w:t>
      </w:r>
      <w:r>
        <w:t xml:space="preserve">6 (June): 175–90.</w:t>
      </w:r>
      <w:r>
        <w:t xml:space="preserve"> </w:t>
      </w:r>
      <w:hyperlink r:id="rId59">
        <w:r>
          <w:rPr>
            <w:rStyle w:val="Hyperlink"/>
          </w:rPr>
          <w:t xml:space="preserve">https://doi.org/10.1037/tps0000232</w:t>
        </w:r>
      </w:hyperlink>
      <w:r>
        <w:t xml:space="preserve">.</w:t>
      </w:r>
    </w:p>
    <w:bookmarkEnd w:id="60"/>
    <w:bookmarkStart w:id="62" w:name="ref-Hhne2017"/>
    <w:p>
      <w:pPr>
        <w:pStyle w:val="Bibliography"/>
      </w:pPr>
      <w:r>
        <w:t xml:space="preserve">Höhne, Jan Karem, Stephan Schlosser, and Dagmar Krebs. 2017.</w:t>
      </w:r>
      <w:r>
        <w:t xml:space="preserve"> </w:t>
      </w:r>
      <w:r>
        <w:t xml:space="preserve">“Investigating Cognitive Effort and Response Quality of Question Formats in Web Surveys Using Paradata.”</w:t>
      </w:r>
      <w:r>
        <w:t xml:space="preserve"> </w:t>
      </w:r>
      <w:r>
        <w:rPr>
          <w:i/>
          <w:iCs/>
        </w:rPr>
        <w:t xml:space="preserve">Field Methods</w:t>
      </w:r>
      <w:r>
        <w:t xml:space="preserve"> </w:t>
      </w:r>
      <w:r>
        <w:t xml:space="preserve">29 (November): 365–82.</w:t>
      </w:r>
      <w:r>
        <w:t xml:space="preserve"> </w:t>
      </w:r>
      <w:hyperlink r:id="rId61">
        <w:r>
          <w:rPr>
            <w:rStyle w:val="Hyperlink"/>
          </w:rPr>
          <w:t xml:space="preserve">https://doi.org/10.1177/1525822X17710640</w:t>
        </w:r>
      </w:hyperlink>
      <w:r>
        <w:t xml:space="preserve">.</w:t>
      </w:r>
    </w:p>
    <w:bookmarkEnd w:id="62"/>
    <w:bookmarkStart w:id="64" w:name="ref-Krosnick1991"/>
    <w:p>
      <w:pPr>
        <w:pStyle w:val="Bibliography"/>
      </w:pPr>
      <w:r>
        <w:t xml:space="preserve">Krosnick, Jon A. 1991.</w:t>
      </w:r>
      <w:r>
        <w:t xml:space="preserve"> </w:t>
      </w:r>
      <w:r>
        <w:t xml:space="preserve">“Response Strategies for Coping with the Cognitive Demands of Attitude Measures in Surveys.”</w:t>
      </w:r>
      <w:r>
        <w:t xml:space="preserve"> </w:t>
      </w:r>
      <w:r>
        <w:rPr>
          <w:i/>
          <w:iCs/>
        </w:rPr>
        <w:t xml:space="preserve">Applied Cognitive Psychology</w:t>
      </w:r>
      <w:r>
        <w:t xml:space="preserve"> </w:t>
      </w:r>
      <w:r>
        <w:t xml:space="preserve">5: 213–36.</w:t>
      </w:r>
      <w:r>
        <w:t xml:space="preserve"> </w:t>
      </w:r>
      <w:hyperlink r:id="rId63">
        <w:r>
          <w:rPr>
            <w:rStyle w:val="Hyperlink"/>
          </w:rPr>
          <w:t xml:space="preserve">https://doi.org/10.1002/acp.2350050305</w:t>
        </w:r>
      </w:hyperlink>
      <w:r>
        <w:t xml:space="preserve">.</w:t>
      </w:r>
    </w:p>
    <w:bookmarkEnd w:id="64"/>
    <w:bookmarkStart w:id="66" w:name="ref-Kuznetsova2017"/>
    <w:p>
      <w:pPr>
        <w:pStyle w:val="Bibliography"/>
      </w:pPr>
      <w:r>
        <w:t xml:space="preserve">Kuznetsova, Alexandra, Per B. Brockhoff, and Rune H. B. Christensen. 2017.</w:t>
      </w:r>
      <w:r>
        <w:t xml:space="preserve"> </w:t>
      </w:r>
      <w:r>
        <w:t xml:space="preserve">“lmerTest Package: Tests in Linear Mixed Effects Models.”</w:t>
      </w:r>
      <w:r>
        <w:t xml:space="preserve"> </w:t>
      </w:r>
      <w:r>
        <w:rPr>
          <w:i/>
          <w:iCs/>
        </w:rPr>
        <w:t xml:space="preserve">Journal of Statistical Software</w:t>
      </w:r>
      <w:r>
        <w:t xml:space="preserve"> </w:t>
      </w:r>
      <w:r>
        <w:t xml:space="preserve">82: 1–26.</w:t>
      </w:r>
      <w:r>
        <w:t xml:space="preserve"> </w:t>
      </w:r>
      <w:hyperlink r:id="rId65">
        <w:r>
          <w:rPr>
            <w:rStyle w:val="Hyperlink"/>
          </w:rPr>
          <w:t xml:space="preserve">https://doi.org/10.18637/jss.v082.i13</w:t>
        </w:r>
      </w:hyperlink>
      <w:r>
        <w:t xml:space="preserve">.</w:t>
      </w:r>
    </w:p>
    <w:bookmarkEnd w:id="66"/>
    <w:bookmarkStart w:id="68" w:name="ref-Lenzner2012"/>
    <w:p>
      <w:pPr>
        <w:pStyle w:val="Bibliography"/>
      </w:pPr>
      <w:r>
        <w:t xml:space="preserve">Lenzner, Timo. 2012.</w:t>
      </w:r>
      <w:r>
        <w:t xml:space="preserve"> </w:t>
      </w:r>
      <w:r>
        <w:t xml:space="preserve">“Effects of Survey Question Comprehensibility on Response Quality.”</w:t>
      </w:r>
      <w:r>
        <w:t xml:space="preserve"> </w:t>
      </w:r>
      <w:r>
        <w:rPr>
          <w:i/>
          <w:iCs/>
        </w:rPr>
        <w:t xml:space="preserve">Field Methods</w:t>
      </w:r>
      <w:r>
        <w:t xml:space="preserve"> </w:t>
      </w:r>
      <w:r>
        <w:t xml:space="preserve">24 (November): 409–28.</w:t>
      </w:r>
      <w:r>
        <w:t xml:space="preserve"> </w:t>
      </w:r>
      <w:hyperlink r:id="rId67">
        <w:r>
          <w:rPr>
            <w:rStyle w:val="Hyperlink"/>
          </w:rPr>
          <w:t xml:space="preserve">https://doi.org/10.1177/1525822X12448166</w:t>
        </w:r>
      </w:hyperlink>
      <w:r>
        <w:t xml:space="preserve">.</w:t>
      </w:r>
    </w:p>
    <w:bookmarkEnd w:id="68"/>
    <w:bookmarkStart w:id="70" w:name="ref-Lenzner2010"/>
    <w:p>
      <w:pPr>
        <w:pStyle w:val="Bibliography"/>
      </w:pPr>
      <w:r>
        <w:t xml:space="preserve">Lenzner, Timo, Lars Kaczmirek, and Alwine Lenzner. 2010.</w:t>
      </w:r>
      <w:r>
        <w:t xml:space="preserve"> </w:t>
      </w:r>
      <w:r>
        <w:t xml:space="preserve">“Cognitive Burden of Survey Questions and Response Times: A Psycholinguistic Experiment.”</w:t>
      </w:r>
      <w:r>
        <w:t xml:space="preserve"> </w:t>
      </w:r>
      <w:r>
        <w:rPr>
          <w:i/>
          <w:iCs/>
        </w:rPr>
        <w:t xml:space="preserve">Applied Cognitive Psychology</w:t>
      </w:r>
      <w:r>
        <w:t xml:space="preserve"> </w:t>
      </w:r>
      <w:r>
        <w:t xml:space="preserve">24 (October): 1003–20.</w:t>
      </w:r>
      <w:r>
        <w:t xml:space="preserve"> </w:t>
      </w:r>
      <w:hyperlink r:id="rId69">
        <w:r>
          <w:rPr>
            <w:rStyle w:val="Hyperlink"/>
          </w:rPr>
          <w:t xml:space="preserve">https://doi.org/10.1002/acp.1602</w:t>
        </w:r>
      </w:hyperlink>
      <w:r>
        <w:t xml:space="preserve">.</w:t>
      </w:r>
    </w:p>
    <w:bookmarkEnd w:id="70"/>
    <w:bookmarkStart w:id="72" w:name="ref-Mullis2020"/>
    <w:p>
      <w:pPr>
        <w:pStyle w:val="Bibliography"/>
      </w:pPr>
      <w:r>
        <w:t xml:space="preserve">Mullis, I. V. S., M. O. Martin, P. Foy, D. L. Kelly, and B. Fishbein. 2020.</w:t>
      </w:r>
      <w:r>
        <w:t xml:space="preserve"> </w:t>
      </w:r>
      <w:r>
        <w:t xml:space="preserve">“TIMSS 2019 International Results in Mathematics and Science.”</w:t>
      </w:r>
      <w:r>
        <w:t xml:space="preserve"> </w:t>
      </w:r>
      <w:r>
        <w:rPr>
          <w:i/>
          <w:iCs/>
        </w:rPr>
        <w:t xml:space="preserve">Boston College, TIMSS &amp; PIRLS International Study Center Website</w:t>
      </w:r>
      <w:r>
        <w:t xml:space="preserve">.</w:t>
      </w:r>
      <w:r>
        <w:t xml:space="preserve"> </w:t>
      </w:r>
      <w:hyperlink r:id="rId71">
        <w:r>
          <w:rPr>
            <w:rStyle w:val="Hyperlink"/>
          </w:rPr>
          <w:t xml:space="preserve">https://timssandpirls.bc.edu/timss2019/international-results/</w:t>
        </w:r>
      </w:hyperlink>
      <w:r>
        <w:t xml:space="preserve">.</w:t>
      </w:r>
    </w:p>
    <w:bookmarkEnd w:id="72"/>
    <w:bookmarkStart w:id="74" w:name="ref-Nagy2022"/>
    <w:p>
      <w:pPr>
        <w:pStyle w:val="Bibliography"/>
      </w:pPr>
      <w:r>
        <w:t xml:space="preserve">Nagy, Gabriel, and Esther Ulitzsch. 2022.</w:t>
      </w:r>
      <w:r>
        <w:t xml:space="preserve"> </w:t>
      </w:r>
      <w:r>
        <w:t xml:space="preserve">“A Multilevel Mixture IRT Framework for Modeling Response Times as Predictors or Indicators of Response Engagement in IRT Models.”</w:t>
      </w:r>
      <w:r>
        <w:t xml:space="preserve"> </w:t>
      </w:r>
      <w:r>
        <w:rPr>
          <w:i/>
          <w:iCs/>
        </w:rPr>
        <w:t xml:space="preserve">Educational and Psychological Measurement</w:t>
      </w:r>
      <w:r>
        <w:t xml:space="preserve"> </w:t>
      </w:r>
      <w:r>
        <w:t xml:space="preserve">82 (October): 845–79.</w:t>
      </w:r>
      <w:r>
        <w:t xml:space="preserve"> </w:t>
      </w:r>
      <w:hyperlink r:id="rId73">
        <w:r>
          <w:rPr>
            <w:rStyle w:val="Hyperlink"/>
          </w:rPr>
          <w:t xml:space="preserve">https://doi.org/10.1177/00131644211045351</w:t>
        </w:r>
      </w:hyperlink>
      <w:r>
        <w:t xml:space="preserve">.</w:t>
      </w:r>
    </w:p>
    <w:bookmarkEnd w:id="74"/>
    <w:bookmarkStart w:id="75" w:name="ref-Nguyen2017"/>
    <w:p>
      <w:pPr>
        <w:pStyle w:val="Bibliography"/>
      </w:pPr>
      <w:r>
        <w:t xml:space="preserve">Nguyen, Hung Loan T. 2017.</w:t>
      </w:r>
      <w:r>
        <w:t xml:space="preserve"> </w:t>
      </w:r>
      <w:r>
        <w:t xml:space="preserve">“Tired of Survey Fatigue? Insufficient Effort Responding Due to Survey Fatigue.”</w:t>
      </w:r>
      <w:r>
        <w:t xml:space="preserve"> </w:t>
      </w:r>
      <w:r>
        <w:t xml:space="preserve">PhD thesis, Middle Tennessee State University.</w:t>
      </w:r>
    </w:p>
    <w:bookmarkEnd w:id="75"/>
    <w:bookmarkStart w:id="77" w:name="ref-Steinmayr2018"/>
    <w:p>
      <w:pPr>
        <w:pStyle w:val="Bibliography"/>
      </w:pPr>
      <w:r>
        <w:t xml:space="preserve">Steinmayr, Ricarda, Anne F. Weidinger, and Allan Wigfield. 2018.</w:t>
      </w:r>
      <w:r>
        <w:t xml:space="preserve"> </w:t>
      </w:r>
      <w:r>
        <w:t xml:space="preserve">“Does Students’ Grit Predict Their School Achievement Above and Beyond Their Personality, Motivation, and Engagement?”</w:t>
      </w:r>
      <w:r>
        <w:t xml:space="preserve"> </w:t>
      </w:r>
      <w:r>
        <w:rPr>
          <w:i/>
          <w:iCs/>
        </w:rPr>
        <w:t xml:space="preserve">Contemporary Educational Psychology</w:t>
      </w:r>
      <w:r>
        <w:t xml:space="preserve"> </w:t>
      </w:r>
      <w:r>
        <w:t xml:space="preserve">53 (April): 106–22.</w:t>
      </w:r>
      <w:r>
        <w:t xml:space="preserve"> </w:t>
      </w:r>
      <w:hyperlink r:id="rId76">
        <w:r>
          <w:rPr>
            <w:rStyle w:val="Hyperlink"/>
          </w:rPr>
          <w:t xml:space="preserve">https://doi.org/10.1016/j.cedpsych.2018.02.004</w:t>
        </w:r>
      </w:hyperlink>
      <w:r>
        <w:t xml:space="preserve">.</w:t>
      </w:r>
    </w:p>
    <w:bookmarkEnd w:id="77"/>
    <w:bookmarkStart w:id="79" w:name="ref-Tanco2023"/>
    <w:p>
      <w:pPr>
        <w:pStyle w:val="Bibliography"/>
      </w:pPr>
      <w:r>
        <w:t xml:space="preserve">Tancoš, Martin, Edita Chvojka, Michal Jabůrek, and Šárka Portešová. 2023.</w:t>
      </w:r>
      <w:r>
        <w:t xml:space="preserve"> </w:t>
      </w:r>
      <w:r>
        <w:t xml:space="preserve">“Faster ≠ Smarter: Children with Higher Levels of Ability Take Longer to Give Incorrect Answers, Especially When the Task Matches Their Ability.”</w:t>
      </w:r>
      <w:r>
        <w:t xml:space="preserve"> </w:t>
      </w:r>
      <w:r>
        <w:rPr>
          <w:i/>
          <w:iCs/>
        </w:rPr>
        <w:t xml:space="preserve">Journal of Intelligence</w:t>
      </w:r>
      <w:r>
        <w:t xml:space="preserve"> </w:t>
      </w:r>
      <w:r>
        <w:t xml:space="preserve">11 (April).</w:t>
      </w:r>
      <w:r>
        <w:t xml:space="preserve"> </w:t>
      </w:r>
      <w:hyperlink r:id="rId78">
        <w:r>
          <w:rPr>
            <w:rStyle w:val="Hyperlink"/>
          </w:rPr>
          <w:t xml:space="preserve">https://doi.org/10.3390/jintelligence11040063</w:t>
        </w:r>
      </w:hyperlink>
      <w:r>
        <w:t xml:space="preserve">.</w:t>
      </w:r>
    </w:p>
    <w:bookmarkEnd w:id="79"/>
    <w:bookmarkStart w:id="81" w:name="ref-RCoreTeam2019"/>
    <w:p>
      <w:pPr>
        <w:pStyle w:val="Bibliography"/>
      </w:pPr>
      <w:r>
        <w:t xml:space="preserve">Team, R Core. 2019.</w:t>
      </w:r>
      <w:r>
        <w:t xml:space="preserve"> </w:t>
      </w:r>
      <w:r>
        <w:t xml:space="preserve">“R: A Language and Environment for Statistical Computing.”</w:t>
      </w:r>
      <w:r>
        <w:t xml:space="preserve"> </w:t>
      </w:r>
      <w:r>
        <w:t xml:space="preserve">R Foundation for Statistical Computing.</w:t>
      </w:r>
      <w:r>
        <w:t xml:space="preserve"> </w:t>
      </w:r>
      <w:hyperlink r:id="rId80">
        <w:r>
          <w:rPr>
            <w:rStyle w:val="Hyperlink"/>
          </w:rPr>
          <w:t xml:space="preserve">http://www.R-project.org/</w:t>
        </w:r>
      </w:hyperlink>
      <w:r>
        <w:t xml:space="preserve">.</w:t>
      </w:r>
    </w:p>
    <w:bookmarkEnd w:id="81"/>
    <w:bookmarkStart w:id="82" w:name="ref-Thissen1983"/>
    <w:p>
      <w:pPr>
        <w:pStyle w:val="Bibliography"/>
      </w:pPr>
      <w:r>
        <w:t xml:space="preserve">Thissen, David. 1983.</w:t>
      </w:r>
      <w:r>
        <w:t xml:space="preserve"> </w:t>
      </w:r>
      <w:r>
        <w:t xml:space="preserve">“Timed Testing- an Approach Using Item Response Theory.”</w:t>
      </w:r>
      <w:r>
        <w:t xml:space="preserve"> </w:t>
      </w:r>
      <w:r>
        <w:t xml:space="preserve">In</w:t>
      </w:r>
      <w:r>
        <w:t xml:space="preserve"> </w:t>
      </w:r>
      <w:r>
        <w:rPr>
          <w:i/>
          <w:iCs/>
        </w:rPr>
        <w:t xml:space="preserve">New Horizons in Testing: Latent Trait Test Theory and Computerized Adaptive Testing</w:t>
      </w:r>
      <w:r>
        <w:t xml:space="preserve">, 179–203.</w:t>
      </w:r>
    </w:p>
    <w:bookmarkEnd w:id="82"/>
    <w:bookmarkStart w:id="84" w:name="ref-Ulitzsch2022"/>
    <w:p>
      <w:pPr>
        <w:pStyle w:val="Bibliography"/>
      </w:pPr>
      <w:r>
        <w:t xml:space="preserve">Ulitzsch, Esther, Steffi Pohl, Lale Khorramdel, Ulf Kroehne, and Matthias von Davier. 2022.</w:t>
      </w:r>
      <w:r>
        <w:t xml:space="preserve"> </w:t>
      </w:r>
      <w:r>
        <w:t xml:space="preserve">“A Response-Time-Based Latent Response Mixture Model for Identifying and Modeling Careless and Insufficient Effort Responding in Survey Data.”</w:t>
      </w:r>
      <w:r>
        <w:t xml:space="preserve"> </w:t>
      </w:r>
      <w:r>
        <w:rPr>
          <w:i/>
          <w:iCs/>
        </w:rPr>
        <w:t xml:space="preserve">Psychometrika</w:t>
      </w:r>
      <w:r>
        <w:t xml:space="preserve"> </w:t>
      </w:r>
      <w:r>
        <w:t xml:space="preserve">87 (June): 593–619.</w:t>
      </w:r>
      <w:r>
        <w:t xml:space="preserve"> </w:t>
      </w:r>
      <w:hyperlink r:id="rId83">
        <w:r>
          <w:rPr>
            <w:rStyle w:val="Hyperlink"/>
          </w:rPr>
          <w:t xml:space="preserve">https://doi.org/10.1007/s11336-021-09817-7</w:t>
        </w:r>
      </w:hyperlink>
      <w:r>
        <w:t xml:space="preserve">.</w:t>
      </w:r>
    </w:p>
    <w:bookmarkEnd w:id="84"/>
    <w:bookmarkStart w:id="86" w:name="ref-Wise2006"/>
    <w:p>
      <w:pPr>
        <w:pStyle w:val="Bibliography"/>
      </w:pPr>
      <w:r>
        <w:t xml:space="preserve">Wise, Steven L, and Christine E Demars. 2006.</w:t>
      </w:r>
      <w:r>
        <w:t xml:space="preserve"> </w:t>
      </w:r>
      <w:r>
        <w:t xml:space="preserve">“An Application of Item Response Time: The Effort-Moderated IRT Model National Council on Measurement in Education.”</w:t>
      </w:r>
      <w:r>
        <w:t xml:space="preserve"> </w:t>
      </w:r>
      <w:r>
        <w:rPr>
          <w:i/>
          <w:iCs/>
        </w:rPr>
        <w:t xml:space="preserve">Source: Journal of Educational Measurement</w:t>
      </w:r>
      <w:r>
        <w:t xml:space="preserve">. Vol. 43.</w:t>
      </w:r>
      <w:r>
        <w:t xml:space="preserve"> </w:t>
      </w:r>
      <w:hyperlink r:id="rId85">
        <w:r>
          <w:rPr>
            <w:rStyle w:val="Hyperlink"/>
          </w:rPr>
          <w:t xml:space="preserve">https://www.jstor.org/stable/20461807</w:t>
        </w:r>
      </w:hyperlink>
      <w:r>
        <w:t xml:space="preserve">.</w:t>
      </w:r>
    </w:p>
    <w:bookmarkEnd w:id="86"/>
    <w:bookmarkEnd w:id="87"/>
    <w:bookmarkEnd w:id="88"/>
    <w:bookmarkStart w:id="99" w:name="tables"/>
    <w:p>
      <w:pPr>
        <w:pStyle w:val="Heading2"/>
      </w:pPr>
      <w:r>
        <w:t xml:space="preserve">Tables</w:t>
      </w:r>
    </w:p>
    <w:tbl>
      <w:tblPr>
        <w:tblStyle w:val="Table"/>
        <w:tblW w:type="pct" w:w="5000"/>
        <w:tblLayout w:type="fixed"/>
        <w:tblLook w:firstRow="0" w:lastRow="0" w:firstColumn="0" w:lastColumn="0" w:noHBand="0" w:noVBand="0" w:val="0000"/>
      </w:tblPr>
      <w:tblGrid>
        <w:gridCol w:w="7920"/>
      </w:tblGrid>
      <w:tr>
        <w:tc>
          <w:tcPr/>
          <w:bookmarkStart w:id="89" w:name="tbl-Table1"/>
          <w:p>
            <w:pPr>
              <w:jc w:val="center"/>
            </w:pPr>
            <w:pPr>
              <w:jc w:val="start"/>
              <w:spacing w:before="200"/>
              <w:pStyle w:val="ImageCaption"/>
            </w:pPr>
            <w:r>
              <w:t xml:space="preserve">Table 1. Descriptive Statistics</w:t>
            </w:r>
          </w:p>
          <w:tbl>
            <w:tblPr>
              <w:tblStyle w:val="Table"/>
              <w:tblW w:type="auto" w:w="0"/>
              <w:tblLook w:firstRow="1" w:lastRow="0" w:firstColumn="0" w:lastColumn="0" w:noHBand="0" w:noVBand="0" w:val="0020"/>
            </w:tblPr>
            <w:tblGrid>
              <w:gridCol w:w="990"/>
              <w:gridCol w:w="990"/>
              <w:gridCol w:w="990"/>
              <w:gridCol w:w="990"/>
              <w:gridCol w:w="990"/>
              <w:gridCol w:w="990"/>
              <w:gridCol w:w="990"/>
              <w:gridCol w:w="990"/>
            </w:tblGrid>
            <w:tr>
              <w:trPr>
                <w:tblHeader w:val="on"/>
              </w:trPr>
              <w:tc>
                <w:tcPr/>
                <w:p>
                  <w:pPr>
                    <w:pStyle w:val="Compact"/>
                    <w:jc w:val="center"/>
                  </w:pPr>
                  <w:r>
                    <w:t xml:space="preserve">Item</w:t>
                  </w:r>
                </w:p>
              </w:tc>
              <w:tc>
                <w:tcPr/>
                <w:p>
                  <w:pPr>
                    <w:pStyle w:val="Compact"/>
                    <w:jc w:val="center"/>
                  </w:pPr>
                  <w:r>
                    <w:t xml:space="preserve">Sample</w:t>
                  </w:r>
                </w:p>
              </w:tc>
              <w:tc>
                <w:tcPr/>
                <w:p>
                  <w:pPr>
                    <w:pStyle w:val="Compact"/>
                    <w:jc w:val="center"/>
                  </w:pPr>
                  <w:r>
                    <w:t xml:space="preserve">Item Difficulty</w:t>
                  </w:r>
                </w:p>
              </w:tc>
              <w:tc>
                <w:tcPr/>
                <w:p>
                  <w:pPr>
                    <w:pStyle w:val="Compact"/>
                    <w:jc w:val="center"/>
                  </w:pPr>
                  <w:r>
                    <w:t xml:space="preserve">Item Discrimination</w:t>
                  </w:r>
                </w:p>
              </w:tc>
              <w:tc>
                <w:tcPr>
                  <w:gridSpan w:val="2"/>
                </w:tcPr>
                <w:p>
                  <w:pPr>
                    <w:pStyle w:val="Compact"/>
                    <w:jc w:val="center"/>
                  </w:pPr>
                  <w:r>
                    <w:t xml:space="preserve">Response (Proportion Correct)</w:t>
                  </w:r>
                </w:p>
              </w:tc>
              <w:tc>
                <w:tcPr>
                  <w:gridSpan w:val="2"/>
                </w:tcPr>
                <w:p>
                  <w:pPr>
                    <w:pStyle w:val="Compact"/>
                    <w:jc w:val="center"/>
                  </w:pPr>
                  <w:r>
                    <w:t xml:space="preserve">Response Time (Seconds)</w:t>
                  </w:r>
                </w:p>
              </w:tc>
            </w:tr>
            <w:tr>
              <w:trPr>
                <w:tblHeader w:val="on"/>
              </w:trPr>
              <w:tc>
                <w:tcPr/>
                <w:p>
                  <w:pPr>
                    <w:pStyle w:val="Compact"/>
                  </w:pPr>
                </w:p>
              </w:tc>
              <w:tc>
                <w:tcPr/>
                <w:p>
                  <w:pPr>
                    <w:pStyle w:val="Compact"/>
                  </w:pPr>
                </w:p>
              </w:tc>
              <w:tc>
                <w:tcPr/>
                <w:p>
                  <w:pPr>
                    <w:pStyle w:val="Compact"/>
                  </w:pPr>
                </w:p>
              </w:tc>
              <w:tc>
                <w:tcPr/>
                <w:p>
                  <w:pPr>
                    <w:pStyle w:val="Compact"/>
                  </w:pPr>
                </w:p>
              </w:tc>
              <w:tc>
                <w:tcPr/>
                <w:p>
                  <w:pPr>
                    <w:pStyle w:val="Compact"/>
                    <w:jc w:val="center"/>
                  </w:pPr>
                  <w:r>
                    <w:t xml:space="preserve">M</w:t>
                  </w:r>
                </w:p>
              </w:tc>
              <w:tc>
                <w:tcPr/>
                <w:p>
                  <w:pPr>
                    <w:pStyle w:val="Compact"/>
                    <w:jc w:val="center"/>
                  </w:pPr>
                  <w:r>
                    <w:t xml:space="preserve">SD</w:t>
                  </w:r>
                </w:p>
              </w:tc>
              <w:tc>
                <w:tcPr/>
                <w:p>
                  <w:pPr>
                    <w:pStyle w:val="Compact"/>
                    <w:jc w:val="center"/>
                  </w:pPr>
                  <w:r>
                    <w:t xml:space="preserve">M</w:t>
                  </w:r>
                </w:p>
              </w:tc>
              <w:tc>
                <w:tcPr/>
                <w:p>
                  <w:pPr>
                    <w:pStyle w:val="Compact"/>
                    <w:jc w:val="center"/>
                  </w:pPr>
                  <w:r>
                    <w:t xml:space="preserve">SD</w:t>
                  </w:r>
                </w:p>
              </w:tc>
            </w:tr>
            <w:tr>
              <w:tc>
                <w:tcPr/>
                <w:p>
                  <w:pPr>
                    <w:pStyle w:val="Compact"/>
                    <w:jc w:val="center"/>
                  </w:pPr>
                  <w:r>
                    <w:t xml:space="preserve">1</w:t>
                  </w:r>
                </w:p>
              </w:tc>
              <w:tc>
                <w:tcPr/>
                <w:p>
                  <w:pPr>
                    <w:pStyle w:val="Compact"/>
                    <w:jc w:val="center"/>
                  </w:pPr>
                  <w:r>
                    <w:t xml:space="preserve">552</w:t>
                  </w:r>
                </w:p>
              </w:tc>
              <w:tc>
                <w:tcPr/>
                <w:p>
                  <w:pPr>
                    <w:pStyle w:val="Compact"/>
                    <w:jc w:val="center"/>
                  </w:pPr>
                  <w:r>
                    <w:t xml:space="preserve">-0.13</w:t>
                  </w:r>
                </w:p>
              </w:tc>
              <w:tc>
                <w:tcPr/>
                <w:p>
                  <w:pPr>
                    <w:pStyle w:val="Compact"/>
                    <w:jc w:val="center"/>
                  </w:pPr>
                  <w:r>
                    <w:t xml:space="preserve">1.01</w:t>
                  </w:r>
                </w:p>
              </w:tc>
              <w:tc>
                <w:tcPr/>
                <w:p>
                  <w:pPr>
                    <w:pStyle w:val="Compact"/>
                    <w:jc w:val="center"/>
                  </w:pPr>
                  <w:r>
                    <w:t xml:space="preserve">0.53</w:t>
                  </w:r>
                </w:p>
              </w:tc>
              <w:tc>
                <w:tcPr/>
                <w:p>
                  <w:pPr>
                    <w:pStyle w:val="Compact"/>
                    <w:jc w:val="center"/>
                  </w:pPr>
                  <w:r>
                    <w:t xml:space="preserve">0.50</w:t>
                  </w:r>
                </w:p>
              </w:tc>
              <w:tc>
                <w:tcPr/>
                <w:p>
                  <w:pPr>
                    <w:pStyle w:val="Compact"/>
                    <w:jc w:val="center"/>
                  </w:pPr>
                  <w:r>
                    <w:t xml:space="preserve">40.90</w:t>
                  </w:r>
                </w:p>
              </w:tc>
              <w:tc>
                <w:tcPr/>
                <w:p>
                  <w:pPr>
                    <w:pStyle w:val="Compact"/>
                    <w:jc w:val="center"/>
                  </w:pPr>
                  <w:r>
                    <w:t xml:space="preserve">47.73</w:t>
                  </w:r>
                </w:p>
              </w:tc>
            </w:tr>
            <w:tr>
              <w:tc>
                <w:tcPr/>
                <w:p>
                  <w:pPr>
                    <w:pStyle w:val="Compact"/>
                    <w:jc w:val="center"/>
                  </w:pPr>
                  <w:r>
                    <w:t xml:space="preserve">2</w:t>
                  </w:r>
                </w:p>
              </w:tc>
              <w:tc>
                <w:tcPr/>
                <w:p>
                  <w:pPr>
                    <w:pStyle w:val="Compact"/>
                    <w:jc w:val="center"/>
                  </w:pPr>
                  <w:r>
                    <w:t xml:space="preserve">552</w:t>
                  </w:r>
                </w:p>
              </w:tc>
              <w:tc>
                <w:tcPr/>
                <w:p>
                  <w:pPr>
                    <w:pStyle w:val="Compact"/>
                    <w:jc w:val="center"/>
                  </w:pPr>
                  <w:r>
                    <w:t xml:space="preserve">0.00</w:t>
                  </w:r>
                </w:p>
              </w:tc>
              <w:tc>
                <w:tcPr/>
                <w:p>
                  <w:pPr>
                    <w:pStyle w:val="Compact"/>
                    <w:jc w:val="center"/>
                  </w:pPr>
                  <w:r>
                    <w:t xml:space="preserve">1.75</w:t>
                  </w:r>
                </w:p>
              </w:tc>
              <w:tc>
                <w:tcPr/>
                <w:p>
                  <w:pPr>
                    <w:pStyle w:val="Compact"/>
                    <w:jc w:val="center"/>
                  </w:pPr>
                  <w:r>
                    <w:t xml:space="preserve">0.50</w:t>
                  </w:r>
                </w:p>
              </w:tc>
              <w:tc>
                <w:tcPr/>
                <w:p>
                  <w:pPr>
                    <w:pStyle w:val="Compact"/>
                    <w:jc w:val="center"/>
                  </w:pPr>
                  <w:r>
                    <w:t xml:space="preserve">0.50</w:t>
                  </w:r>
                </w:p>
              </w:tc>
              <w:tc>
                <w:tcPr/>
                <w:p>
                  <w:pPr>
                    <w:pStyle w:val="Compact"/>
                    <w:jc w:val="center"/>
                  </w:pPr>
                  <w:r>
                    <w:t xml:space="preserve">72.68</w:t>
                  </w:r>
                </w:p>
              </w:tc>
              <w:tc>
                <w:tcPr/>
                <w:p>
                  <w:pPr>
                    <w:pStyle w:val="Compact"/>
                    <w:jc w:val="center"/>
                  </w:pPr>
                  <w:r>
                    <w:t xml:space="preserve">58.69</w:t>
                  </w:r>
                </w:p>
              </w:tc>
            </w:tr>
            <w:tr>
              <w:tc>
                <w:tcPr/>
                <w:p>
                  <w:pPr>
                    <w:pStyle w:val="Compact"/>
                    <w:jc w:val="center"/>
                  </w:pPr>
                  <w:r>
                    <w:t xml:space="preserve">3</w:t>
                  </w:r>
                </w:p>
              </w:tc>
              <w:tc>
                <w:tcPr/>
                <w:p>
                  <w:pPr>
                    <w:pStyle w:val="Compact"/>
                    <w:jc w:val="center"/>
                  </w:pPr>
                  <w:r>
                    <w:t xml:space="preserve">552</w:t>
                  </w:r>
                </w:p>
              </w:tc>
              <w:tc>
                <w:tcPr/>
                <w:p>
                  <w:pPr>
                    <w:pStyle w:val="Compact"/>
                    <w:jc w:val="center"/>
                  </w:pPr>
                  <w:r>
                    <w:t xml:space="preserve">0.34</w:t>
                  </w:r>
                </w:p>
              </w:tc>
              <w:tc>
                <w:tcPr/>
                <w:p>
                  <w:pPr>
                    <w:pStyle w:val="Compact"/>
                    <w:jc w:val="center"/>
                  </w:pPr>
                  <w:r>
                    <w:t xml:space="preserve">1.67</w:t>
                  </w:r>
                </w:p>
              </w:tc>
              <w:tc>
                <w:tcPr/>
                <w:p>
                  <w:pPr>
                    <w:pStyle w:val="Compact"/>
                    <w:jc w:val="center"/>
                  </w:pPr>
                  <w:r>
                    <w:t xml:space="preserve">0.41</w:t>
                  </w:r>
                </w:p>
              </w:tc>
              <w:tc>
                <w:tcPr/>
                <w:p>
                  <w:pPr>
                    <w:pStyle w:val="Compact"/>
                    <w:jc w:val="center"/>
                  </w:pPr>
                  <w:r>
                    <w:t xml:space="preserve">0.49</w:t>
                  </w:r>
                </w:p>
              </w:tc>
              <w:tc>
                <w:tcPr/>
                <w:p>
                  <w:pPr>
                    <w:pStyle w:val="Compact"/>
                    <w:jc w:val="center"/>
                  </w:pPr>
                  <w:r>
                    <w:t xml:space="preserve">56.62</w:t>
                  </w:r>
                </w:p>
              </w:tc>
              <w:tc>
                <w:tcPr/>
                <w:p>
                  <w:pPr>
                    <w:pStyle w:val="Compact"/>
                    <w:jc w:val="center"/>
                  </w:pPr>
                  <w:r>
                    <w:t xml:space="preserve">59.44</w:t>
                  </w:r>
                </w:p>
              </w:tc>
            </w:tr>
            <w:tr>
              <w:tc>
                <w:tcPr/>
                <w:p>
                  <w:pPr>
                    <w:pStyle w:val="Compact"/>
                    <w:jc w:val="center"/>
                  </w:pPr>
                  <w:r>
                    <w:t xml:space="preserve">4</w:t>
                  </w:r>
                </w:p>
              </w:tc>
              <w:tc>
                <w:tcPr/>
                <w:p>
                  <w:pPr>
                    <w:pStyle w:val="Compact"/>
                    <w:jc w:val="center"/>
                  </w:pPr>
                  <w:r>
                    <w:t xml:space="preserve">552</w:t>
                  </w:r>
                </w:p>
              </w:tc>
              <w:tc>
                <w:tcPr/>
                <w:p>
                  <w:pPr>
                    <w:pStyle w:val="Compact"/>
                    <w:jc w:val="center"/>
                  </w:pPr>
                  <w:r>
                    <w:t xml:space="preserve">-0.84</w:t>
                  </w:r>
                </w:p>
              </w:tc>
              <w:tc>
                <w:tcPr/>
                <w:p>
                  <w:pPr>
                    <w:pStyle w:val="Compact"/>
                    <w:jc w:val="center"/>
                  </w:pPr>
                  <w:r>
                    <w:t xml:space="preserve">2.09</w:t>
                  </w:r>
                </w:p>
              </w:tc>
              <w:tc>
                <w:tcPr/>
                <w:p>
                  <w:pPr>
                    <w:pStyle w:val="Compact"/>
                    <w:jc w:val="center"/>
                  </w:pPr>
                  <w:r>
                    <w:t xml:space="preserve">0.74</w:t>
                  </w:r>
                </w:p>
              </w:tc>
              <w:tc>
                <w:tcPr/>
                <w:p>
                  <w:pPr>
                    <w:pStyle w:val="Compact"/>
                    <w:jc w:val="center"/>
                  </w:pPr>
                  <w:r>
                    <w:t xml:space="preserve">0.44</w:t>
                  </w:r>
                </w:p>
              </w:tc>
              <w:tc>
                <w:tcPr/>
                <w:p>
                  <w:pPr>
                    <w:pStyle w:val="Compact"/>
                    <w:jc w:val="center"/>
                  </w:pPr>
                  <w:r>
                    <w:t xml:space="preserve">34.77</w:t>
                  </w:r>
                </w:p>
              </w:tc>
              <w:tc>
                <w:tcPr/>
                <w:p>
                  <w:pPr>
                    <w:pStyle w:val="Compact"/>
                    <w:jc w:val="center"/>
                  </w:pPr>
                  <w:r>
                    <w:t xml:space="preserve">29.84</w:t>
                  </w:r>
                </w:p>
              </w:tc>
            </w:tr>
            <w:tr>
              <w:tc>
                <w:tcPr/>
                <w:p>
                  <w:pPr>
                    <w:pStyle w:val="Compact"/>
                    <w:jc w:val="center"/>
                  </w:pPr>
                  <w:r>
                    <w:t xml:space="preserve">5</w:t>
                  </w:r>
                </w:p>
              </w:tc>
              <w:tc>
                <w:tcPr/>
                <w:p>
                  <w:pPr>
                    <w:pStyle w:val="Compact"/>
                    <w:jc w:val="center"/>
                  </w:pPr>
                  <w:r>
                    <w:t xml:space="preserve">552</w:t>
                  </w:r>
                </w:p>
              </w:tc>
              <w:tc>
                <w:tcPr/>
                <w:p>
                  <w:pPr>
                    <w:pStyle w:val="Compact"/>
                    <w:jc w:val="center"/>
                  </w:pPr>
                  <w:r>
                    <w:t xml:space="preserve">-0.38</w:t>
                  </w:r>
                </w:p>
              </w:tc>
              <w:tc>
                <w:tcPr/>
                <w:p>
                  <w:pPr>
                    <w:pStyle w:val="Compact"/>
                    <w:jc w:val="center"/>
                  </w:pPr>
                  <w:r>
                    <w:t xml:space="preserve">2.41</w:t>
                  </w:r>
                </w:p>
              </w:tc>
              <w:tc>
                <w:tcPr/>
                <w:p>
                  <w:pPr>
                    <w:pStyle w:val="Compact"/>
                    <w:jc w:val="center"/>
                  </w:pPr>
                  <w:r>
                    <w:t xml:space="preserve">0.62</w:t>
                  </w:r>
                </w:p>
              </w:tc>
              <w:tc>
                <w:tcPr/>
                <w:p>
                  <w:pPr>
                    <w:pStyle w:val="Compact"/>
                    <w:jc w:val="center"/>
                  </w:pPr>
                  <w:r>
                    <w:t xml:space="preserve">0.49</w:t>
                  </w:r>
                </w:p>
              </w:tc>
              <w:tc>
                <w:tcPr/>
                <w:p>
                  <w:pPr>
                    <w:pStyle w:val="Compact"/>
                    <w:jc w:val="center"/>
                  </w:pPr>
                  <w:r>
                    <w:t xml:space="preserve">70.38</w:t>
                  </w:r>
                </w:p>
              </w:tc>
              <w:tc>
                <w:tcPr/>
                <w:p>
                  <w:pPr>
                    <w:pStyle w:val="Compact"/>
                    <w:jc w:val="center"/>
                  </w:pPr>
                  <w:r>
                    <w:t xml:space="preserve">81.01</w:t>
                  </w:r>
                </w:p>
              </w:tc>
            </w:tr>
            <w:tr>
              <w:tc>
                <w:tcPr/>
                <w:p>
                  <w:pPr>
                    <w:pStyle w:val="Compact"/>
                    <w:jc w:val="center"/>
                  </w:pPr>
                  <w:r>
                    <w:t xml:space="preserve">6</w:t>
                  </w:r>
                </w:p>
              </w:tc>
              <w:tc>
                <w:tcPr/>
                <w:p>
                  <w:pPr>
                    <w:pStyle w:val="Compact"/>
                    <w:jc w:val="center"/>
                  </w:pPr>
                  <w:r>
                    <w:t xml:space="preserve">552</w:t>
                  </w:r>
                </w:p>
              </w:tc>
              <w:tc>
                <w:tcPr/>
                <w:p>
                  <w:pPr>
                    <w:pStyle w:val="Compact"/>
                    <w:jc w:val="center"/>
                  </w:pPr>
                  <w:r>
                    <w:t xml:space="preserve">-0.16</w:t>
                  </w:r>
                </w:p>
              </w:tc>
              <w:tc>
                <w:tcPr/>
                <w:p>
                  <w:pPr>
                    <w:pStyle w:val="Compact"/>
                    <w:jc w:val="center"/>
                  </w:pPr>
                  <w:r>
                    <w:t xml:space="preserve">2.57</w:t>
                  </w:r>
                </w:p>
              </w:tc>
              <w:tc>
                <w:tcPr/>
                <w:p>
                  <w:pPr>
                    <w:pStyle w:val="Compact"/>
                    <w:jc w:val="center"/>
                  </w:pPr>
                  <w:r>
                    <w:t xml:space="preserve">0.55</w:t>
                  </w:r>
                </w:p>
              </w:tc>
              <w:tc>
                <w:tcPr/>
                <w:p>
                  <w:pPr>
                    <w:pStyle w:val="Compact"/>
                    <w:jc w:val="center"/>
                  </w:pPr>
                  <w:r>
                    <w:t xml:space="preserve">0.50</w:t>
                  </w:r>
                </w:p>
              </w:tc>
              <w:tc>
                <w:tcPr/>
                <w:p>
                  <w:pPr>
                    <w:pStyle w:val="Compact"/>
                    <w:jc w:val="center"/>
                  </w:pPr>
                  <w:r>
                    <w:t xml:space="preserve">102.51</w:t>
                  </w:r>
                </w:p>
              </w:tc>
              <w:tc>
                <w:tcPr/>
                <w:p>
                  <w:pPr>
                    <w:pStyle w:val="Compact"/>
                    <w:jc w:val="center"/>
                  </w:pPr>
                  <w:r>
                    <w:t xml:space="preserve">61.66</w:t>
                  </w:r>
                </w:p>
              </w:tc>
            </w:tr>
            <w:tr>
              <w:tc>
                <w:tcPr/>
                <w:p>
                  <w:pPr>
                    <w:pStyle w:val="Compact"/>
                    <w:jc w:val="center"/>
                  </w:pPr>
                  <w:r>
                    <w:t xml:space="preserve">7</w:t>
                  </w:r>
                </w:p>
              </w:tc>
              <w:tc>
                <w:tcPr/>
                <w:p>
                  <w:pPr>
                    <w:pStyle w:val="Compact"/>
                    <w:jc w:val="center"/>
                  </w:pPr>
                  <w:r>
                    <w:t xml:space="preserve">552</w:t>
                  </w:r>
                </w:p>
              </w:tc>
              <w:tc>
                <w:tcPr/>
                <w:p>
                  <w:pPr>
                    <w:pStyle w:val="Compact"/>
                    <w:jc w:val="center"/>
                  </w:pPr>
                  <w:r>
                    <w:t xml:space="preserve">0.08</w:t>
                  </w:r>
                </w:p>
              </w:tc>
              <w:tc>
                <w:tcPr/>
                <w:p>
                  <w:pPr>
                    <w:pStyle w:val="Compact"/>
                    <w:jc w:val="center"/>
                  </w:pPr>
                  <w:r>
                    <w:t xml:space="preserve">1.93</w:t>
                  </w:r>
                </w:p>
              </w:tc>
              <w:tc>
                <w:tcPr/>
                <w:p>
                  <w:pPr>
                    <w:pStyle w:val="Compact"/>
                    <w:jc w:val="center"/>
                  </w:pPr>
                  <w:r>
                    <w:t xml:space="preserve">0.48</w:t>
                  </w:r>
                </w:p>
              </w:tc>
              <w:tc>
                <w:tcPr/>
                <w:p>
                  <w:pPr>
                    <w:pStyle w:val="Compact"/>
                    <w:jc w:val="center"/>
                  </w:pPr>
                  <w:r>
                    <w:t xml:space="preserve">0.50</w:t>
                  </w:r>
                </w:p>
              </w:tc>
              <w:tc>
                <w:tcPr/>
                <w:p>
                  <w:pPr>
                    <w:pStyle w:val="Compact"/>
                    <w:jc w:val="center"/>
                  </w:pPr>
                  <w:r>
                    <w:t xml:space="preserve">55.06</w:t>
                  </w:r>
                </w:p>
              </w:tc>
              <w:tc>
                <w:tcPr/>
                <w:p>
                  <w:pPr>
                    <w:pStyle w:val="Compact"/>
                    <w:jc w:val="center"/>
                  </w:pPr>
                  <w:r>
                    <w:t xml:space="preserve">47.03</w:t>
                  </w:r>
                </w:p>
              </w:tc>
            </w:tr>
            <w:tr>
              <w:tc>
                <w:tcPr/>
                <w:p>
                  <w:pPr>
                    <w:pStyle w:val="Compact"/>
                    <w:jc w:val="center"/>
                  </w:pPr>
                  <w:r>
                    <w:t xml:space="preserve">8</w:t>
                  </w:r>
                </w:p>
              </w:tc>
              <w:tc>
                <w:tcPr/>
                <w:p>
                  <w:pPr>
                    <w:pStyle w:val="Compact"/>
                    <w:jc w:val="center"/>
                  </w:pPr>
                  <w:r>
                    <w:t xml:space="preserve">552</w:t>
                  </w:r>
                </w:p>
              </w:tc>
              <w:tc>
                <w:tcPr/>
                <w:p>
                  <w:pPr>
                    <w:pStyle w:val="Compact"/>
                    <w:jc w:val="center"/>
                  </w:pPr>
                  <w:r>
                    <w:t xml:space="preserve">1.51</w:t>
                  </w:r>
                </w:p>
              </w:tc>
              <w:tc>
                <w:tcPr/>
                <w:p>
                  <w:pPr>
                    <w:pStyle w:val="Compact"/>
                    <w:jc w:val="center"/>
                  </w:pPr>
                  <w:r>
                    <w:t xml:space="preserve">2.21</w:t>
                  </w:r>
                </w:p>
              </w:tc>
              <w:tc>
                <w:tcPr/>
                <w:p>
                  <w:pPr>
                    <w:pStyle w:val="Compact"/>
                    <w:jc w:val="center"/>
                  </w:pPr>
                  <w:r>
                    <w:t xml:space="preserve">0.12</w:t>
                  </w:r>
                </w:p>
              </w:tc>
              <w:tc>
                <w:tcPr/>
                <w:p>
                  <w:pPr>
                    <w:pStyle w:val="Compact"/>
                    <w:jc w:val="center"/>
                  </w:pPr>
                  <w:r>
                    <w:t xml:space="preserve">0.32</w:t>
                  </w:r>
                </w:p>
              </w:tc>
              <w:tc>
                <w:tcPr/>
                <w:p>
                  <w:pPr>
                    <w:pStyle w:val="Compact"/>
                    <w:jc w:val="center"/>
                  </w:pPr>
                  <w:r>
                    <w:t xml:space="preserve">78.65</w:t>
                  </w:r>
                </w:p>
              </w:tc>
              <w:tc>
                <w:tcPr/>
                <w:p>
                  <w:pPr>
                    <w:pStyle w:val="Compact"/>
                    <w:jc w:val="center"/>
                  </w:pPr>
                  <w:r>
                    <w:t xml:space="preserve">62.14</w:t>
                  </w:r>
                </w:p>
              </w:tc>
            </w:tr>
            <w:tr>
              <w:tc>
                <w:tcPr/>
                <w:p>
                  <w:pPr>
                    <w:pStyle w:val="Compact"/>
                    <w:jc w:val="center"/>
                  </w:pPr>
                  <w:r>
                    <w:t xml:space="preserve">9</w:t>
                  </w:r>
                </w:p>
              </w:tc>
              <w:tc>
                <w:tcPr/>
                <w:p>
                  <w:pPr>
                    <w:pStyle w:val="Compact"/>
                    <w:jc w:val="center"/>
                  </w:pPr>
                  <w:r>
                    <w:t xml:space="preserve">552</w:t>
                  </w:r>
                </w:p>
              </w:tc>
              <w:tc>
                <w:tcPr/>
                <w:p>
                  <w:pPr>
                    <w:pStyle w:val="Compact"/>
                    <w:jc w:val="center"/>
                  </w:pPr>
                  <w:r>
                    <w:t xml:space="preserve">1.57</w:t>
                  </w:r>
                </w:p>
              </w:tc>
              <w:tc>
                <w:tcPr/>
                <w:p>
                  <w:pPr>
                    <w:pStyle w:val="Compact"/>
                    <w:jc w:val="center"/>
                  </w:pPr>
                  <w:r>
                    <w:t xml:space="preserve">2.85</w:t>
                  </w:r>
                </w:p>
              </w:tc>
              <w:tc>
                <w:tcPr/>
                <w:p>
                  <w:pPr>
                    <w:pStyle w:val="Compact"/>
                    <w:jc w:val="center"/>
                  </w:pPr>
                  <w:r>
                    <w:t xml:space="preserve">0.09</w:t>
                  </w:r>
                </w:p>
              </w:tc>
              <w:tc>
                <w:tcPr/>
                <w:p>
                  <w:pPr>
                    <w:pStyle w:val="Compact"/>
                    <w:jc w:val="center"/>
                  </w:pPr>
                  <w:r>
                    <w:t xml:space="preserve">0.29</w:t>
                  </w:r>
                </w:p>
              </w:tc>
              <w:tc>
                <w:tcPr/>
                <w:p>
                  <w:pPr>
                    <w:pStyle w:val="Compact"/>
                    <w:jc w:val="center"/>
                  </w:pPr>
                  <w:r>
                    <w:t xml:space="preserve">115.56</w:t>
                  </w:r>
                </w:p>
              </w:tc>
              <w:tc>
                <w:tcPr/>
                <w:p>
                  <w:pPr>
                    <w:pStyle w:val="Compact"/>
                    <w:jc w:val="center"/>
                  </w:pPr>
                  <w:r>
                    <w:t xml:space="preserve">80.58</w:t>
                  </w:r>
                </w:p>
              </w:tc>
            </w:tr>
            <w:tr>
              <w:tc>
                <w:tcPr/>
                <w:p>
                  <w:pPr>
                    <w:pStyle w:val="Compact"/>
                    <w:jc w:val="center"/>
                  </w:pPr>
                  <w:r>
                    <w:t xml:space="preserve">10</w:t>
                  </w:r>
                </w:p>
              </w:tc>
              <w:tc>
                <w:tcPr/>
                <w:p>
                  <w:pPr>
                    <w:pStyle w:val="Compact"/>
                    <w:jc w:val="center"/>
                  </w:pPr>
                  <w:r>
                    <w:t xml:space="preserve">552</w:t>
                  </w:r>
                </w:p>
              </w:tc>
              <w:tc>
                <w:tcPr/>
                <w:p>
                  <w:pPr>
                    <w:pStyle w:val="Compact"/>
                    <w:jc w:val="center"/>
                  </w:pPr>
                  <w:r>
                    <w:t xml:space="preserve">1.05</w:t>
                  </w:r>
                </w:p>
              </w:tc>
              <w:tc>
                <w:tcPr/>
                <w:p>
                  <w:pPr>
                    <w:pStyle w:val="Compact"/>
                    <w:jc w:val="center"/>
                  </w:pPr>
                  <w:r>
                    <w:t xml:space="preserve">2.54</w:t>
                  </w:r>
                </w:p>
              </w:tc>
              <w:tc>
                <w:tcPr/>
                <w:p>
                  <w:pPr>
                    <w:pStyle w:val="Compact"/>
                    <w:jc w:val="center"/>
                  </w:pPr>
                  <w:r>
                    <w:t xml:space="preserve">0.20</w:t>
                  </w:r>
                </w:p>
              </w:tc>
              <w:tc>
                <w:tcPr/>
                <w:p>
                  <w:pPr>
                    <w:pStyle w:val="Compact"/>
                    <w:jc w:val="center"/>
                  </w:pPr>
                  <w:r>
                    <w:t xml:space="preserve">0.40</w:t>
                  </w:r>
                </w:p>
              </w:tc>
              <w:tc>
                <w:tcPr/>
                <w:p>
                  <w:pPr>
                    <w:pStyle w:val="Compact"/>
                    <w:jc w:val="center"/>
                  </w:pPr>
                  <w:r>
                    <w:t xml:space="preserve">58.11</w:t>
                  </w:r>
                </w:p>
              </w:tc>
              <w:tc>
                <w:tcPr/>
                <w:p>
                  <w:pPr>
                    <w:pStyle w:val="Compact"/>
                    <w:jc w:val="center"/>
                  </w:pPr>
                  <w:r>
                    <w:t xml:space="preserve">39.61</w:t>
                  </w:r>
                </w:p>
              </w:tc>
            </w:tr>
            <w:tr>
              <w:tc>
                <w:tcPr/>
                <w:p>
                  <w:pPr>
                    <w:pStyle w:val="Compact"/>
                    <w:jc w:val="center"/>
                  </w:pPr>
                  <w:r>
                    <w:t xml:space="preserve">11</w:t>
                  </w:r>
                </w:p>
              </w:tc>
              <w:tc>
                <w:tcPr/>
                <w:p>
                  <w:pPr>
                    <w:pStyle w:val="Compact"/>
                    <w:jc w:val="center"/>
                  </w:pPr>
                  <w:r>
                    <w:t xml:space="preserve">552</w:t>
                  </w:r>
                </w:p>
              </w:tc>
              <w:tc>
                <w:tcPr/>
                <w:p>
                  <w:pPr>
                    <w:pStyle w:val="Compact"/>
                    <w:jc w:val="center"/>
                  </w:pPr>
                  <w:r>
                    <w:t xml:space="preserve">-0.61</w:t>
                  </w:r>
                </w:p>
              </w:tc>
              <w:tc>
                <w:tcPr/>
                <w:p>
                  <w:pPr>
                    <w:pStyle w:val="Compact"/>
                    <w:jc w:val="center"/>
                  </w:pPr>
                  <w:r>
                    <w:t xml:space="preserve">1.31</w:t>
                  </w:r>
                </w:p>
              </w:tc>
              <w:tc>
                <w:tcPr/>
                <w:p>
                  <w:pPr>
                    <w:pStyle w:val="Compact"/>
                    <w:jc w:val="center"/>
                  </w:pPr>
                  <w:r>
                    <w:t xml:space="preserve">0.65</w:t>
                  </w:r>
                </w:p>
              </w:tc>
              <w:tc>
                <w:tcPr/>
                <w:p>
                  <w:pPr>
                    <w:pStyle w:val="Compact"/>
                    <w:jc w:val="center"/>
                  </w:pPr>
                  <w:r>
                    <w:t xml:space="preserve">0.48</w:t>
                  </w:r>
                </w:p>
              </w:tc>
              <w:tc>
                <w:tcPr/>
                <w:p>
                  <w:pPr>
                    <w:pStyle w:val="Compact"/>
                    <w:jc w:val="center"/>
                  </w:pPr>
                  <w:r>
                    <w:t xml:space="preserve">67.59</w:t>
                  </w:r>
                </w:p>
              </w:tc>
              <w:tc>
                <w:tcPr/>
                <w:p>
                  <w:pPr>
                    <w:pStyle w:val="Compact"/>
                    <w:jc w:val="center"/>
                  </w:pPr>
                  <w:r>
                    <w:t xml:space="preserve">43.22</w:t>
                  </w:r>
                </w:p>
              </w:tc>
            </w:tr>
            <w:tr>
              <w:tc>
                <w:tcPr/>
                <w:p>
                  <w:pPr>
                    <w:pStyle w:val="Compact"/>
                    <w:jc w:val="center"/>
                  </w:pPr>
                  <w:r>
                    <w:t xml:space="preserve">12</w:t>
                  </w:r>
                </w:p>
              </w:tc>
              <w:tc>
                <w:tcPr/>
                <w:p>
                  <w:pPr>
                    <w:pStyle w:val="Compact"/>
                    <w:jc w:val="center"/>
                  </w:pPr>
                  <w:r>
                    <w:t xml:space="preserve">552</w:t>
                  </w:r>
                </w:p>
              </w:tc>
              <w:tc>
                <w:tcPr/>
                <w:p>
                  <w:pPr>
                    <w:pStyle w:val="Compact"/>
                    <w:jc w:val="center"/>
                  </w:pPr>
                  <w:r>
                    <w:t xml:space="preserve">-0.77</w:t>
                  </w:r>
                </w:p>
              </w:tc>
              <w:tc>
                <w:tcPr/>
                <w:p>
                  <w:pPr>
                    <w:pStyle w:val="Compact"/>
                    <w:jc w:val="center"/>
                  </w:pPr>
                  <w:r>
                    <w:t xml:space="preserve">1.23</w:t>
                  </w:r>
                </w:p>
              </w:tc>
              <w:tc>
                <w:tcPr/>
                <w:p>
                  <w:pPr>
                    <w:pStyle w:val="Compact"/>
                    <w:jc w:val="center"/>
                  </w:pPr>
                  <w:r>
                    <w:t xml:space="preserve">0.68</w:t>
                  </w:r>
                </w:p>
              </w:tc>
              <w:tc>
                <w:tcPr/>
                <w:p>
                  <w:pPr>
                    <w:pStyle w:val="Compact"/>
                    <w:jc w:val="center"/>
                  </w:pPr>
                  <w:r>
                    <w:t xml:space="preserve">0.47</w:t>
                  </w:r>
                </w:p>
              </w:tc>
              <w:tc>
                <w:tcPr/>
                <w:p>
                  <w:pPr>
                    <w:pStyle w:val="Compact"/>
                    <w:jc w:val="center"/>
                  </w:pPr>
                  <w:r>
                    <w:t xml:space="preserve">40.25</w:t>
                  </w:r>
                </w:p>
              </w:tc>
              <w:tc>
                <w:tcPr/>
                <w:p>
                  <w:pPr>
                    <w:pStyle w:val="Compact"/>
                    <w:jc w:val="center"/>
                  </w:pPr>
                  <w:r>
                    <w:t xml:space="preserve">31.85</w:t>
                  </w:r>
                </w:p>
              </w:tc>
            </w:tr>
            <w:tr>
              <w:tc>
                <w:tcPr/>
                <w:p>
                  <w:pPr>
                    <w:pStyle w:val="Compact"/>
                    <w:jc w:val="center"/>
                  </w:pPr>
                  <w:r>
                    <w:t xml:space="preserve">13</w:t>
                  </w:r>
                </w:p>
              </w:tc>
              <w:tc>
                <w:tcPr/>
                <w:p>
                  <w:pPr>
                    <w:pStyle w:val="Compact"/>
                    <w:jc w:val="center"/>
                  </w:pPr>
                  <w:r>
                    <w:t xml:space="preserve">552</w:t>
                  </w:r>
                </w:p>
              </w:tc>
              <w:tc>
                <w:tcPr/>
                <w:p>
                  <w:pPr>
                    <w:pStyle w:val="Compact"/>
                    <w:jc w:val="center"/>
                  </w:pPr>
                  <w:r>
                    <w:t xml:space="preserve">0.65</w:t>
                  </w:r>
                </w:p>
              </w:tc>
              <w:tc>
                <w:tcPr/>
                <w:p>
                  <w:pPr>
                    <w:pStyle w:val="Compact"/>
                    <w:jc w:val="center"/>
                  </w:pPr>
                  <w:r>
                    <w:t xml:space="preserve">1.74</w:t>
                  </w:r>
                </w:p>
              </w:tc>
              <w:tc>
                <w:tcPr/>
                <w:p>
                  <w:pPr>
                    <w:pStyle w:val="Compact"/>
                    <w:jc w:val="center"/>
                  </w:pPr>
                  <w:r>
                    <w:t xml:space="preserve">0.32</w:t>
                  </w:r>
                </w:p>
              </w:tc>
              <w:tc>
                <w:tcPr/>
                <w:p>
                  <w:pPr>
                    <w:pStyle w:val="Compact"/>
                    <w:jc w:val="center"/>
                  </w:pPr>
                  <w:r>
                    <w:t xml:space="preserve">0.47</w:t>
                  </w:r>
                </w:p>
              </w:tc>
              <w:tc>
                <w:tcPr/>
                <w:p>
                  <w:pPr>
                    <w:pStyle w:val="Compact"/>
                    <w:jc w:val="center"/>
                  </w:pPr>
                  <w:r>
                    <w:t xml:space="preserve">143.72</w:t>
                  </w:r>
                </w:p>
              </w:tc>
              <w:tc>
                <w:tcPr/>
                <w:p>
                  <w:pPr>
                    <w:pStyle w:val="Compact"/>
                    <w:jc w:val="center"/>
                  </w:pPr>
                  <w:r>
                    <w:t xml:space="preserve">101.17</w:t>
                  </w:r>
                </w:p>
              </w:tc>
            </w:tr>
          </w:tbl>
          <w:bookmarkEnd w:id="89"/>
          <w:p/>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90" w:name="tbl-Table2"/>
          <w:p>
            <w:pPr>
              <w:jc w:val="center"/>
            </w:pPr>
            <w:pPr>
              <w:jc w:val="start"/>
              <w:spacing w:before="200"/>
              <w:pStyle w:val="ImageCaption"/>
            </w:pPr>
            <w:r>
              <w:t xml:space="preserve">Table 2. Parameters for Model 0</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p>
              </w:tc>
              <w:tc>
                <w:tcPr/>
                <w:p>
                  <w:pPr>
                    <w:pStyle w:val="Compact"/>
                  </w:pPr>
                </w:p>
              </w:tc>
              <w:tc>
                <w:tcPr/>
                <w:p>
                  <w:pPr>
                    <w:pStyle w:val="Compact"/>
                  </w:pPr>
                </w:p>
              </w:tc>
              <w:tc>
                <w:tcPr/>
                <w:p>
                  <w:pPr>
                    <w:pStyle w:val="Compact"/>
                  </w:pPr>
                </w:p>
              </w:tc>
              <w:tc>
                <w:tcPr>
                  <w:gridSpan w:val="2"/>
                </w:tcPr>
                <w:p>
                  <w:pPr>
                    <w:pStyle w:val="Compact"/>
                    <w:jc w:val="center"/>
                    <w:jc w:val="center"/>
                  </w:pPr>
                  <w:r>
                    <w:t xml:space="preserve">95% CI</w:t>
                  </w:r>
                </w:p>
              </w:tc>
            </w:tr>
            <w:tr>
              <w:trPr>
                <w:tblHeader w:val="on"/>
              </w:trPr>
              <w:tc>
                <w:tcPr/>
                <w:p>
                  <w:pPr>
                    <w:pStyle w:val="Compact"/>
                  </w:pPr>
                </w:p>
              </w:tc>
              <w:tc>
                <w:tcPr/>
                <w:p>
                  <w:pPr>
                    <w:pStyle w:val="Compact"/>
                    <w:jc w:val="center"/>
                    <w:jc w:val="center"/>
                  </w:pPr>
                  <w:r>
                    <w:t xml:space="preserve">Coef.</w:t>
                  </w:r>
                </w:p>
              </w:tc>
              <w:tc>
                <w:tcPr/>
                <w:p>
                  <w:pPr>
                    <w:pStyle w:val="Compact"/>
                    <w:jc w:val="center"/>
                    <w:jc w:val="center"/>
                  </w:pPr>
                  <w:r>
                    <w:t xml:space="preserve">Est.</w:t>
                  </w:r>
                </w:p>
              </w:tc>
              <w:tc>
                <w:tcPr/>
                <w:p>
                  <w:pPr>
                    <w:pStyle w:val="Compact"/>
                  </w:pPr>
                </w:p>
              </w:tc>
              <w:tc>
                <w:tcPr/>
                <w:p>
                  <w:pPr>
                    <w:pStyle w:val="Compact"/>
                    <w:jc w:val="center"/>
                    <w:jc w:val="center"/>
                  </w:pPr>
                  <w:r>
                    <w:t xml:space="preserve">LL</w:t>
                  </w:r>
                </w:p>
              </w:tc>
              <w:tc>
                <w:tcPr/>
                <w:p>
                  <w:pPr>
                    <w:pStyle w:val="Compact"/>
                    <w:jc w:val="center"/>
                    <w:jc w:val="center"/>
                  </w:pPr>
                  <w:r>
                    <w:t xml:space="preserve">UL</w:t>
                  </w:r>
                </w:p>
              </w:tc>
            </w:tr>
            <w:tr>
              <w:tc>
                <w:tcPr/>
                <w:p>
                  <w:pPr>
                    <w:pStyle w:val="Compact"/>
                    <w:jc w:val="left"/>
                    <w:jc w:val="center"/>
                  </w:pPr>
                  <w:r>
                    <w:rPr>
                      <w:i/>
                      <w:iCs/>
                    </w:rPr>
                    <w:t xml:space="preserve">Fixed Effects</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Intercept</w:t>
                  </w:r>
                </w:p>
              </w:tc>
              <w:tc>
                <w:tcPr/>
                <w:p>
                  <w:pPr>
                    <w:pStyle w:val="Compact"/>
                    <w:jc w:val="center"/>
                    <w:jc w:val="center"/>
                  </w:pPr>
                  <w:r>
                    <w:t xml:space="preserve">μ</w:t>
                  </w:r>
                </w:p>
              </w:tc>
              <w:tc>
                <w:tcPr/>
                <w:p>
                  <w:pPr>
                    <w:pStyle w:val="Compact"/>
                    <w:jc w:val="center"/>
                    <w:jc w:val="center"/>
                  </w:pPr>
                  <w:r>
                    <w:t xml:space="preserve">3.92</w:t>
                  </w:r>
                </w:p>
              </w:tc>
              <w:tc>
                <w:tcPr/>
                <w:p>
                  <w:pPr>
                    <w:pStyle w:val="Compact"/>
                    <w:jc w:val="center"/>
                    <w:jc w:val="center"/>
                  </w:pPr>
                  <w:r>
                    <w:t xml:space="preserve">***</w:t>
                  </w:r>
                </w:p>
              </w:tc>
              <w:tc>
                <w:tcPr/>
                <w:p>
                  <w:pPr>
                    <w:pStyle w:val="Compact"/>
                    <w:jc w:val="center"/>
                    <w:jc w:val="center"/>
                  </w:pPr>
                  <w:r>
                    <w:t xml:space="preserve">3.67</w:t>
                  </w:r>
                </w:p>
              </w:tc>
              <w:tc>
                <w:tcPr/>
                <w:p>
                  <w:pPr>
                    <w:pStyle w:val="Compact"/>
                    <w:jc w:val="center"/>
                    <w:jc w:val="center"/>
                  </w:pPr>
                  <w:r>
                    <w:t xml:space="preserve">4.18</w:t>
                  </w:r>
                </w:p>
              </w:tc>
            </w:tr>
            <w:tr>
              <w:tc>
                <w:tcPr/>
                <w:p>
                  <w:pPr>
                    <w:pStyle w:val="Compact"/>
                    <w:jc w:val="left"/>
                    <w:jc w:val="center"/>
                  </w:pPr>
                  <w:r>
                    <w:rPr>
                      <w:i/>
                      <w:iCs/>
                    </w:rPr>
                    <w:t xml:space="preserve">Random Effects</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Person intercept variance</w:t>
                  </w:r>
                </w:p>
              </w:tc>
              <w:tc>
                <w:tcPr/>
                <w:p>
                  <w:pPr>
                    <w:pStyle w:val="Compact"/>
                    <w:jc w:val="center"/>
                    <w:jc w:val="center"/>
                  </w:pPr>
                  <w:r>
                    <w:t xml:space="preserve">var(</w:t>
                  </w:r>
                  <w:r>
                    <w:rPr>
                      <w:i/>
                      <w:iCs/>
                    </w:rPr>
                    <w:t xml:space="preserve">ν</w:t>
                  </w:r>
                  <w:r>
                    <w:rPr>
                      <w:i/>
                      <w:iCs/>
                      <w:vertAlign w:val="subscript"/>
                    </w:rPr>
                    <w:t xml:space="preserve">j</w:t>
                  </w:r>
                  <w:r>
                    <w:t xml:space="preserve"> </w:t>
                  </w:r>
                  <w:r>
                    <w:t xml:space="preserve">)</w:t>
                  </w:r>
                </w:p>
              </w:tc>
              <w:tc>
                <w:tcPr/>
                <w:p>
                  <w:pPr>
                    <w:pStyle w:val="Compact"/>
                    <w:jc w:val="center"/>
                    <w:jc w:val="center"/>
                  </w:pPr>
                  <w:r>
                    <w:t xml:space="preserve">0.18</w:t>
                  </w:r>
                </w:p>
              </w:tc>
              <w:tc>
                <w:tcPr/>
                <w:p>
                  <w:pPr>
                    <w:pStyle w:val="Compact"/>
                    <w:jc w:val="center"/>
                    <w:jc w:val="center"/>
                  </w:pPr>
                  <w:r>
                    <w:t xml:space="preserve">***</w:t>
                  </w:r>
                </w:p>
              </w:tc>
              <w:tc>
                <w:tcPr/>
                <w:p>
                  <w:pPr>
                    <w:pStyle w:val="Compact"/>
                  </w:pPr>
                </w:p>
              </w:tc>
              <w:tc>
                <w:tcPr/>
                <w:p>
                  <w:pPr>
                    <w:pStyle w:val="Compact"/>
                  </w:pPr>
                </w:p>
              </w:tc>
            </w:tr>
            <w:tr>
              <w:tc>
                <w:tcPr/>
                <w:p>
                  <w:pPr>
                    <w:pStyle w:val="Compact"/>
                    <w:jc w:val="left"/>
                    <w:jc w:val="center"/>
                  </w:pPr>
                  <w:r>
                    <w:t xml:space="preserve">Item intercept variance</w:t>
                  </w:r>
                </w:p>
              </w:tc>
              <w:tc>
                <w:tcPr/>
                <w:p>
                  <w:pPr>
                    <w:pStyle w:val="Compact"/>
                    <w:jc w:val="center"/>
                    <w:jc w:val="center"/>
                  </w:pPr>
                  <w:r>
                    <w:t xml:space="preserve">var(</w:t>
                  </w:r>
                  <w:r>
                    <w:rPr>
                      <w:i/>
                      <w:iCs/>
                    </w:rPr>
                    <w:t xml:space="preserve">β</w:t>
                  </w:r>
                  <w:r>
                    <w:rPr>
                      <w:i/>
                      <w:iCs/>
                      <w:vertAlign w:val="subscript"/>
                    </w:rPr>
                    <w:t xml:space="preserve">i</w:t>
                  </w:r>
                  <w:r>
                    <w:t xml:space="preserve"> </w:t>
                  </w:r>
                  <w:r>
                    <w:t xml:space="preserve">)</w:t>
                  </w:r>
                </w:p>
              </w:tc>
              <w:tc>
                <w:tcPr/>
                <w:p>
                  <w:pPr>
                    <w:pStyle w:val="Compact"/>
                    <w:jc w:val="center"/>
                    <w:jc w:val="center"/>
                  </w:pPr>
                  <w:r>
                    <w:t xml:space="preserve">0.20</w:t>
                  </w:r>
                </w:p>
              </w:tc>
              <w:tc>
                <w:tcPr/>
                <w:p>
                  <w:pPr>
                    <w:pStyle w:val="Compact"/>
                    <w:jc w:val="center"/>
                    <w:jc w:val="center"/>
                  </w:pPr>
                  <w:r>
                    <w:t xml:space="preserve">***</w:t>
                  </w:r>
                </w:p>
              </w:tc>
              <w:tc>
                <w:tcPr/>
                <w:p>
                  <w:pPr>
                    <w:pStyle w:val="Compact"/>
                  </w:pPr>
                </w:p>
              </w:tc>
              <w:tc>
                <w:tcPr/>
                <w:p>
                  <w:pPr>
                    <w:pStyle w:val="Compact"/>
                  </w:pPr>
                </w:p>
              </w:tc>
            </w:tr>
            <w:tr>
              <w:tc>
                <w:tcPr/>
                <w:p>
                  <w:pPr>
                    <w:pStyle w:val="Compact"/>
                    <w:jc w:val="left"/>
                    <w:jc w:val="center"/>
                  </w:pPr>
                  <w:r>
                    <w:t xml:space="preserve">Residual Variance</w:t>
                  </w:r>
                </w:p>
              </w:tc>
              <w:tc>
                <w:tcPr/>
                <w:p>
                  <w:pPr>
                    <w:pStyle w:val="Compact"/>
                    <w:jc w:val="center"/>
                    <w:jc w:val="center"/>
                  </w:pPr>
                  <w:r>
                    <w:t xml:space="preserve">var(</w:t>
                  </w:r>
                  <w:r>
                    <w:rPr>
                      <w:i/>
                      <w:iCs/>
                    </w:rPr>
                    <w:t xml:space="preserve">ε</w:t>
                  </w:r>
                  <w:r>
                    <w:rPr>
                      <w:i/>
                      <w:iCs/>
                      <w:vertAlign w:val="subscript"/>
                    </w:rPr>
                    <w:t xml:space="preserve">ij</w:t>
                  </w:r>
                  <w:r>
                    <w:t xml:space="preserve"> </w:t>
                  </w:r>
                  <w:r>
                    <w:t xml:space="preserve">)</w:t>
                  </w:r>
                </w:p>
              </w:tc>
              <w:tc>
                <w:tcPr/>
                <w:p>
                  <w:pPr>
                    <w:pStyle w:val="Compact"/>
                    <w:jc w:val="center"/>
                    <w:jc w:val="center"/>
                  </w:pPr>
                  <w:r>
                    <w:t xml:space="preserve">0.41</w:t>
                  </w:r>
                </w:p>
              </w:tc>
              <w:tc>
                <w:tcPr/>
                <w:p>
                  <w:pPr>
                    <w:pStyle w:val="Compact"/>
                  </w:pPr>
                </w:p>
              </w:tc>
              <w:tc>
                <w:tcPr/>
                <w:p>
                  <w:pPr>
                    <w:pStyle w:val="Compact"/>
                  </w:pPr>
                </w:p>
              </w:tc>
              <w:tc>
                <w:tcPr/>
                <w:p>
                  <w:pPr>
                    <w:pStyle w:val="Compact"/>
                  </w:pPr>
                </w:p>
              </w:tc>
            </w:tr>
          </w:tbl>
          <w:bookmarkEnd w:id="90"/>
          <w:p/>
        </w:tc>
      </w:tr>
    </w:tbl>
    <w:p>
      <w:pPr>
        <w:pStyle w:val="BodyText"/>
      </w:pPr>
      <w:r>
        <w:rPr>
          <w:i/>
          <w:iCs/>
        </w:rPr>
        <w:t xml:space="preserve">Note.</w:t>
      </w:r>
      <w:r>
        <w:t xml:space="preserve"> </w:t>
      </w:r>
      <w:r>
        <w:t xml:space="preserve">Coef – coefficient; Est – estimate; CI – confidence interval; LL</w:t>
      </w:r>
      <w:r>
        <w:t xml:space="preserve"> </w:t>
      </w:r>
      <w:r>
        <w:t xml:space="preserve">– lower limit; UL – upper limit; Var – variance. * p &lt; .05, ** p &lt;</w:t>
      </w:r>
      <w:r>
        <w:t xml:space="preserve"> </w:t>
      </w:r>
      <w:r>
        <w:t xml:space="preserve">.01, *** p &lt; .001.</w:t>
      </w:r>
    </w:p>
    <w:tbl>
      <w:tblPr>
        <w:tblStyle w:val="Table"/>
        <w:tblW w:type="pct" w:w="5000"/>
        <w:tblLayout w:type="fixed"/>
        <w:tblLook w:firstRow="0" w:lastRow="0" w:firstColumn="0" w:lastColumn="0" w:noHBand="0" w:noVBand="0" w:val="0000"/>
      </w:tblPr>
      <w:tblGrid>
        <w:gridCol w:w="7920"/>
      </w:tblGrid>
      <w:tr>
        <w:tc>
          <w:tcPr/>
          <w:bookmarkStart w:id="91" w:name="tbl-Table3"/>
          <w:p>
            <w:pPr>
              <w:jc w:val="center"/>
            </w:pPr>
            <w:pPr>
              <w:jc w:val="start"/>
              <w:spacing w:before="200"/>
              <w:pStyle w:val="ImageCaption"/>
            </w:pPr>
            <w:r>
              <w:t xml:space="preserve">Table 3. Parameters for Model A1</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p>
              </w:tc>
              <w:tc>
                <w:tcPr/>
                <w:p>
                  <w:pPr>
                    <w:pStyle w:val="Compact"/>
                  </w:pPr>
                </w:p>
              </w:tc>
              <w:tc>
                <w:tcPr/>
                <w:p>
                  <w:pPr>
                    <w:pStyle w:val="Compact"/>
                  </w:pPr>
                </w:p>
              </w:tc>
              <w:tc>
                <w:tcPr/>
                <w:p>
                  <w:pPr>
                    <w:pStyle w:val="Compact"/>
                  </w:pPr>
                </w:p>
              </w:tc>
              <w:tc>
                <w:tcPr>
                  <w:gridSpan w:val="2"/>
                </w:tcPr>
                <w:p>
                  <w:pPr>
                    <w:pStyle w:val="Compact"/>
                    <w:jc w:val="center"/>
                    <w:jc w:val="center"/>
                  </w:pPr>
                  <w:r>
                    <w:t xml:space="preserve">95% CI</w:t>
                  </w:r>
                </w:p>
              </w:tc>
            </w:tr>
            <w:tr>
              <w:trPr>
                <w:tblHeader w:val="on"/>
              </w:trPr>
              <w:tc>
                <w:tcPr/>
                <w:p>
                  <w:pPr>
                    <w:pStyle w:val="Compact"/>
                  </w:pPr>
                </w:p>
              </w:tc>
              <w:tc>
                <w:tcPr/>
                <w:p>
                  <w:pPr>
                    <w:pStyle w:val="Compact"/>
                    <w:jc w:val="center"/>
                    <w:jc w:val="center"/>
                  </w:pPr>
                  <w:r>
                    <w:t xml:space="preserve">Coef.</w:t>
                  </w:r>
                </w:p>
              </w:tc>
              <w:tc>
                <w:tcPr/>
                <w:p>
                  <w:pPr>
                    <w:pStyle w:val="Compact"/>
                    <w:jc w:val="center"/>
                    <w:jc w:val="center"/>
                  </w:pPr>
                  <w:r>
                    <w:t xml:space="preserve">Est.</w:t>
                  </w:r>
                </w:p>
              </w:tc>
              <w:tc>
                <w:tcPr/>
                <w:p>
                  <w:pPr>
                    <w:pStyle w:val="Compact"/>
                  </w:pPr>
                </w:p>
              </w:tc>
              <w:tc>
                <w:tcPr/>
                <w:p>
                  <w:pPr>
                    <w:pStyle w:val="Compact"/>
                    <w:jc w:val="center"/>
                    <w:jc w:val="center"/>
                  </w:pPr>
                  <w:r>
                    <w:t xml:space="preserve">LL</w:t>
                  </w:r>
                </w:p>
              </w:tc>
              <w:tc>
                <w:tcPr/>
                <w:p>
                  <w:pPr>
                    <w:pStyle w:val="Compact"/>
                    <w:jc w:val="center"/>
                    <w:jc w:val="center"/>
                  </w:pPr>
                  <w:r>
                    <w:t xml:space="preserve">UL</w:t>
                  </w:r>
                </w:p>
              </w:tc>
            </w:tr>
            <w:tr>
              <w:tc>
                <w:tcPr/>
                <w:p>
                  <w:pPr>
                    <w:pStyle w:val="Compact"/>
                    <w:jc w:val="left"/>
                    <w:jc w:val="center"/>
                  </w:pPr>
                  <w:r>
                    <w:rPr>
                      <w:i/>
                      <w:iCs/>
                    </w:rPr>
                    <w:t xml:space="preserve">Fixed Effects</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Intercept</w:t>
                  </w:r>
                </w:p>
              </w:tc>
              <w:tc>
                <w:tcPr/>
                <w:p>
                  <w:pPr>
                    <w:pStyle w:val="Compact"/>
                    <w:jc w:val="center"/>
                    <w:jc w:val="center"/>
                  </w:pPr>
                  <w:r>
                    <w:t xml:space="preserve">μ</w:t>
                  </w:r>
                </w:p>
              </w:tc>
              <w:tc>
                <w:tcPr/>
                <w:p>
                  <w:pPr>
                    <w:pStyle w:val="Compact"/>
                    <w:jc w:val="center"/>
                    <w:jc w:val="center"/>
                  </w:pPr>
                  <w:r>
                    <w:t xml:space="preserve">3.83</w:t>
                  </w:r>
                </w:p>
              </w:tc>
              <w:tc>
                <w:tcPr/>
                <w:p>
                  <w:pPr>
                    <w:pStyle w:val="Compact"/>
                    <w:jc w:val="center"/>
                    <w:jc w:val="center"/>
                  </w:pPr>
                  <w:r>
                    <w:t xml:space="preserve">***</w:t>
                  </w:r>
                </w:p>
              </w:tc>
              <w:tc>
                <w:tcPr/>
                <w:p>
                  <w:pPr>
                    <w:pStyle w:val="Compact"/>
                    <w:jc w:val="center"/>
                    <w:jc w:val="center"/>
                  </w:pPr>
                  <w:r>
                    <w:t xml:space="preserve">3.56</w:t>
                  </w:r>
                </w:p>
              </w:tc>
              <w:tc>
                <w:tcPr/>
                <w:p>
                  <w:pPr>
                    <w:pStyle w:val="Compact"/>
                    <w:jc w:val="center"/>
                    <w:jc w:val="center"/>
                  </w:pPr>
                  <w:r>
                    <w:t xml:space="preserve">4.10</w:t>
                  </w:r>
                </w:p>
              </w:tc>
            </w:tr>
            <w:tr>
              <w:tc>
                <w:tcPr/>
                <w:p>
                  <w:pPr>
                    <w:pStyle w:val="Compact"/>
                    <w:jc w:val="left"/>
                    <w:jc w:val="center"/>
                  </w:pPr>
                  <w:r>
                    <w:t xml:space="preserve">Correct Answer (FC)</w:t>
                  </w:r>
                </w:p>
              </w:tc>
              <w:tc>
                <w:tcPr/>
                <w:p>
                  <w:pPr>
                    <w:pStyle w:val="Compact"/>
                    <w:jc w:val="center"/>
                    <w:jc w:val="center"/>
                  </w:pPr>
                  <w:r>
                    <w:t xml:space="preserve">γ</w:t>
                  </w:r>
                  <w:r>
                    <w:rPr>
                      <w:vertAlign w:val="subscript"/>
                    </w:rPr>
                    <w:t xml:space="preserve">1</w:t>
                  </w:r>
                </w:p>
              </w:tc>
              <w:tc>
                <w:tcPr/>
                <w:p>
                  <w:pPr>
                    <w:pStyle w:val="Compact"/>
                    <w:jc w:val="center"/>
                    <w:jc w:val="center"/>
                  </w:pPr>
                  <w:r>
                    <w:t xml:space="preserve">0.21</w:t>
                  </w:r>
                </w:p>
              </w:tc>
              <w:tc>
                <w:tcPr/>
                <w:p>
                  <w:pPr>
                    <w:pStyle w:val="Compact"/>
                    <w:jc w:val="center"/>
                    <w:jc w:val="center"/>
                  </w:pPr>
                  <w:r>
                    <w:t xml:space="preserve">***</w:t>
                  </w:r>
                </w:p>
              </w:tc>
              <w:tc>
                <w:tcPr/>
                <w:p>
                  <w:pPr>
                    <w:pStyle w:val="Compact"/>
                    <w:jc w:val="center"/>
                    <w:jc w:val="center"/>
                  </w:pPr>
                  <w:r>
                    <w:t xml:space="preserve">0.17</w:t>
                  </w:r>
                </w:p>
              </w:tc>
              <w:tc>
                <w:tcPr/>
                <w:p>
                  <w:pPr>
                    <w:pStyle w:val="Compact"/>
                    <w:jc w:val="center"/>
                    <w:jc w:val="center"/>
                  </w:pPr>
                  <w:r>
                    <w:t xml:space="preserve">0.25</w:t>
                  </w:r>
                </w:p>
              </w:tc>
            </w:tr>
            <w:tr>
              <w:tc>
                <w:tcPr/>
                <w:p>
                  <w:pPr>
                    <w:pStyle w:val="Compact"/>
                    <w:jc w:val="left"/>
                    <w:jc w:val="center"/>
                  </w:pPr>
                  <w:r>
                    <w:rPr>
                      <w:i/>
                      <w:iCs/>
                    </w:rPr>
                    <w:t xml:space="preserve">Random Effects</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Person intercept variance</w:t>
                  </w:r>
                </w:p>
              </w:tc>
              <w:tc>
                <w:tcPr/>
                <w:p>
                  <w:pPr>
                    <w:pStyle w:val="Compact"/>
                    <w:jc w:val="center"/>
                    <w:jc w:val="center"/>
                  </w:pPr>
                  <w:r>
                    <w:t xml:space="preserve">var(</w:t>
                  </w:r>
                  <w:r>
                    <w:rPr>
                      <w:i/>
                      <w:iCs/>
                    </w:rPr>
                    <w:t xml:space="preserve">ν</w:t>
                  </w:r>
                  <w:r>
                    <w:rPr>
                      <w:i/>
                      <w:iCs/>
                      <w:vertAlign w:val="subscript"/>
                    </w:rPr>
                    <w:t xml:space="preserve">j</w:t>
                  </w:r>
                  <w:r>
                    <w:t xml:space="preserve"> </w:t>
                  </w:r>
                  <w:r>
                    <w:t xml:space="preserve">)</w:t>
                  </w:r>
                </w:p>
              </w:tc>
              <w:tc>
                <w:tcPr/>
                <w:p>
                  <w:pPr>
                    <w:pStyle w:val="Compact"/>
                    <w:jc w:val="center"/>
                    <w:jc w:val="center"/>
                  </w:pPr>
                  <w:r>
                    <w:t xml:space="preserve">0.17</w:t>
                  </w:r>
                </w:p>
              </w:tc>
              <w:tc>
                <w:tcPr/>
                <w:p>
                  <w:pPr>
                    <w:pStyle w:val="Compact"/>
                    <w:jc w:val="center"/>
                    <w:jc w:val="center"/>
                  </w:pPr>
                  <w:r>
                    <w:t xml:space="preserve">***</w:t>
                  </w:r>
                </w:p>
              </w:tc>
              <w:tc>
                <w:tcPr/>
                <w:p>
                  <w:pPr>
                    <w:pStyle w:val="Compact"/>
                  </w:pPr>
                </w:p>
              </w:tc>
              <w:tc>
                <w:tcPr/>
                <w:p>
                  <w:pPr>
                    <w:pStyle w:val="Compact"/>
                  </w:pPr>
                </w:p>
              </w:tc>
            </w:tr>
            <w:tr>
              <w:tc>
                <w:tcPr/>
                <w:p>
                  <w:pPr>
                    <w:pStyle w:val="Compact"/>
                    <w:jc w:val="left"/>
                    <w:jc w:val="center"/>
                  </w:pPr>
                  <w:r>
                    <w:t xml:space="preserve">Item intercept variance</w:t>
                  </w:r>
                </w:p>
              </w:tc>
              <w:tc>
                <w:tcPr/>
                <w:p>
                  <w:pPr>
                    <w:pStyle w:val="Compact"/>
                    <w:jc w:val="center"/>
                    <w:jc w:val="center"/>
                  </w:pPr>
                  <w:r>
                    <w:t xml:space="preserve">var(</w:t>
                  </w:r>
                  <w:r>
                    <w:rPr>
                      <w:i/>
                      <w:iCs/>
                    </w:rPr>
                    <w:t xml:space="preserve">β</w:t>
                  </w:r>
                  <w:r>
                    <w:rPr>
                      <w:i/>
                      <w:iCs/>
                      <w:vertAlign w:val="subscript"/>
                    </w:rPr>
                    <w:t xml:space="preserve">i</w:t>
                  </w:r>
                  <w:r>
                    <w:t xml:space="preserve"> </w:t>
                  </w:r>
                  <w:r>
                    <w:t xml:space="preserve">)</w:t>
                  </w:r>
                </w:p>
              </w:tc>
              <w:tc>
                <w:tcPr/>
                <w:p>
                  <w:pPr>
                    <w:pStyle w:val="Compact"/>
                    <w:jc w:val="center"/>
                    <w:jc w:val="center"/>
                  </w:pPr>
                  <w:r>
                    <w:t xml:space="preserve">0.22</w:t>
                  </w:r>
                </w:p>
              </w:tc>
              <w:tc>
                <w:tcPr/>
                <w:p>
                  <w:pPr>
                    <w:pStyle w:val="Compact"/>
                    <w:jc w:val="center"/>
                    <w:jc w:val="center"/>
                  </w:pPr>
                  <w:r>
                    <w:t xml:space="preserve">***</w:t>
                  </w:r>
                </w:p>
              </w:tc>
              <w:tc>
                <w:tcPr/>
                <w:p>
                  <w:pPr>
                    <w:pStyle w:val="Compact"/>
                  </w:pPr>
                </w:p>
              </w:tc>
              <w:tc>
                <w:tcPr/>
                <w:p>
                  <w:pPr>
                    <w:pStyle w:val="Compact"/>
                  </w:pPr>
                </w:p>
              </w:tc>
            </w:tr>
            <w:tr>
              <w:tc>
                <w:tcPr/>
                <w:p>
                  <w:pPr>
                    <w:pStyle w:val="Compact"/>
                    <w:jc w:val="left"/>
                    <w:jc w:val="center"/>
                  </w:pPr>
                  <w:r>
                    <w:t xml:space="preserve">Residual Variance</w:t>
                  </w:r>
                </w:p>
              </w:tc>
              <w:tc>
                <w:tcPr/>
                <w:p>
                  <w:pPr>
                    <w:pStyle w:val="Compact"/>
                    <w:jc w:val="center"/>
                    <w:jc w:val="center"/>
                  </w:pPr>
                  <w:r>
                    <w:t xml:space="preserve">var(</w:t>
                  </w:r>
                  <w:r>
                    <w:rPr>
                      <w:i/>
                      <w:iCs/>
                    </w:rPr>
                    <w:t xml:space="preserve">ε</w:t>
                  </w:r>
                  <w:r>
                    <w:rPr>
                      <w:i/>
                      <w:iCs/>
                      <w:vertAlign w:val="subscript"/>
                    </w:rPr>
                    <w:t xml:space="preserve">ij</w:t>
                  </w:r>
                  <w:r>
                    <w:t xml:space="preserve"> </w:t>
                  </w:r>
                  <w:r>
                    <w:t xml:space="preserve">)</w:t>
                  </w:r>
                </w:p>
              </w:tc>
              <w:tc>
                <w:tcPr/>
                <w:p>
                  <w:pPr>
                    <w:pStyle w:val="Compact"/>
                    <w:jc w:val="center"/>
                    <w:jc w:val="center"/>
                  </w:pPr>
                  <w:r>
                    <w:t xml:space="preserve">0.41</w:t>
                  </w:r>
                </w:p>
              </w:tc>
              <w:tc>
                <w:tcPr/>
                <w:p>
                  <w:pPr>
                    <w:pStyle w:val="Compact"/>
                  </w:pPr>
                </w:p>
              </w:tc>
              <w:tc>
                <w:tcPr/>
                <w:p>
                  <w:pPr>
                    <w:pStyle w:val="Compact"/>
                  </w:pPr>
                </w:p>
              </w:tc>
              <w:tc>
                <w:tcPr/>
                <w:p>
                  <w:pPr>
                    <w:pStyle w:val="Compact"/>
                  </w:pPr>
                </w:p>
              </w:tc>
            </w:tr>
          </w:tbl>
          <w:bookmarkEnd w:id="91"/>
          <w:p/>
        </w:tc>
      </w:tr>
    </w:tbl>
    <w:p>
      <w:pPr>
        <w:pStyle w:val="BodyText"/>
      </w:pPr>
      <w:r>
        <w:rPr>
          <w:i/>
          <w:iCs/>
        </w:rPr>
        <w:t xml:space="preserve">Note.</w:t>
      </w:r>
      <w:r>
        <w:t xml:space="preserve"> </w:t>
      </w:r>
      <w:r>
        <w:t xml:space="preserve">Coef – coefficient; Est – estimate; CI – confidence interval; LL</w:t>
      </w:r>
      <w:r>
        <w:t xml:space="preserve"> </w:t>
      </w:r>
      <w:r>
        <w:t xml:space="preserve">– lower limit; UL – upper limit; Var – variance. * p &lt; .05, ** p &lt;</w:t>
      </w:r>
      <w:r>
        <w:t xml:space="preserve"> </w:t>
      </w:r>
      <w:r>
        <w:t xml:space="preserve">.01, *** p &lt; .001.</w:t>
      </w:r>
    </w:p>
    <w:tbl>
      <w:tblPr>
        <w:tblStyle w:val="Table"/>
        <w:tblW w:type="pct" w:w="5000"/>
        <w:tblLayout w:type="fixed"/>
        <w:tblLook w:firstRow="0" w:lastRow="0" w:firstColumn="0" w:lastColumn="0" w:noHBand="0" w:noVBand="0" w:val="0000"/>
      </w:tblPr>
      <w:tblGrid>
        <w:gridCol w:w="7920"/>
      </w:tblGrid>
      <w:tr>
        <w:tc>
          <w:tcPr/>
          <w:bookmarkStart w:id="92" w:name="tbl-Table4"/>
          <w:p>
            <w:pPr>
              <w:jc w:val="center"/>
            </w:pPr>
            <w:pPr>
              <w:jc w:val="start"/>
              <w:spacing w:before="200"/>
              <w:pStyle w:val="ImageCaption"/>
            </w:pPr>
            <w:r>
              <w:t xml:space="preserve">Table 4. Parameters for Model A2</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p>
              </w:tc>
              <w:tc>
                <w:tcPr/>
                <w:p>
                  <w:pPr>
                    <w:pStyle w:val="Compact"/>
                  </w:pPr>
                </w:p>
              </w:tc>
              <w:tc>
                <w:tcPr/>
                <w:p>
                  <w:pPr>
                    <w:pStyle w:val="Compact"/>
                  </w:pPr>
                </w:p>
              </w:tc>
              <w:tc>
                <w:tcPr/>
                <w:p>
                  <w:pPr>
                    <w:pStyle w:val="Compact"/>
                  </w:pPr>
                </w:p>
              </w:tc>
              <w:tc>
                <w:tcPr>
                  <w:gridSpan w:val="2"/>
                </w:tcPr>
                <w:p>
                  <w:pPr>
                    <w:pStyle w:val="Compact"/>
                    <w:jc w:val="center"/>
                    <w:jc w:val="center"/>
                  </w:pPr>
                  <w:r>
                    <w:t xml:space="preserve">95% CI</w:t>
                  </w:r>
                </w:p>
              </w:tc>
            </w:tr>
            <w:tr>
              <w:trPr>
                <w:tblHeader w:val="on"/>
              </w:trPr>
              <w:tc>
                <w:tcPr/>
                <w:p>
                  <w:pPr>
                    <w:pStyle w:val="Compact"/>
                  </w:pPr>
                </w:p>
              </w:tc>
              <w:tc>
                <w:tcPr/>
                <w:p>
                  <w:pPr>
                    <w:pStyle w:val="Compact"/>
                    <w:jc w:val="center"/>
                    <w:jc w:val="center"/>
                  </w:pPr>
                  <w:r>
                    <w:t xml:space="preserve">Coef.</w:t>
                  </w:r>
                </w:p>
              </w:tc>
              <w:tc>
                <w:tcPr/>
                <w:p>
                  <w:pPr>
                    <w:pStyle w:val="Compact"/>
                    <w:jc w:val="center"/>
                    <w:jc w:val="center"/>
                  </w:pPr>
                  <w:r>
                    <w:t xml:space="preserve">Est.</w:t>
                  </w:r>
                </w:p>
              </w:tc>
              <w:tc>
                <w:tcPr/>
                <w:p>
                  <w:pPr>
                    <w:pStyle w:val="Compact"/>
                  </w:pPr>
                </w:p>
              </w:tc>
              <w:tc>
                <w:tcPr/>
                <w:p>
                  <w:pPr>
                    <w:pStyle w:val="Compact"/>
                    <w:jc w:val="center"/>
                    <w:jc w:val="center"/>
                  </w:pPr>
                  <w:r>
                    <w:t xml:space="preserve">LL</w:t>
                  </w:r>
                </w:p>
              </w:tc>
              <w:tc>
                <w:tcPr/>
                <w:p>
                  <w:pPr>
                    <w:pStyle w:val="Compact"/>
                    <w:jc w:val="center"/>
                    <w:jc w:val="center"/>
                  </w:pPr>
                  <w:r>
                    <w:t xml:space="preserve">UL</w:t>
                  </w:r>
                </w:p>
              </w:tc>
            </w:tr>
            <w:tr>
              <w:tc>
                <w:tcPr/>
                <w:p>
                  <w:pPr>
                    <w:pStyle w:val="Compact"/>
                    <w:jc w:val="left"/>
                    <w:jc w:val="center"/>
                  </w:pPr>
                  <w:r>
                    <w:rPr>
                      <w:i/>
                      <w:iCs/>
                    </w:rPr>
                    <w:t xml:space="preserve">Fixed Effects</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Intercept</w:t>
                  </w:r>
                </w:p>
              </w:tc>
              <w:tc>
                <w:tcPr/>
                <w:p>
                  <w:pPr>
                    <w:pStyle w:val="Compact"/>
                    <w:jc w:val="center"/>
                    <w:jc w:val="center"/>
                  </w:pPr>
                  <w:r>
                    <w:t xml:space="preserve">μ</w:t>
                  </w:r>
                </w:p>
              </w:tc>
              <w:tc>
                <w:tcPr/>
                <w:p>
                  <w:pPr>
                    <w:pStyle w:val="Compact"/>
                    <w:jc w:val="center"/>
                    <w:jc w:val="center"/>
                  </w:pPr>
                  <w:r>
                    <w:t xml:space="preserve">3.78</w:t>
                  </w:r>
                </w:p>
              </w:tc>
              <w:tc>
                <w:tcPr/>
                <w:p>
                  <w:pPr>
                    <w:pStyle w:val="Compact"/>
                    <w:jc w:val="center"/>
                    <w:jc w:val="center"/>
                  </w:pPr>
                  <w:r>
                    <w:t xml:space="preserve">***</w:t>
                  </w:r>
                </w:p>
              </w:tc>
              <w:tc>
                <w:tcPr/>
                <w:p>
                  <w:pPr>
                    <w:pStyle w:val="Compact"/>
                    <w:jc w:val="center"/>
                    <w:jc w:val="center"/>
                  </w:pPr>
                  <w:r>
                    <w:t xml:space="preserve">3.56</w:t>
                  </w:r>
                </w:p>
              </w:tc>
              <w:tc>
                <w:tcPr/>
                <w:p>
                  <w:pPr>
                    <w:pStyle w:val="Compact"/>
                    <w:jc w:val="center"/>
                    <w:jc w:val="center"/>
                  </w:pPr>
                  <w:r>
                    <w:t xml:space="preserve">4.00</w:t>
                  </w:r>
                </w:p>
              </w:tc>
            </w:tr>
            <w:tr>
              <w:tc>
                <w:tcPr/>
                <w:p>
                  <w:pPr>
                    <w:pStyle w:val="Compact"/>
                    <w:jc w:val="left"/>
                    <w:jc w:val="center"/>
                  </w:pPr>
                  <w:r>
                    <w:t xml:space="preserve">Correct Answer (FC)</w:t>
                  </w:r>
                </w:p>
              </w:tc>
              <w:tc>
                <w:tcPr/>
                <w:p>
                  <w:pPr>
                    <w:pStyle w:val="Compact"/>
                    <w:jc w:val="center"/>
                    <w:jc w:val="center"/>
                  </w:pPr>
                  <w:r>
                    <w:t xml:space="preserve">γ</w:t>
                  </w:r>
                  <w:r>
                    <w:rPr>
                      <w:vertAlign w:val="subscript"/>
                    </w:rPr>
                    <w:t xml:space="preserve">1</w:t>
                  </w:r>
                </w:p>
              </w:tc>
              <w:tc>
                <w:tcPr/>
                <w:p>
                  <w:pPr>
                    <w:pStyle w:val="Compact"/>
                    <w:jc w:val="center"/>
                    <w:jc w:val="center"/>
                  </w:pPr>
                  <w:r>
                    <w:t xml:space="preserve">0.18</w:t>
                  </w:r>
                </w:p>
              </w:tc>
              <w:tc>
                <w:tcPr/>
                <w:p>
                  <w:pPr>
                    <w:pStyle w:val="Compact"/>
                    <w:jc w:val="center"/>
                    <w:jc w:val="center"/>
                  </w:pPr>
                  <w:r>
                    <w:t xml:space="preserve">***</w:t>
                  </w:r>
                </w:p>
              </w:tc>
              <w:tc>
                <w:tcPr/>
                <w:p>
                  <w:pPr>
                    <w:pStyle w:val="Compact"/>
                    <w:jc w:val="center"/>
                    <w:jc w:val="center"/>
                  </w:pPr>
                  <w:r>
                    <w:t xml:space="preserve">0.14</w:t>
                  </w:r>
                </w:p>
              </w:tc>
              <w:tc>
                <w:tcPr/>
                <w:p>
                  <w:pPr>
                    <w:pStyle w:val="Compact"/>
                    <w:jc w:val="center"/>
                    <w:jc w:val="center"/>
                  </w:pPr>
                  <w:r>
                    <w:t xml:space="preserve">0.22</w:t>
                  </w:r>
                </w:p>
              </w:tc>
            </w:tr>
            <w:tr>
              <w:tc>
                <w:tcPr/>
                <w:p>
                  <w:pPr>
                    <w:pStyle w:val="Compact"/>
                    <w:jc w:val="left"/>
                    <w:jc w:val="center"/>
                  </w:pPr>
                  <w:r>
                    <w:t xml:space="preserve">Item Difficulty</w:t>
                  </w:r>
                </w:p>
              </w:tc>
              <w:tc>
                <w:tcPr/>
                <w:p>
                  <w:pPr>
                    <w:pStyle w:val="Compact"/>
                    <w:jc w:val="center"/>
                    <w:jc w:val="center"/>
                  </w:pPr>
                  <w:r>
                    <w:t xml:space="preserve">γ</w:t>
                  </w:r>
                  <w:r>
                    <w:rPr>
                      <w:vertAlign w:val="subscript"/>
                    </w:rPr>
                    <w:t xml:space="preserve">2</w:t>
                  </w:r>
                </w:p>
              </w:tc>
              <w:tc>
                <w:tcPr/>
                <w:p>
                  <w:pPr>
                    <w:pStyle w:val="Compact"/>
                    <w:jc w:val="center"/>
                    <w:jc w:val="center"/>
                  </w:pPr>
                  <w:r>
                    <w:t xml:space="preserve">0.35</w:t>
                  </w:r>
                </w:p>
              </w:tc>
              <w:tc>
                <w:tcPr/>
                <w:p>
                  <w:pPr>
                    <w:pStyle w:val="Compact"/>
                    <w:jc w:val="center"/>
                    <w:jc w:val="center"/>
                  </w:pPr>
                  <w:r>
                    <w:t xml:space="preserve">***</w:t>
                  </w:r>
                </w:p>
              </w:tc>
              <w:tc>
                <w:tcPr/>
                <w:p>
                  <w:pPr>
                    <w:pStyle w:val="Compact"/>
                    <w:jc w:val="center"/>
                    <w:jc w:val="center"/>
                  </w:pPr>
                  <w:r>
                    <w:t xml:space="preserve">0.08</w:t>
                  </w:r>
                </w:p>
              </w:tc>
              <w:tc>
                <w:tcPr/>
                <w:p>
                  <w:pPr>
                    <w:pStyle w:val="Compact"/>
                    <w:jc w:val="center"/>
                    <w:jc w:val="center"/>
                  </w:pPr>
                  <w:r>
                    <w:t xml:space="preserve">0.62</w:t>
                  </w:r>
                </w:p>
              </w:tc>
            </w:tr>
            <w:tr>
              <w:tc>
                <w:tcPr/>
                <w:p>
                  <w:pPr>
                    <w:pStyle w:val="Compact"/>
                    <w:jc w:val="left"/>
                    <w:jc w:val="center"/>
                  </w:pPr>
                  <w:r>
                    <w:t xml:space="preserve">Person Ability</w:t>
                  </w:r>
                </w:p>
              </w:tc>
              <w:tc>
                <w:tcPr/>
                <w:p>
                  <w:pPr>
                    <w:pStyle w:val="Compact"/>
                    <w:jc w:val="center"/>
                    <w:jc w:val="center"/>
                  </w:pPr>
                  <w:r>
                    <w:t xml:space="preserve">γ</w:t>
                  </w:r>
                  <w:r>
                    <w:rPr>
                      <w:vertAlign w:val="subscript"/>
                    </w:rPr>
                    <w:t xml:space="preserve">3</w:t>
                  </w:r>
                </w:p>
              </w:tc>
              <w:tc>
                <w:tcPr/>
                <w:p>
                  <w:pPr>
                    <w:pStyle w:val="Compact"/>
                    <w:jc w:val="center"/>
                    <w:jc w:val="center"/>
                  </w:pPr>
                  <w:r>
                    <w:t xml:space="preserve">0.13</w:t>
                  </w:r>
                </w:p>
              </w:tc>
              <w:tc>
                <w:tcPr/>
                <w:p>
                  <w:pPr>
                    <w:pStyle w:val="Compact"/>
                    <w:jc w:val="center"/>
                    <w:jc w:val="center"/>
                  </w:pPr>
                  <w:r>
                    <w:t xml:space="preserve">***</w:t>
                  </w:r>
                </w:p>
              </w:tc>
              <w:tc>
                <w:tcPr/>
                <w:p>
                  <w:pPr>
                    <w:pStyle w:val="Compact"/>
                    <w:jc w:val="center"/>
                    <w:jc w:val="center"/>
                  </w:pPr>
                  <w:r>
                    <w:t xml:space="preserve">0.09</w:t>
                  </w:r>
                </w:p>
              </w:tc>
              <w:tc>
                <w:tcPr/>
                <w:p>
                  <w:pPr>
                    <w:pStyle w:val="Compact"/>
                    <w:jc w:val="center"/>
                    <w:jc w:val="center"/>
                  </w:pPr>
                  <w:r>
                    <w:t xml:space="preserve">0.17</w:t>
                  </w:r>
                </w:p>
              </w:tc>
            </w:tr>
            <w:tr>
              <w:tc>
                <w:tcPr/>
                <w:p>
                  <w:pPr>
                    <w:pStyle w:val="Compact"/>
                    <w:jc w:val="left"/>
                    <w:jc w:val="center"/>
                  </w:pPr>
                  <w:r>
                    <w:rPr>
                      <w:i/>
                      <w:iCs/>
                    </w:rPr>
                    <w:t xml:space="preserve">Random Effects</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Person intercept variance</w:t>
                  </w:r>
                </w:p>
              </w:tc>
              <w:tc>
                <w:tcPr/>
                <w:p>
                  <w:pPr>
                    <w:pStyle w:val="Compact"/>
                    <w:jc w:val="center"/>
                    <w:jc w:val="center"/>
                  </w:pPr>
                  <w:r>
                    <w:t xml:space="preserve">var(</w:t>
                  </w:r>
                  <w:r>
                    <w:rPr>
                      <w:i/>
                      <w:iCs/>
                    </w:rPr>
                    <w:t xml:space="preserve">ν</w:t>
                  </w:r>
                  <w:r>
                    <w:rPr>
                      <w:i/>
                      <w:iCs/>
                      <w:vertAlign w:val="subscript"/>
                    </w:rPr>
                    <w:t xml:space="preserve">j</w:t>
                  </w:r>
                  <w:r>
                    <w:t xml:space="preserve"> </w:t>
                  </w:r>
                  <w:r>
                    <w:t xml:space="preserve">)</w:t>
                  </w:r>
                </w:p>
              </w:tc>
              <w:tc>
                <w:tcPr/>
                <w:p>
                  <w:pPr>
                    <w:pStyle w:val="Compact"/>
                    <w:jc w:val="center"/>
                    <w:jc w:val="center"/>
                  </w:pPr>
                  <w:r>
                    <w:t xml:space="preserve">0.16</w:t>
                  </w:r>
                </w:p>
              </w:tc>
              <w:tc>
                <w:tcPr/>
                <w:p>
                  <w:pPr>
                    <w:pStyle w:val="Compact"/>
                    <w:jc w:val="center"/>
                    <w:jc w:val="center"/>
                  </w:pPr>
                  <w:r>
                    <w:t xml:space="preserve">***</w:t>
                  </w:r>
                </w:p>
              </w:tc>
              <w:tc>
                <w:tcPr/>
                <w:p>
                  <w:pPr>
                    <w:pStyle w:val="Compact"/>
                  </w:pPr>
                </w:p>
              </w:tc>
              <w:tc>
                <w:tcPr/>
                <w:p>
                  <w:pPr>
                    <w:pStyle w:val="Compact"/>
                  </w:pPr>
                </w:p>
              </w:tc>
            </w:tr>
            <w:tr>
              <w:tc>
                <w:tcPr/>
                <w:p>
                  <w:pPr>
                    <w:pStyle w:val="Compact"/>
                    <w:jc w:val="left"/>
                    <w:jc w:val="center"/>
                  </w:pPr>
                  <w:r>
                    <w:t xml:space="preserve">Item intercept variance</w:t>
                  </w:r>
                </w:p>
              </w:tc>
              <w:tc>
                <w:tcPr/>
                <w:p>
                  <w:pPr>
                    <w:pStyle w:val="Compact"/>
                    <w:jc w:val="center"/>
                    <w:jc w:val="center"/>
                  </w:pPr>
                  <w:r>
                    <w:t xml:space="preserve">var(</w:t>
                  </w:r>
                  <w:r>
                    <w:rPr>
                      <w:i/>
                      <w:iCs/>
                    </w:rPr>
                    <w:t xml:space="preserve">β</w:t>
                  </w:r>
                  <w:r>
                    <w:rPr>
                      <w:i/>
                      <w:iCs/>
                      <w:vertAlign w:val="subscript"/>
                    </w:rPr>
                    <w:t xml:space="preserve">i</w:t>
                  </w:r>
                  <w:r>
                    <w:t xml:space="preserve"> </w:t>
                  </w:r>
                  <w:r>
                    <w:t xml:space="preserve">)</w:t>
                  </w:r>
                </w:p>
              </w:tc>
              <w:tc>
                <w:tcPr/>
                <w:p>
                  <w:pPr>
                    <w:pStyle w:val="Compact"/>
                    <w:jc w:val="center"/>
                    <w:jc w:val="center"/>
                  </w:pPr>
                  <w:r>
                    <w:t xml:space="preserve">0.15</w:t>
                  </w:r>
                </w:p>
              </w:tc>
              <w:tc>
                <w:tcPr/>
                <w:p>
                  <w:pPr>
                    <w:pStyle w:val="Compact"/>
                    <w:jc w:val="center"/>
                    <w:jc w:val="center"/>
                  </w:pPr>
                  <w:r>
                    <w:t xml:space="preserve">***</w:t>
                  </w:r>
                </w:p>
              </w:tc>
              <w:tc>
                <w:tcPr/>
                <w:p>
                  <w:pPr>
                    <w:pStyle w:val="Compact"/>
                  </w:pPr>
                </w:p>
              </w:tc>
              <w:tc>
                <w:tcPr/>
                <w:p>
                  <w:pPr>
                    <w:pStyle w:val="Compact"/>
                  </w:pPr>
                </w:p>
              </w:tc>
            </w:tr>
            <w:tr>
              <w:tc>
                <w:tcPr/>
                <w:p>
                  <w:pPr>
                    <w:pStyle w:val="Compact"/>
                    <w:jc w:val="left"/>
                    <w:jc w:val="center"/>
                  </w:pPr>
                  <w:r>
                    <w:t xml:space="preserve">Residual Variance</w:t>
                  </w:r>
                </w:p>
              </w:tc>
              <w:tc>
                <w:tcPr/>
                <w:p>
                  <w:pPr>
                    <w:pStyle w:val="Compact"/>
                    <w:jc w:val="center"/>
                    <w:jc w:val="center"/>
                  </w:pPr>
                  <w:r>
                    <w:t xml:space="preserve">var(</w:t>
                  </w:r>
                  <w:r>
                    <w:rPr>
                      <w:i/>
                      <w:iCs/>
                    </w:rPr>
                    <w:t xml:space="preserve">ε</w:t>
                  </w:r>
                  <w:r>
                    <w:rPr>
                      <w:i/>
                      <w:iCs/>
                      <w:vertAlign w:val="subscript"/>
                    </w:rPr>
                    <w:t xml:space="preserve">ij</w:t>
                  </w:r>
                  <w:r>
                    <w:t xml:space="preserve"> </w:t>
                  </w:r>
                  <w:r>
                    <w:t xml:space="preserve">)</w:t>
                  </w:r>
                </w:p>
              </w:tc>
              <w:tc>
                <w:tcPr/>
                <w:p>
                  <w:pPr>
                    <w:pStyle w:val="Compact"/>
                    <w:jc w:val="center"/>
                    <w:jc w:val="center"/>
                  </w:pPr>
                  <w:r>
                    <w:t xml:space="preserve">0.41</w:t>
                  </w:r>
                </w:p>
              </w:tc>
              <w:tc>
                <w:tcPr/>
                <w:p>
                  <w:pPr>
                    <w:pStyle w:val="Compact"/>
                  </w:pPr>
                </w:p>
              </w:tc>
              <w:tc>
                <w:tcPr/>
                <w:p>
                  <w:pPr>
                    <w:pStyle w:val="Compact"/>
                  </w:pPr>
                </w:p>
              </w:tc>
              <w:tc>
                <w:tcPr/>
                <w:p>
                  <w:pPr>
                    <w:pStyle w:val="Compact"/>
                  </w:pPr>
                </w:p>
              </w:tc>
            </w:tr>
          </w:tbl>
          <w:bookmarkEnd w:id="92"/>
          <w:p/>
        </w:tc>
      </w:tr>
    </w:tbl>
    <w:p>
      <w:pPr>
        <w:pStyle w:val="BodyText"/>
      </w:pPr>
      <w:r>
        <w:rPr>
          <w:i/>
          <w:iCs/>
        </w:rPr>
        <w:t xml:space="preserve">Note.</w:t>
      </w:r>
      <w:r>
        <w:t xml:space="preserve"> </w:t>
      </w:r>
      <w:r>
        <w:t xml:space="preserve">Coef – coefficient; Est – estimate; CI – confidence interval; LL</w:t>
      </w:r>
      <w:r>
        <w:t xml:space="preserve"> </w:t>
      </w:r>
      <w:r>
        <w:t xml:space="preserve">– lower limit; UL – upper limit; Var – variance. * p &lt; .05, ** p &lt;</w:t>
      </w:r>
      <w:r>
        <w:t xml:space="preserve"> </w:t>
      </w:r>
      <w:r>
        <w:t xml:space="preserve">.01, *** p &lt; .001.</w:t>
      </w:r>
    </w:p>
    <w:tbl>
      <w:tblPr>
        <w:tblStyle w:val="Table"/>
        <w:tblW w:type="pct" w:w="5000"/>
        <w:tblLayout w:type="fixed"/>
        <w:tblLook w:firstRow="0" w:lastRow="0" w:firstColumn="0" w:lastColumn="0" w:noHBand="0" w:noVBand="0" w:val="0000"/>
      </w:tblPr>
      <w:tblGrid>
        <w:gridCol w:w="7920"/>
      </w:tblGrid>
      <w:tr>
        <w:tc>
          <w:tcPr/>
          <w:bookmarkStart w:id="93" w:name="tbl-Table5"/>
          <w:p>
            <w:pPr>
              <w:jc w:val="center"/>
            </w:pPr>
            <w:pPr>
              <w:jc w:val="start"/>
              <w:spacing w:before="200"/>
              <w:pStyle w:val="ImageCaption"/>
            </w:pPr>
            <w:r>
              <w:t xml:space="preserve">Table 5. Parameters for Model A3</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p>
              </w:tc>
              <w:tc>
                <w:tcPr/>
                <w:p>
                  <w:pPr>
                    <w:pStyle w:val="Compact"/>
                  </w:pPr>
                </w:p>
              </w:tc>
              <w:tc>
                <w:tcPr/>
                <w:p>
                  <w:pPr>
                    <w:pStyle w:val="Compact"/>
                  </w:pPr>
                </w:p>
              </w:tc>
              <w:tc>
                <w:tcPr/>
                <w:p>
                  <w:pPr>
                    <w:pStyle w:val="Compact"/>
                  </w:pPr>
                </w:p>
              </w:tc>
              <w:tc>
                <w:tcPr>
                  <w:gridSpan w:val="2"/>
                </w:tcPr>
                <w:p>
                  <w:pPr>
                    <w:pStyle w:val="Compact"/>
                    <w:jc w:val="center"/>
                    <w:jc w:val="center"/>
                  </w:pPr>
                  <w:r>
                    <w:t xml:space="preserve">95% CI</w:t>
                  </w:r>
                </w:p>
              </w:tc>
            </w:tr>
            <w:tr>
              <w:trPr>
                <w:tblHeader w:val="on"/>
              </w:trPr>
              <w:tc>
                <w:tcPr/>
                <w:p>
                  <w:pPr>
                    <w:pStyle w:val="Compact"/>
                  </w:pPr>
                </w:p>
              </w:tc>
              <w:tc>
                <w:tcPr/>
                <w:p>
                  <w:pPr>
                    <w:pStyle w:val="Compact"/>
                    <w:jc w:val="center"/>
                    <w:jc w:val="center"/>
                  </w:pPr>
                  <w:r>
                    <w:t xml:space="preserve">Coef.</w:t>
                  </w:r>
                </w:p>
              </w:tc>
              <w:tc>
                <w:tcPr/>
                <w:p>
                  <w:pPr>
                    <w:pStyle w:val="Compact"/>
                    <w:jc w:val="center"/>
                    <w:jc w:val="center"/>
                  </w:pPr>
                  <w:r>
                    <w:t xml:space="preserve">Est.</w:t>
                  </w:r>
                </w:p>
              </w:tc>
              <w:tc>
                <w:tcPr/>
                <w:p>
                  <w:pPr>
                    <w:pStyle w:val="Compact"/>
                  </w:pPr>
                </w:p>
              </w:tc>
              <w:tc>
                <w:tcPr/>
                <w:p>
                  <w:pPr>
                    <w:pStyle w:val="Compact"/>
                    <w:jc w:val="center"/>
                    <w:jc w:val="center"/>
                  </w:pPr>
                  <w:r>
                    <w:t xml:space="preserve">LL</w:t>
                  </w:r>
                </w:p>
              </w:tc>
              <w:tc>
                <w:tcPr/>
                <w:p>
                  <w:pPr>
                    <w:pStyle w:val="Compact"/>
                    <w:jc w:val="center"/>
                    <w:jc w:val="center"/>
                  </w:pPr>
                  <w:r>
                    <w:t xml:space="preserve">UL</w:t>
                  </w:r>
                </w:p>
              </w:tc>
            </w:tr>
            <w:tr>
              <w:tc>
                <w:tcPr/>
                <w:p>
                  <w:pPr>
                    <w:pStyle w:val="Compact"/>
                    <w:jc w:val="left"/>
                    <w:jc w:val="center"/>
                  </w:pPr>
                  <w:r>
                    <w:rPr>
                      <w:i/>
                      <w:iCs/>
                    </w:rPr>
                    <w:t xml:space="preserve">Fixed Effects</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Intercept</w:t>
                  </w:r>
                </w:p>
              </w:tc>
              <w:tc>
                <w:tcPr/>
                <w:p>
                  <w:pPr>
                    <w:pStyle w:val="Compact"/>
                    <w:jc w:val="center"/>
                    <w:jc w:val="center"/>
                  </w:pPr>
                  <w:r>
                    <w:t xml:space="preserve">μ</w:t>
                  </w:r>
                </w:p>
              </w:tc>
              <w:tc>
                <w:tcPr/>
                <w:p>
                  <w:pPr>
                    <w:pStyle w:val="Compact"/>
                    <w:jc w:val="center"/>
                    <w:jc w:val="center"/>
                  </w:pPr>
                  <w:r>
                    <w:t xml:space="preserve">3.83</w:t>
                  </w:r>
                </w:p>
              </w:tc>
              <w:tc>
                <w:tcPr/>
                <w:p>
                  <w:pPr>
                    <w:pStyle w:val="Compact"/>
                    <w:jc w:val="center"/>
                    <w:jc w:val="center"/>
                  </w:pPr>
                  <w:r>
                    <w:t xml:space="preserve">***</w:t>
                  </w:r>
                </w:p>
              </w:tc>
              <w:tc>
                <w:tcPr/>
                <w:p>
                  <w:pPr>
                    <w:pStyle w:val="Compact"/>
                    <w:jc w:val="center"/>
                    <w:jc w:val="center"/>
                  </w:pPr>
                  <w:r>
                    <w:t xml:space="preserve">3.60</w:t>
                  </w:r>
                </w:p>
              </w:tc>
              <w:tc>
                <w:tcPr/>
                <w:p>
                  <w:pPr>
                    <w:pStyle w:val="Compact"/>
                    <w:jc w:val="center"/>
                    <w:jc w:val="center"/>
                  </w:pPr>
                  <w:r>
                    <w:t xml:space="preserve">4.05</w:t>
                  </w:r>
                </w:p>
              </w:tc>
            </w:tr>
            <w:tr>
              <w:tc>
                <w:tcPr/>
                <w:p>
                  <w:pPr>
                    <w:pStyle w:val="Compact"/>
                    <w:jc w:val="left"/>
                    <w:jc w:val="center"/>
                  </w:pPr>
                  <w:r>
                    <w:t xml:space="preserve">Correct Answer (FC)</w:t>
                  </w:r>
                </w:p>
              </w:tc>
              <w:tc>
                <w:tcPr/>
                <w:p>
                  <w:pPr>
                    <w:pStyle w:val="Compact"/>
                    <w:jc w:val="center"/>
                    <w:jc w:val="center"/>
                  </w:pPr>
                  <w:r>
                    <w:t xml:space="preserve">γ</w:t>
                  </w:r>
                  <w:r>
                    <w:rPr>
                      <w:vertAlign w:val="subscript"/>
                    </w:rPr>
                    <w:t xml:space="preserve">1</w:t>
                  </w:r>
                </w:p>
              </w:tc>
              <w:tc>
                <w:tcPr/>
                <w:p>
                  <w:pPr>
                    <w:pStyle w:val="Compact"/>
                    <w:jc w:val="center"/>
                    <w:jc w:val="center"/>
                  </w:pPr>
                  <w:r>
                    <w:t xml:space="preserve">0.19</w:t>
                  </w:r>
                </w:p>
              </w:tc>
              <w:tc>
                <w:tcPr/>
                <w:p>
                  <w:pPr>
                    <w:pStyle w:val="Compact"/>
                    <w:jc w:val="center"/>
                    <w:jc w:val="center"/>
                  </w:pPr>
                  <w:r>
                    <w:t xml:space="preserve">***</w:t>
                  </w:r>
                </w:p>
              </w:tc>
              <w:tc>
                <w:tcPr/>
                <w:p>
                  <w:pPr>
                    <w:pStyle w:val="Compact"/>
                    <w:jc w:val="center"/>
                    <w:jc w:val="center"/>
                  </w:pPr>
                  <w:r>
                    <w:t xml:space="preserve">0.15</w:t>
                  </w:r>
                </w:p>
              </w:tc>
              <w:tc>
                <w:tcPr/>
                <w:p>
                  <w:pPr>
                    <w:pStyle w:val="Compact"/>
                    <w:jc w:val="center"/>
                    <w:jc w:val="center"/>
                  </w:pPr>
                  <w:r>
                    <w:t xml:space="preserve">0.23</w:t>
                  </w:r>
                </w:p>
              </w:tc>
            </w:tr>
            <w:tr>
              <w:tc>
                <w:tcPr/>
                <w:p>
                  <w:pPr>
                    <w:pStyle w:val="Compact"/>
                    <w:jc w:val="left"/>
                    <w:jc w:val="center"/>
                  </w:pPr>
                  <w:r>
                    <w:t xml:space="preserve">Item Difficulty</w:t>
                  </w:r>
                </w:p>
              </w:tc>
              <w:tc>
                <w:tcPr/>
                <w:p>
                  <w:pPr>
                    <w:pStyle w:val="Compact"/>
                    <w:jc w:val="center"/>
                    <w:jc w:val="center"/>
                  </w:pPr>
                  <w:r>
                    <w:t xml:space="preserve">γ</w:t>
                  </w:r>
                  <w:r>
                    <w:rPr>
                      <w:vertAlign w:val="subscript"/>
                    </w:rPr>
                    <w:t xml:space="preserve">2</w:t>
                  </w:r>
                </w:p>
              </w:tc>
              <w:tc>
                <w:tcPr/>
                <w:p>
                  <w:pPr>
                    <w:pStyle w:val="Compact"/>
                    <w:jc w:val="center"/>
                    <w:jc w:val="center"/>
                  </w:pPr>
                  <w:r>
                    <w:t xml:space="preserve">0.35</w:t>
                  </w:r>
                </w:p>
              </w:tc>
              <w:tc>
                <w:tcPr/>
                <w:p>
                  <w:pPr>
                    <w:pStyle w:val="Compact"/>
                    <w:jc w:val="center"/>
                    <w:jc w:val="center"/>
                  </w:pPr>
                  <w:r>
                    <w:t xml:space="preserve">***</w:t>
                  </w:r>
                </w:p>
              </w:tc>
              <w:tc>
                <w:tcPr/>
                <w:p>
                  <w:pPr>
                    <w:pStyle w:val="Compact"/>
                    <w:jc w:val="center"/>
                    <w:jc w:val="center"/>
                  </w:pPr>
                  <w:r>
                    <w:t xml:space="preserve">0.07</w:t>
                  </w:r>
                </w:p>
              </w:tc>
              <w:tc>
                <w:tcPr/>
                <w:p>
                  <w:pPr>
                    <w:pStyle w:val="Compact"/>
                    <w:jc w:val="center"/>
                    <w:jc w:val="center"/>
                  </w:pPr>
                  <w:r>
                    <w:t xml:space="preserve">0.62</w:t>
                  </w:r>
                </w:p>
              </w:tc>
            </w:tr>
            <w:tr>
              <w:tc>
                <w:tcPr/>
                <w:p>
                  <w:pPr>
                    <w:pStyle w:val="Compact"/>
                    <w:jc w:val="left"/>
                    <w:jc w:val="center"/>
                  </w:pPr>
                  <w:r>
                    <w:t xml:space="preserve">Person Ability</w:t>
                  </w:r>
                </w:p>
              </w:tc>
              <w:tc>
                <w:tcPr/>
                <w:p>
                  <w:pPr>
                    <w:pStyle w:val="Compact"/>
                    <w:jc w:val="center"/>
                    <w:jc w:val="center"/>
                  </w:pPr>
                  <w:r>
                    <w:t xml:space="preserve">γ</w:t>
                  </w:r>
                  <w:r>
                    <w:rPr>
                      <w:vertAlign w:val="subscript"/>
                    </w:rPr>
                    <w:t xml:space="preserve">3</w:t>
                  </w:r>
                </w:p>
              </w:tc>
              <w:tc>
                <w:tcPr/>
                <w:p>
                  <w:pPr>
                    <w:pStyle w:val="Compact"/>
                    <w:jc w:val="center"/>
                    <w:jc w:val="center"/>
                  </w:pPr>
                  <w:r>
                    <w:t xml:space="preserve">0.22</w:t>
                  </w:r>
                </w:p>
              </w:tc>
              <w:tc>
                <w:tcPr/>
                <w:p>
                  <w:pPr>
                    <w:pStyle w:val="Compact"/>
                    <w:jc w:val="center"/>
                    <w:jc w:val="center"/>
                  </w:pPr>
                  <w:r>
                    <w:t xml:space="preserve">***</w:t>
                  </w:r>
                </w:p>
              </w:tc>
              <w:tc>
                <w:tcPr/>
                <w:p>
                  <w:pPr>
                    <w:pStyle w:val="Compact"/>
                    <w:jc w:val="center"/>
                    <w:jc w:val="center"/>
                  </w:pPr>
                  <w:r>
                    <w:t xml:space="preserve">0.18</w:t>
                  </w:r>
                </w:p>
              </w:tc>
              <w:tc>
                <w:tcPr/>
                <w:p>
                  <w:pPr>
                    <w:pStyle w:val="Compact"/>
                    <w:jc w:val="center"/>
                    <w:jc w:val="center"/>
                  </w:pPr>
                  <w:r>
                    <w:t xml:space="preserve">0.27</w:t>
                  </w:r>
                </w:p>
              </w:tc>
            </w:tr>
            <w:tr>
              <w:tc>
                <w:tcPr/>
                <w:p>
                  <w:pPr>
                    <w:pStyle w:val="Compact"/>
                    <w:jc w:val="left"/>
                    <w:jc w:val="center"/>
                  </w:pPr>
                  <w:r>
                    <w:t xml:space="preserve">FC x Ability</w:t>
                  </w:r>
                </w:p>
              </w:tc>
              <w:tc>
                <w:tcPr/>
                <w:p>
                  <w:pPr>
                    <w:pStyle w:val="Compact"/>
                    <w:jc w:val="center"/>
                    <w:jc w:val="center"/>
                  </w:pPr>
                  <w:r>
                    <w:t xml:space="preserve">γ</w:t>
                  </w:r>
                  <w:r>
                    <w:rPr>
                      <w:vertAlign w:val="subscript"/>
                    </w:rPr>
                    <w:t xml:space="preserve">13</w:t>
                  </w:r>
                </w:p>
              </w:tc>
              <w:tc>
                <w:tcPr/>
                <w:p>
                  <w:pPr>
                    <w:pStyle w:val="Compact"/>
                    <w:jc w:val="center"/>
                    <w:jc w:val="center"/>
                  </w:pPr>
                  <w:r>
                    <w:t xml:space="preserve">-0.21</w:t>
                  </w:r>
                </w:p>
              </w:tc>
              <w:tc>
                <w:tcPr/>
                <w:p>
                  <w:pPr>
                    <w:pStyle w:val="Compact"/>
                    <w:jc w:val="center"/>
                    <w:jc w:val="center"/>
                  </w:pPr>
                  <w:r>
                    <w:t xml:space="preserve">***</w:t>
                  </w:r>
                </w:p>
              </w:tc>
              <w:tc>
                <w:tcPr/>
                <w:p>
                  <w:pPr>
                    <w:pStyle w:val="Compact"/>
                    <w:jc w:val="center"/>
                    <w:jc w:val="center"/>
                  </w:pPr>
                  <w:r>
                    <w:t xml:space="preserve">-0.26</w:t>
                  </w:r>
                </w:p>
              </w:tc>
              <w:tc>
                <w:tcPr/>
                <w:p>
                  <w:pPr>
                    <w:pStyle w:val="Compact"/>
                    <w:jc w:val="center"/>
                    <w:jc w:val="center"/>
                  </w:pPr>
                  <w:r>
                    <w:t xml:space="preserve">-0.16</w:t>
                  </w:r>
                </w:p>
              </w:tc>
            </w:tr>
            <w:tr>
              <w:tc>
                <w:tcPr/>
                <w:p>
                  <w:pPr>
                    <w:pStyle w:val="Compact"/>
                    <w:jc w:val="left"/>
                    <w:jc w:val="center"/>
                  </w:pPr>
                  <w:r>
                    <w:rPr>
                      <w:i/>
                      <w:iCs/>
                    </w:rPr>
                    <w:t xml:space="preserve">Random Effects</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Person intercept variance</w:t>
                  </w:r>
                </w:p>
              </w:tc>
              <w:tc>
                <w:tcPr/>
                <w:p>
                  <w:pPr>
                    <w:pStyle w:val="Compact"/>
                    <w:jc w:val="center"/>
                    <w:jc w:val="center"/>
                  </w:pPr>
                  <w:r>
                    <w:t xml:space="preserve">var(</w:t>
                  </w:r>
                  <w:r>
                    <w:rPr>
                      <w:i/>
                      <w:iCs/>
                    </w:rPr>
                    <w:t xml:space="preserve">ν</w:t>
                  </w:r>
                  <w:r>
                    <w:rPr>
                      <w:i/>
                      <w:iCs/>
                      <w:vertAlign w:val="subscript"/>
                    </w:rPr>
                    <w:t xml:space="preserve">j</w:t>
                  </w:r>
                  <w:r>
                    <w:t xml:space="preserve"> </w:t>
                  </w:r>
                  <w:r>
                    <w:t xml:space="preserve">)</w:t>
                  </w:r>
                </w:p>
              </w:tc>
              <w:tc>
                <w:tcPr/>
                <w:p>
                  <w:pPr>
                    <w:pStyle w:val="Compact"/>
                    <w:jc w:val="center"/>
                    <w:jc w:val="center"/>
                  </w:pPr>
                  <w:r>
                    <w:t xml:space="preserve">0.15</w:t>
                  </w:r>
                </w:p>
              </w:tc>
              <w:tc>
                <w:tcPr/>
                <w:p>
                  <w:pPr>
                    <w:pStyle w:val="Compact"/>
                    <w:jc w:val="center"/>
                    <w:jc w:val="center"/>
                  </w:pPr>
                  <w:r>
                    <w:t xml:space="preserve">***</w:t>
                  </w:r>
                </w:p>
              </w:tc>
              <w:tc>
                <w:tcPr/>
                <w:p>
                  <w:pPr>
                    <w:pStyle w:val="Compact"/>
                  </w:pPr>
                </w:p>
              </w:tc>
              <w:tc>
                <w:tcPr/>
                <w:p>
                  <w:pPr>
                    <w:pStyle w:val="Compact"/>
                  </w:pPr>
                </w:p>
              </w:tc>
            </w:tr>
            <w:tr>
              <w:tc>
                <w:tcPr/>
                <w:p>
                  <w:pPr>
                    <w:pStyle w:val="Compact"/>
                    <w:jc w:val="left"/>
                    <w:jc w:val="center"/>
                  </w:pPr>
                  <w:r>
                    <w:t xml:space="preserve">Item intercept variance</w:t>
                  </w:r>
                </w:p>
              </w:tc>
              <w:tc>
                <w:tcPr/>
                <w:p>
                  <w:pPr>
                    <w:pStyle w:val="Compact"/>
                    <w:jc w:val="center"/>
                    <w:jc w:val="center"/>
                  </w:pPr>
                  <w:r>
                    <w:t xml:space="preserve">var(</w:t>
                  </w:r>
                  <w:r>
                    <w:rPr>
                      <w:i/>
                      <w:iCs/>
                    </w:rPr>
                    <w:t xml:space="preserve">β</w:t>
                  </w:r>
                  <w:r>
                    <w:rPr>
                      <w:i/>
                      <w:iCs/>
                      <w:vertAlign w:val="subscript"/>
                    </w:rPr>
                    <w:t xml:space="preserve">i</w:t>
                  </w:r>
                  <w:r>
                    <w:t xml:space="preserve"> </w:t>
                  </w:r>
                  <w:r>
                    <w:t xml:space="preserve">)</w:t>
                  </w:r>
                </w:p>
              </w:tc>
              <w:tc>
                <w:tcPr/>
                <w:p>
                  <w:pPr>
                    <w:pStyle w:val="Compact"/>
                    <w:jc w:val="center"/>
                    <w:jc w:val="center"/>
                  </w:pPr>
                  <w:r>
                    <w:t xml:space="preserve">0.16</w:t>
                  </w:r>
                </w:p>
              </w:tc>
              <w:tc>
                <w:tcPr/>
                <w:p>
                  <w:pPr>
                    <w:pStyle w:val="Compact"/>
                    <w:jc w:val="center"/>
                    <w:jc w:val="center"/>
                  </w:pPr>
                  <w:r>
                    <w:t xml:space="preserve">***</w:t>
                  </w:r>
                </w:p>
              </w:tc>
              <w:tc>
                <w:tcPr/>
                <w:p>
                  <w:pPr>
                    <w:pStyle w:val="Compact"/>
                  </w:pPr>
                </w:p>
              </w:tc>
              <w:tc>
                <w:tcPr/>
                <w:p>
                  <w:pPr>
                    <w:pStyle w:val="Compact"/>
                  </w:pPr>
                </w:p>
              </w:tc>
            </w:tr>
            <w:tr>
              <w:tc>
                <w:tcPr/>
                <w:p>
                  <w:pPr>
                    <w:pStyle w:val="Compact"/>
                    <w:jc w:val="left"/>
                    <w:jc w:val="center"/>
                  </w:pPr>
                  <w:r>
                    <w:t xml:space="preserve">Residual Variance</w:t>
                  </w:r>
                </w:p>
              </w:tc>
              <w:tc>
                <w:tcPr/>
                <w:p>
                  <w:pPr>
                    <w:pStyle w:val="Compact"/>
                    <w:jc w:val="center"/>
                    <w:jc w:val="center"/>
                  </w:pPr>
                  <w:r>
                    <w:t xml:space="preserve">var(</w:t>
                  </w:r>
                  <w:r>
                    <w:rPr>
                      <w:i/>
                      <w:iCs/>
                    </w:rPr>
                    <w:t xml:space="preserve">ε</w:t>
                  </w:r>
                  <w:r>
                    <w:rPr>
                      <w:i/>
                      <w:iCs/>
                      <w:vertAlign w:val="subscript"/>
                    </w:rPr>
                    <w:t xml:space="preserve">ij</w:t>
                  </w:r>
                  <w:r>
                    <w:t xml:space="preserve"> </w:t>
                  </w:r>
                  <w:r>
                    <w:t xml:space="preserve">)</w:t>
                  </w:r>
                </w:p>
              </w:tc>
              <w:tc>
                <w:tcPr/>
                <w:p>
                  <w:pPr>
                    <w:pStyle w:val="Compact"/>
                    <w:jc w:val="center"/>
                    <w:jc w:val="center"/>
                  </w:pPr>
                  <w:r>
                    <w:t xml:space="preserve">0.40</w:t>
                  </w:r>
                </w:p>
              </w:tc>
              <w:tc>
                <w:tcPr/>
                <w:p>
                  <w:pPr>
                    <w:pStyle w:val="Compact"/>
                  </w:pPr>
                </w:p>
              </w:tc>
              <w:tc>
                <w:tcPr/>
                <w:p>
                  <w:pPr>
                    <w:pStyle w:val="Compact"/>
                  </w:pPr>
                </w:p>
              </w:tc>
              <w:tc>
                <w:tcPr/>
                <w:p>
                  <w:pPr>
                    <w:pStyle w:val="Compact"/>
                  </w:pPr>
                </w:p>
              </w:tc>
            </w:tr>
          </w:tbl>
          <w:bookmarkEnd w:id="93"/>
          <w:p/>
        </w:tc>
      </w:tr>
    </w:tbl>
    <w:p>
      <w:pPr>
        <w:pStyle w:val="BodyText"/>
      </w:pPr>
      <w:r>
        <w:rPr>
          <w:i/>
          <w:iCs/>
        </w:rPr>
        <w:t xml:space="preserve">Note.</w:t>
      </w:r>
      <w:r>
        <w:t xml:space="preserve"> </w:t>
      </w:r>
      <w:r>
        <w:t xml:space="preserve">Coef – coefficient; Est – estimate; CI – confidence interval; LL</w:t>
      </w:r>
      <w:r>
        <w:t xml:space="preserve"> </w:t>
      </w:r>
      <w:r>
        <w:t xml:space="preserve">– lower limit; UL – upper limit; Var – variance. * p &lt; .05, ** p &lt;</w:t>
      </w:r>
      <w:r>
        <w:t xml:space="preserve"> </w:t>
      </w:r>
      <w:r>
        <w:t xml:space="preserve">.01, *** p &lt; .001.</w:t>
      </w:r>
    </w:p>
    <w:tbl>
      <w:tblPr>
        <w:tblStyle w:val="Table"/>
        <w:tblW w:type="pct" w:w="5000"/>
        <w:tblLayout w:type="fixed"/>
        <w:tblLook w:firstRow="0" w:lastRow="0" w:firstColumn="0" w:lastColumn="0" w:noHBand="0" w:noVBand="0" w:val="0000"/>
      </w:tblPr>
      <w:tblGrid>
        <w:gridCol w:w="7920"/>
      </w:tblGrid>
      <w:tr>
        <w:tc>
          <w:tcPr/>
          <w:bookmarkStart w:id="94" w:name="tbl-Table6"/>
          <w:p>
            <w:pPr>
              <w:jc w:val="center"/>
            </w:pPr>
            <w:pPr>
              <w:jc w:val="start"/>
              <w:spacing w:before="200"/>
              <w:pStyle w:val="ImageCaption"/>
            </w:pPr>
            <w:r>
              <w:t xml:space="preserve">Table 6. Model Fit For Series 1 Models</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p>
              </w:tc>
              <w:tc>
                <w:tcPr/>
                <w:p>
                  <w:pPr>
                    <w:pStyle w:val="Compact"/>
                    <w:jc w:val="center"/>
                  </w:pPr>
                  <w:r>
                    <w:t xml:space="preserve">Model 0</w:t>
                  </w:r>
                </w:p>
              </w:tc>
              <w:tc>
                <w:tcPr/>
                <w:p>
                  <w:pPr>
                    <w:pStyle w:val="Compact"/>
                    <w:jc w:val="center"/>
                  </w:pPr>
                  <w:r>
                    <w:t xml:space="preserve">Model A1</w:t>
                  </w:r>
                </w:p>
              </w:tc>
              <w:tc>
                <w:tcPr/>
                <w:p>
                  <w:pPr>
                    <w:pStyle w:val="Compact"/>
                    <w:jc w:val="center"/>
                  </w:pPr>
                  <w:r>
                    <w:t xml:space="preserve">Model A2</w:t>
                  </w:r>
                </w:p>
              </w:tc>
              <w:tc>
                <w:tcPr/>
                <w:p>
                  <w:pPr>
                    <w:pStyle w:val="Compact"/>
                    <w:jc w:val="center"/>
                  </w:pPr>
                  <w:r>
                    <w:t xml:space="preserve">Model A3</w:t>
                  </w:r>
                </w:p>
              </w:tc>
            </w:tr>
            <w:tr>
              <w:tc>
                <w:tcPr/>
                <w:p>
                  <w:pPr>
                    <w:pStyle w:val="Compact"/>
                    <w:jc w:val="center"/>
                  </w:pPr>
                  <w:r>
                    <w:t xml:space="preserve">Conditional</w:t>
                  </w:r>
                  <w:r>
                    <w:t xml:space="preserve"> </w:t>
                  </w:r>
                  <w:r>
                    <w:rPr>
                      <w:i/>
                      <w:iCs/>
                    </w:rPr>
                    <w:t xml:space="preserve">R</w:t>
                  </w:r>
                  <w:r>
                    <w:rPr>
                      <w:i/>
                      <w:iCs/>
                      <w:vertAlign w:val="superscript"/>
                    </w:rPr>
                    <w:t xml:space="preserve">2</w:t>
                  </w:r>
                </w:p>
              </w:tc>
              <w:tc>
                <w:tcPr/>
                <w:p>
                  <w:pPr>
                    <w:pStyle w:val="Compact"/>
                    <w:jc w:val="center"/>
                  </w:pPr>
                  <w:r>
                    <w:t xml:space="preserve">.48</w:t>
                  </w:r>
                </w:p>
              </w:tc>
              <w:tc>
                <w:tcPr/>
                <w:p>
                  <w:pPr>
                    <w:pStyle w:val="Compact"/>
                    <w:jc w:val="center"/>
                  </w:pPr>
                  <w:r>
                    <w:t xml:space="preserve">.50</w:t>
                  </w:r>
                </w:p>
              </w:tc>
              <w:tc>
                <w:tcPr/>
                <w:p>
                  <w:pPr>
                    <w:pStyle w:val="Compact"/>
                    <w:jc w:val="center"/>
                  </w:pPr>
                  <w:r>
                    <w:t xml:space="preserve">.50</w:t>
                  </w:r>
                </w:p>
              </w:tc>
              <w:tc>
                <w:tcPr/>
                <w:p>
                  <w:pPr>
                    <w:pStyle w:val="Compact"/>
                    <w:jc w:val="center"/>
                  </w:pPr>
                  <w:r>
                    <w:t xml:space="preserve">.50</w:t>
                  </w:r>
                </w:p>
              </w:tc>
            </w:tr>
            <w:tr>
              <w:tc>
                <w:tcPr/>
                <w:p>
                  <w:pPr>
                    <w:pStyle w:val="Compact"/>
                    <w:jc w:val="center"/>
                  </w:pPr>
                  <w:r>
                    <w:t xml:space="preserve">Marginal</w:t>
                  </w:r>
                  <w:r>
                    <w:t xml:space="preserve"> </w:t>
                  </w:r>
                  <w:r>
                    <w:rPr>
                      <w:i/>
                      <w:iCs/>
                    </w:rPr>
                    <w:t xml:space="preserve">R</w:t>
                  </w:r>
                  <w:r>
                    <w:rPr>
                      <w:i/>
                      <w:iCs/>
                      <w:vertAlign w:val="superscript"/>
                    </w:rPr>
                    <w:t xml:space="preserve">2</w:t>
                  </w:r>
                </w:p>
              </w:tc>
              <w:tc>
                <w:tcPr/>
                <w:p>
                  <w:pPr>
                    <w:pStyle w:val="Compact"/>
                    <w:jc w:val="center"/>
                  </w:pPr>
                  <w:r>
                    <w:t xml:space="preserve">.00</w:t>
                  </w:r>
                </w:p>
              </w:tc>
              <w:tc>
                <w:tcPr/>
                <w:p>
                  <w:pPr>
                    <w:pStyle w:val="Compact"/>
                    <w:jc w:val="center"/>
                  </w:pPr>
                  <w:r>
                    <w:t xml:space="preserve">.01</w:t>
                  </w:r>
                </w:p>
              </w:tc>
              <w:tc>
                <w:tcPr/>
                <w:p>
                  <w:pPr>
                    <w:pStyle w:val="Compact"/>
                    <w:jc w:val="center"/>
                  </w:pPr>
                  <w:r>
                    <w:t xml:space="preserve">.11</w:t>
                  </w:r>
                </w:p>
              </w:tc>
              <w:tc>
                <w:tcPr/>
                <w:p>
                  <w:pPr>
                    <w:pStyle w:val="Compact"/>
                    <w:jc w:val="center"/>
                  </w:pPr>
                  <w:r>
                    <w:t xml:space="preserve">.12</w:t>
                  </w:r>
                </w:p>
              </w:tc>
            </w:tr>
            <w:tr>
              <w:tc>
                <w:tcPr/>
                <w:p>
                  <w:pPr>
                    <w:pStyle w:val="Compact"/>
                    <w:jc w:val="center"/>
                  </w:pPr>
                  <w:r>
                    <w:t xml:space="preserve">Log-likelihood</w:t>
                  </w:r>
                </w:p>
              </w:tc>
              <w:tc>
                <w:tcPr/>
                <w:p>
                  <w:pPr>
                    <w:pStyle w:val="Compact"/>
                    <w:jc w:val="center"/>
                  </w:pPr>
                  <w:r>
                    <w:t xml:space="preserve">-7,558.04</w:t>
                  </w:r>
                </w:p>
              </w:tc>
              <w:tc>
                <w:tcPr/>
                <w:p>
                  <w:pPr>
                    <w:pStyle w:val="Compact"/>
                    <w:jc w:val="center"/>
                  </w:pPr>
                  <w:r>
                    <w:t xml:space="preserve">-7,503.89</w:t>
                  </w:r>
                </w:p>
              </w:tc>
              <w:tc>
                <w:tcPr/>
                <w:p>
                  <w:pPr>
                    <w:pStyle w:val="Compact"/>
                    <w:jc w:val="center"/>
                  </w:pPr>
                  <w:r>
                    <w:t xml:space="preserve">-7,483.22</w:t>
                  </w:r>
                </w:p>
              </w:tc>
              <w:tc>
                <w:tcPr/>
                <w:p>
                  <w:pPr>
                    <w:pStyle w:val="Compact"/>
                    <w:jc w:val="center"/>
                  </w:pPr>
                  <w:r>
                    <w:t xml:space="preserve">-7,446.96</w:t>
                  </w:r>
                </w:p>
              </w:tc>
            </w:tr>
            <w:tr>
              <w:tc>
                <w:tcPr/>
                <w:p>
                  <w:pPr>
                    <w:pStyle w:val="Compact"/>
                    <w:jc w:val="center"/>
                  </w:pPr>
                  <w:r>
                    <w:t xml:space="preserve">AIC</w:t>
                  </w:r>
                </w:p>
              </w:tc>
              <w:tc>
                <w:tcPr/>
                <w:p>
                  <w:pPr>
                    <w:pStyle w:val="Compact"/>
                    <w:jc w:val="center"/>
                  </w:pPr>
                  <w:r>
                    <w:t xml:space="preserve">15,124.07</w:t>
                  </w:r>
                </w:p>
              </w:tc>
              <w:tc>
                <w:tcPr/>
                <w:p>
                  <w:pPr>
                    <w:pStyle w:val="Compact"/>
                    <w:jc w:val="center"/>
                  </w:pPr>
                  <w:r>
                    <w:t xml:space="preserve">15,017.77</w:t>
                  </w:r>
                </w:p>
              </w:tc>
              <w:tc>
                <w:tcPr/>
                <w:p>
                  <w:pPr>
                    <w:pStyle w:val="Compact"/>
                    <w:jc w:val="center"/>
                  </w:pPr>
                  <w:r>
                    <w:t xml:space="preserve">14,980.44</w:t>
                  </w:r>
                </w:p>
              </w:tc>
              <w:tc>
                <w:tcPr/>
                <w:p>
                  <w:pPr>
                    <w:pStyle w:val="Compact"/>
                    <w:jc w:val="center"/>
                  </w:pPr>
                  <w:r>
                    <w:t xml:space="preserve">14,909.92</w:t>
                  </w:r>
                </w:p>
              </w:tc>
            </w:tr>
            <w:tr>
              <w:tc>
                <w:tcPr/>
                <w:p>
                  <w:pPr>
                    <w:pStyle w:val="Compact"/>
                    <w:jc w:val="center"/>
                  </w:pPr>
                  <w:r>
                    <w:t xml:space="preserve">BIC</w:t>
                  </w:r>
                </w:p>
              </w:tc>
              <w:tc>
                <w:tcPr/>
                <w:p>
                  <w:pPr>
                    <w:pStyle w:val="Compact"/>
                    <w:jc w:val="center"/>
                  </w:pPr>
                  <w:r>
                    <w:t xml:space="preserve">15,151.58</w:t>
                  </w:r>
                </w:p>
              </w:tc>
              <w:tc>
                <w:tcPr/>
                <w:p>
                  <w:pPr>
                    <w:pStyle w:val="Compact"/>
                    <w:jc w:val="center"/>
                  </w:pPr>
                  <w:r>
                    <w:t xml:space="preserve">15,052.16</w:t>
                  </w:r>
                </w:p>
              </w:tc>
              <w:tc>
                <w:tcPr/>
                <w:p>
                  <w:pPr>
                    <w:pStyle w:val="Compact"/>
                    <w:jc w:val="center"/>
                  </w:pPr>
                  <w:r>
                    <w:t xml:space="preserve">15,028.59</w:t>
                  </w:r>
                </w:p>
              </w:tc>
              <w:tc>
                <w:tcPr/>
                <w:p>
                  <w:pPr>
                    <w:pStyle w:val="Compact"/>
                    <w:jc w:val="center"/>
                  </w:pPr>
                  <w:r>
                    <w:t xml:space="preserve">14,964.95</w:t>
                  </w:r>
                </w:p>
              </w:tc>
            </w:tr>
            <w:tr>
              <w:tc>
                <w:tcPr/>
                <w:p>
                  <w:pPr>
                    <w:pStyle w:val="Compact"/>
                    <w:jc w:val="center"/>
                  </w:pPr>
                  <w:r>
                    <w:t xml:space="preserve">Δχ</w:t>
                  </w:r>
                  <w:r>
                    <w:rPr>
                      <w:vertAlign w:val="superscript"/>
                    </w:rPr>
                    <w:t xml:space="preserve">2</w:t>
                  </w:r>
                  <w:r>
                    <w:t xml:space="preserve">(df)</w:t>
                  </w:r>
                </w:p>
              </w:tc>
              <w:tc>
                <w:tcPr/>
                <w:p>
                  <w:pPr>
                    <w:pStyle w:val="Compact"/>
                  </w:pPr>
                </w:p>
              </w:tc>
              <w:tc>
                <w:tcPr/>
                <w:p>
                  <w:pPr>
                    <w:pStyle w:val="Compact"/>
                    <w:jc w:val="center"/>
                  </w:pPr>
                  <w:r>
                    <w:t xml:space="preserve">108.30(1)***</w:t>
                  </w:r>
                </w:p>
              </w:tc>
              <w:tc>
                <w:tcPr/>
                <w:p>
                  <w:pPr>
                    <w:pStyle w:val="Compact"/>
                    <w:jc w:val="center"/>
                  </w:pPr>
                  <w:r>
                    <w:t xml:space="preserve">31.33(2)***</w:t>
                  </w:r>
                </w:p>
              </w:tc>
              <w:tc>
                <w:tcPr/>
                <w:p>
                  <w:pPr>
                    <w:pStyle w:val="Compact"/>
                    <w:jc w:val="center"/>
                  </w:pPr>
                  <w:r>
                    <w:t xml:space="preserve">72.53(1)***</w:t>
                  </w:r>
                </w:p>
              </w:tc>
            </w:tr>
          </w:tbl>
          <w:bookmarkEnd w:id="94"/>
          <w:p/>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95" w:name="tbl-Table7"/>
          <w:p>
            <w:pPr>
              <w:jc w:val="center"/>
            </w:pPr>
            <w:pPr>
              <w:jc w:val="start"/>
              <w:spacing w:before="200"/>
              <w:pStyle w:val="ImageCaption"/>
            </w:pPr>
            <w:r>
              <w:t xml:space="preserve">Table 7. Parameters for Model B1</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p>
              </w:tc>
              <w:tc>
                <w:tcPr/>
                <w:p>
                  <w:pPr>
                    <w:pStyle w:val="Compact"/>
                  </w:pPr>
                </w:p>
              </w:tc>
              <w:tc>
                <w:tcPr/>
                <w:p>
                  <w:pPr>
                    <w:pStyle w:val="Compact"/>
                  </w:pPr>
                </w:p>
              </w:tc>
              <w:tc>
                <w:tcPr/>
                <w:p>
                  <w:pPr>
                    <w:pStyle w:val="Compact"/>
                  </w:pPr>
                </w:p>
              </w:tc>
              <w:tc>
                <w:tcPr>
                  <w:gridSpan w:val="2"/>
                </w:tcPr>
                <w:p>
                  <w:pPr>
                    <w:pStyle w:val="Compact"/>
                    <w:jc w:val="center"/>
                    <w:jc w:val="center"/>
                  </w:pPr>
                  <w:r>
                    <w:t xml:space="preserve">95% CI</w:t>
                  </w:r>
                </w:p>
              </w:tc>
            </w:tr>
            <w:tr>
              <w:trPr>
                <w:tblHeader w:val="on"/>
              </w:trPr>
              <w:tc>
                <w:tcPr/>
                <w:p>
                  <w:pPr>
                    <w:pStyle w:val="Compact"/>
                  </w:pPr>
                </w:p>
              </w:tc>
              <w:tc>
                <w:tcPr/>
                <w:p>
                  <w:pPr>
                    <w:pStyle w:val="Compact"/>
                    <w:jc w:val="center"/>
                    <w:jc w:val="center"/>
                  </w:pPr>
                  <w:r>
                    <w:t xml:space="preserve">Coef.</w:t>
                  </w:r>
                </w:p>
              </w:tc>
              <w:tc>
                <w:tcPr/>
                <w:p>
                  <w:pPr>
                    <w:pStyle w:val="Compact"/>
                    <w:jc w:val="center"/>
                    <w:jc w:val="center"/>
                  </w:pPr>
                  <w:r>
                    <w:t xml:space="preserve">Est.</w:t>
                  </w:r>
                </w:p>
              </w:tc>
              <w:tc>
                <w:tcPr/>
                <w:p>
                  <w:pPr>
                    <w:pStyle w:val="Compact"/>
                  </w:pPr>
                </w:p>
              </w:tc>
              <w:tc>
                <w:tcPr/>
                <w:p>
                  <w:pPr>
                    <w:pStyle w:val="Compact"/>
                    <w:jc w:val="center"/>
                    <w:jc w:val="center"/>
                  </w:pPr>
                  <w:r>
                    <w:t xml:space="preserve">LL</w:t>
                  </w:r>
                </w:p>
              </w:tc>
              <w:tc>
                <w:tcPr/>
                <w:p>
                  <w:pPr>
                    <w:pStyle w:val="Compact"/>
                    <w:jc w:val="center"/>
                    <w:jc w:val="center"/>
                  </w:pPr>
                  <w:r>
                    <w:t xml:space="preserve">UL</w:t>
                  </w:r>
                </w:p>
              </w:tc>
            </w:tr>
            <w:tr>
              <w:tc>
                <w:tcPr/>
                <w:p>
                  <w:pPr>
                    <w:pStyle w:val="Compact"/>
                    <w:jc w:val="left"/>
                    <w:jc w:val="center"/>
                  </w:pPr>
                  <w:r>
                    <w:rPr>
                      <w:i/>
                      <w:iCs/>
                    </w:rPr>
                    <w:t xml:space="preserve">Fixed Effects</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Intercept</w:t>
                  </w:r>
                </w:p>
              </w:tc>
              <w:tc>
                <w:tcPr/>
                <w:p>
                  <w:pPr>
                    <w:pStyle w:val="Compact"/>
                    <w:jc w:val="center"/>
                    <w:jc w:val="center"/>
                  </w:pPr>
                  <w:r>
                    <w:t xml:space="preserve">μ</w:t>
                  </w:r>
                </w:p>
              </w:tc>
              <w:tc>
                <w:tcPr/>
                <w:p>
                  <w:pPr>
                    <w:pStyle w:val="Compact"/>
                    <w:jc w:val="center"/>
                    <w:jc w:val="center"/>
                  </w:pPr>
                  <w:r>
                    <w:t xml:space="preserve">4.10</w:t>
                  </w:r>
                </w:p>
              </w:tc>
              <w:tc>
                <w:tcPr/>
                <w:p>
                  <w:pPr>
                    <w:pStyle w:val="Compact"/>
                    <w:jc w:val="center"/>
                    <w:jc w:val="center"/>
                  </w:pPr>
                  <w:r>
                    <w:t xml:space="preserve">***</w:t>
                  </w:r>
                </w:p>
              </w:tc>
              <w:tc>
                <w:tcPr/>
                <w:p>
                  <w:pPr>
                    <w:pStyle w:val="Compact"/>
                    <w:jc w:val="center"/>
                    <w:jc w:val="center"/>
                  </w:pPr>
                  <w:r>
                    <w:t xml:space="preserve">3.82</w:t>
                  </w:r>
                </w:p>
              </w:tc>
              <w:tc>
                <w:tcPr/>
                <w:p>
                  <w:pPr>
                    <w:pStyle w:val="Compact"/>
                    <w:jc w:val="center"/>
                    <w:jc w:val="center"/>
                  </w:pPr>
                  <w:r>
                    <w:t xml:space="preserve">4.39</w:t>
                  </w:r>
                </w:p>
              </w:tc>
            </w:tr>
            <w:tr>
              <w:tc>
                <w:tcPr/>
                <w:p>
                  <w:pPr>
                    <w:pStyle w:val="Compact"/>
                    <w:jc w:val="left"/>
                    <w:jc w:val="center"/>
                  </w:pPr>
                  <w:r>
                    <w:t xml:space="preserve">Ability-Diffiulty Distance</w:t>
                  </w:r>
                </w:p>
              </w:tc>
              <w:tc>
                <w:tcPr/>
                <w:p>
                  <w:pPr>
                    <w:pStyle w:val="Compact"/>
                    <w:jc w:val="center"/>
                    <w:jc w:val="center"/>
                  </w:pPr>
                  <w:r>
                    <w:t xml:space="preserve">γ</w:t>
                  </w:r>
                  <w:r>
                    <w:rPr>
                      <w:vertAlign w:val="subscript"/>
                    </w:rPr>
                    <w:t xml:space="preserve">4</w:t>
                  </w:r>
                </w:p>
              </w:tc>
              <w:tc>
                <w:tcPr/>
                <w:p>
                  <w:pPr>
                    <w:pStyle w:val="Compact"/>
                    <w:jc w:val="center"/>
                    <w:jc w:val="center"/>
                  </w:pPr>
                  <w:r>
                    <w:t xml:space="preserve">-0.09</w:t>
                  </w:r>
                </w:p>
              </w:tc>
              <w:tc>
                <w:tcPr/>
                <w:p>
                  <w:pPr>
                    <w:pStyle w:val="Compact"/>
                    <w:jc w:val="center"/>
                    <w:jc w:val="center"/>
                  </w:pPr>
                  <w:r>
                    <w:t xml:space="preserve">***</w:t>
                  </w:r>
                </w:p>
              </w:tc>
              <w:tc>
                <w:tcPr/>
                <w:p>
                  <w:pPr>
                    <w:pStyle w:val="Compact"/>
                    <w:jc w:val="center"/>
                    <w:jc w:val="center"/>
                  </w:pPr>
                  <w:r>
                    <w:t xml:space="preserve">-0.10</w:t>
                  </w:r>
                </w:p>
              </w:tc>
              <w:tc>
                <w:tcPr/>
                <w:p>
                  <w:pPr>
                    <w:pStyle w:val="Compact"/>
                    <w:jc w:val="center"/>
                    <w:jc w:val="center"/>
                  </w:pPr>
                  <w:r>
                    <w:t xml:space="preserve">-0.08</w:t>
                  </w:r>
                </w:p>
              </w:tc>
            </w:tr>
            <w:tr>
              <w:tc>
                <w:tcPr/>
                <w:p>
                  <w:pPr>
                    <w:pStyle w:val="Compact"/>
                    <w:jc w:val="left"/>
                    <w:jc w:val="center"/>
                  </w:pPr>
                  <w:r>
                    <w:rPr>
                      <w:i/>
                      <w:iCs/>
                    </w:rPr>
                    <w:t xml:space="preserve">Random Effects</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Person intercept variance</w:t>
                  </w:r>
                </w:p>
              </w:tc>
              <w:tc>
                <w:tcPr/>
                <w:p>
                  <w:pPr>
                    <w:pStyle w:val="Compact"/>
                    <w:jc w:val="center"/>
                    <w:jc w:val="center"/>
                  </w:pPr>
                  <w:r>
                    <w:t xml:space="preserve">var(</w:t>
                  </w:r>
                  <w:r>
                    <w:rPr>
                      <w:i/>
                      <w:iCs/>
                    </w:rPr>
                    <w:t xml:space="preserve">ν</w:t>
                  </w:r>
                  <w:r>
                    <w:rPr>
                      <w:i/>
                      <w:iCs/>
                      <w:vertAlign w:val="subscript"/>
                    </w:rPr>
                    <w:t xml:space="preserve">j</w:t>
                  </w:r>
                  <w:r>
                    <w:t xml:space="preserve"> </w:t>
                  </w:r>
                  <w:r>
                    <w:t xml:space="preserve">)</w:t>
                  </w:r>
                </w:p>
              </w:tc>
              <w:tc>
                <w:tcPr/>
                <w:p>
                  <w:pPr>
                    <w:pStyle w:val="Compact"/>
                    <w:jc w:val="center"/>
                    <w:jc w:val="center"/>
                  </w:pPr>
                  <w:r>
                    <w:t xml:space="preserve">0.17</w:t>
                  </w:r>
                </w:p>
              </w:tc>
              <w:tc>
                <w:tcPr/>
                <w:p>
                  <w:pPr>
                    <w:pStyle w:val="Compact"/>
                    <w:jc w:val="center"/>
                    <w:jc w:val="center"/>
                  </w:pPr>
                  <w:r>
                    <w:t xml:space="preserve">***</w:t>
                  </w:r>
                </w:p>
              </w:tc>
              <w:tc>
                <w:tcPr/>
                <w:p>
                  <w:pPr>
                    <w:pStyle w:val="Compact"/>
                  </w:pPr>
                </w:p>
              </w:tc>
              <w:tc>
                <w:tcPr/>
                <w:p>
                  <w:pPr>
                    <w:pStyle w:val="Compact"/>
                  </w:pPr>
                </w:p>
              </w:tc>
            </w:tr>
            <w:tr>
              <w:tc>
                <w:tcPr/>
                <w:p>
                  <w:pPr>
                    <w:pStyle w:val="Compact"/>
                    <w:jc w:val="left"/>
                    <w:jc w:val="center"/>
                  </w:pPr>
                  <w:r>
                    <w:t xml:space="preserve">Item intercept variance</w:t>
                  </w:r>
                </w:p>
              </w:tc>
              <w:tc>
                <w:tcPr/>
                <w:p>
                  <w:pPr>
                    <w:pStyle w:val="Compact"/>
                    <w:jc w:val="center"/>
                    <w:jc w:val="center"/>
                  </w:pPr>
                  <w:r>
                    <w:t xml:space="preserve">var(</w:t>
                  </w:r>
                  <w:r>
                    <w:rPr>
                      <w:i/>
                      <w:iCs/>
                    </w:rPr>
                    <w:t xml:space="preserve">β</w:t>
                  </w:r>
                  <w:r>
                    <w:rPr>
                      <w:i/>
                      <w:iCs/>
                      <w:vertAlign w:val="subscript"/>
                    </w:rPr>
                    <w:t xml:space="preserve">i</w:t>
                  </w:r>
                  <w:r>
                    <w:t xml:space="preserve"> </w:t>
                  </w:r>
                  <w:r>
                    <w:t xml:space="preserve">)</w:t>
                  </w:r>
                </w:p>
              </w:tc>
              <w:tc>
                <w:tcPr/>
                <w:p>
                  <w:pPr>
                    <w:pStyle w:val="Compact"/>
                    <w:jc w:val="center"/>
                    <w:jc w:val="center"/>
                  </w:pPr>
                  <w:r>
                    <w:t xml:space="preserve">0.24</w:t>
                  </w:r>
                </w:p>
              </w:tc>
              <w:tc>
                <w:tcPr/>
                <w:p>
                  <w:pPr>
                    <w:pStyle w:val="Compact"/>
                    <w:jc w:val="center"/>
                    <w:jc w:val="center"/>
                  </w:pPr>
                  <w:r>
                    <w:t xml:space="preserve">***</w:t>
                  </w:r>
                </w:p>
              </w:tc>
              <w:tc>
                <w:tcPr/>
                <w:p>
                  <w:pPr>
                    <w:pStyle w:val="Compact"/>
                  </w:pPr>
                </w:p>
              </w:tc>
              <w:tc>
                <w:tcPr/>
                <w:p>
                  <w:pPr>
                    <w:pStyle w:val="Compact"/>
                  </w:pPr>
                </w:p>
              </w:tc>
            </w:tr>
            <w:tr>
              <w:tc>
                <w:tcPr/>
                <w:p>
                  <w:pPr>
                    <w:pStyle w:val="Compact"/>
                    <w:jc w:val="left"/>
                    <w:jc w:val="center"/>
                  </w:pPr>
                  <w:r>
                    <w:t xml:space="preserve">Residual Variance</w:t>
                  </w:r>
                </w:p>
              </w:tc>
              <w:tc>
                <w:tcPr/>
                <w:p>
                  <w:pPr>
                    <w:pStyle w:val="Compact"/>
                    <w:jc w:val="center"/>
                    <w:jc w:val="center"/>
                  </w:pPr>
                  <w:r>
                    <w:t xml:space="preserve">var(</w:t>
                  </w:r>
                  <w:r>
                    <w:rPr>
                      <w:i/>
                      <w:iCs/>
                    </w:rPr>
                    <w:t xml:space="preserve">ε</w:t>
                  </w:r>
                  <w:r>
                    <w:rPr>
                      <w:i/>
                      <w:iCs/>
                      <w:vertAlign w:val="subscript"/>
                    </w:rPr>
                    <w:t xml:space="preserve">ij</w:t>
                  </w:r>
                  <w:r>
                    <w:t xml:space="preserve"> </w:t>
                  </w:r>
                  <w:r>
                    <w:t xml:space="preserve">)</w:t>
                  </w:r>
                </w:p>
              </w:tc>
              <w:tc>
                <w:tcPr/>
                <w:p>
                  <w:pPr>
                    <w:pStyle w:val="Compact"/>
                    <w:jc w:val="center"/>
                    <w:jc w:val="center"/>
                  </w:pPr>
                  <w:r>
                    <w:t xml:space="preserve">0.40</w:t>
                  </w:r>
                </w:p>
              </w:tc>
              <w:tc>
                <w:tcPr/>
                <w:p>
                  <w:pPr>
                    <w:pStyle w:val="Compact"/>
                  </w:pPr>
                </w:p>
              </w:tc>
              <w:tc>
                <w:tcPr/>
                <w:p>
                  <w:pPr>
                    <w:pStyle w:val="Compact"/>
                  </w:pPr>
                </w:p>
              </w:tc>
              <w:tc>
                <w:tcPr/>
                <w:p>
                  <w:pPr>
                    <w:pStyle w:val="Compact"/>
                  </w:pPr>
                </w:p>
              </w:tc>
            </w:tr>
          </w:tbl>
          <w:bookmarkEnd w:id="95"/>
          <w:p/>
        </w:tc>
      </w:tr>
    </w:tbl>
    <w:p>
      <w:pPr>
        <w:pStyle w:val="BodyText"/>
      </w:pPr>
      <w:r>
        <w:rPr>
          <w:i/>
          <w:iCs/>
        </w:rPr>
        <w:t xml:space="preserve">Note.</w:t>
      </w:r>
      <w:r>
        <w:t xml:space="preserve"> </w:t>
      </w:r>
      <w:r>
        <w:t xml:space="preserve">Coef – coefficient; Est – estimate; CI – confidence interval; LL</w:t>
      </w:r>
      <w:r>
        <w:t xml:space="preserve"> </w:t>
      </w:r>
      <w:r>
        <w:t xml:space="preserve">– lower limit; UL – upper limit; Var – variance. * p &lt; .05, ** p &lt;</w:t>
      </w:r>
      <w:r>
        <w:t xml:space="preserve"> </w:t>
      </w:r>
      <w:r>
        <w:t xml:space="preserve">.01, *** p &lt; .001.</w:t>
      </w:r>
    </w:p>
    <w:tbl>
      <w:tblPr>
        <w:tblStyle w:val="Table"/>
        <w:tblW w:type="pct" w:w="5000"/>
        <w:tblLayout w:type="fixed"/>
        <w:tblLook w:firstRow="0" w:lastRow="0" w:firstColumn="0" w:lastColumn="0" w:noHBand="0" w:noVBand="0" w:val="0000"/>
      </w:tblPr>
      <w:tblGrid>
        <w:gridCol w:w="7920"/>
      </w:tblGrid>
      <w:tr>
        <w:tc>
          <w:tcPr/>
          <w:bookmarkStart w:id="96" w:name="tbl-Table8"/>
          <w:p>
            <w:pPr>
              <w:jc w:val="center"/>
            </w:pPr>
            <w:pPr>
              <w:jc w:val="start"/>
              <w:spacing w:before="200"/>
              <w:pStyle w:val="ImageCaption"/>
            </w:pPr>
            <w:r>
              <w:t xml:space="preserve">Table 8. Parameters for Model B2</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p>
              </w:tc>
              <w:tc>
                <w:tcPr/>
                <w:p>
                  <w:pPr>
                    <w:pStyle w:val="Compact"/>
                  </w:pPr>
                </w:p>
              </w:tc>
              <w:tc>
                <w:tcPr/>
                <w:p>
                  <w:pPr>
                    <w:pStyle w:val="Compact"/>
                  </w:pPr>
                </w:p>
              </w:tc>
              <w:tc>
                <w:tcPr/>
                <w:p>
                  <w:pPr>
                    <w:pStyle w:val="Compact"/>
                  </w:pPr>
                </w:p>
              </w:tc>
              <w:tc>
                <w:tcPr>
                  <w:gridSpan w:val="2"/>
                </w:tcPr>
                <w:p>
                  <w:pPr>
                    <w:pStyle w:val="Compact"/>
                    <w:jc w:val="center"/>
                    <w:jc w:val="center"/>
                  </w:pPr>
                  <w:r>
                    <w:t xml:space="preserve">95% CI</w:t>
                  </w:r>
                </w:p>
              </w:tc>
            </w:tr>
            <w:tr>
              <w:trPr>
                <w:tblHeader w:val="on"/>
              </w:trPr>
              <w:tc>
                <w:tcPr/>
                <w:p>
                  <w:pPr>
                    <w:pStyle w:val="Compact"/>
                  </w:pPr>
                </w:p>
              </w:tc>
              <w:tc>
                <w:tcPr/>
                <w:p>
                  <w:pPr>
                    <w:pStyle w:val="Compact"/>
                    <w:jc w:val="center"/>
                    <w:jc w:val="center"/>
                  </w:pPr>
                  <w:r>
                    <w:t xml:space="preserve">Coef.</w:t>
                  </w:r>
                </w:p>
              </w:tc>
              <w:tc>
                <w:tcPr/>
                <w:p>
                  <w:pPr>
                    <w:pStyle w:val="Compact"/>
                    <w:jc w:val="center"/>
                    <w:jc w:val="center"/>
                  </w:pPr>
                  <w:r>
                    <w:t xml:space="preserve">Est.</w:t>
                  </w:r>
                </w:p>
              </w:tc>
              <w:tc>
                <w:tcPr/>
                <w:p>
                  <w:pPr>
                    <w:pStyle w:val="Compact"/>
                  </w:pPr>
                </w:p>
              </w:tc>
              <w:tc>
                <w:tcPr/>
                <w:p>
                  <w:pPr>
                    <w:pStyle w:val="Compact"/>
                    <w:jc w:val="center"/>
                    <w:jc w:val="center"/>
                  </w:pPr>
                  <w:r>
                    <w:t xml:space="preserve">LL</w:t>
                  </w:r>
                </w:p>
              </w:tc>
              <w:tc>
                <w:tcPr/>
                <w:p>
                  <w:pPr>
                    <w:pStyle w:val="Compact"/>
                    <w:jc w:val="center"/>
                    <w:jc w:val="center"/>
                  </w:pPr>
                  <w:r>
                    <w:t xml:space="preserve">UL</w:t>
                  </w:r>
                </w:p>
              </w:tc>
            </w:tr>
            <w:tr>
              <w:tc>
                <w:tcPr/>
                <w:p>
                  <w:pPr>
                    <w:pStyle w:val="Compact"/>
                    <w:jc w:val="left"/>
                    <w:jc w:val="center"/>
                  </w:pPr>
                  <w:r>
                    <w:rPr>
                      <w:i/>
                      <w:iCs/>
                    </w:rPr>
                    <w:t xml:space="preserve">Fixed Effects</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Intercept</w:t>
                  </w:r>
                </w:p>
              </w:tc>
              <w:tc>
                <w:tcPr/>
                <w:p>
                  <w:pPr>
                    <w:pStyle w:val="Compact"/>
                    <w:jc w:val="center"/>
                    <w:jc w:val="center"/>
                  </w:pPr>
                  <w:r>
                    <w:t xml:space="preserve">μ</w:t>
                  </w:r>
                </w:p>
              </w:tc>
              <w:tc>
                <w:tcPr/>
                <w:p>
                  <w:pPr>
                    <w:pStyle w:val="Compact"/>
                    <w:jc w:val="center"/>
                    <w:jc w:val="center"/>
                  </w:pPr>
                  <w:r>
                    <w:t xml:space="preserve">4.01</w:t>
                  </w:r>
                </w:p>
              </w:tc>
              <w:tc>
                <w:tcPr/>
                <w:p>
                  <w:pPr>
                    <w:pStyle w:val="Compact"/>
                    <w:jc w:val="center"/>
                    <w:jc w:val="center"/>
                  </w:pPr>
                  <w:r>
                    <w:t xml:space="preserve">***</w:t>
                  </w:r>
                </w:p>
              </w:tc>
              <w:tc>
                <w:tcPr/>
                <w:p>
                  <w:pPr>
                    <w:pStyle w:val="Compact"/>
                    <w:jc w:val="center"/>
                    <w:jc w:val="center"/>
                  </w:pPr>
                  <w:r>
                    <w:t xml:space="preserve">3.71</w:t>
                  </w:r>
                </w:p>
              </w:tc>
              <w:tc>
                <w:tcPr/>
                <w:p>
                  <w:pPr>
                    <w:pStyle w:val="Compact"/>
                    <w:jc w:val="center"/>
                    <w:jc w:val="center"/>
                  </w:pPr>
                  <w:r>
                    <w:t xml:space="preserve">4.31</w:t>
                  </w:r>
                </w:p>
              </w:tc>
            </w:tr>
            <w:tr>
              <w:tc>
                <w:tcPr/>
                <w:p>
                  <w:pPr>
                    <w:pStyle w:val="Compact"/>
                    <w:jc w:val="left"/>
                    <w:jc w:val="center"/>
                  </w:pPr>
                  <w:r>
                    <w:t xml:space="preserve">Correct Answer (FC)</w:t>
                  </w:r>
                </w:p>
              </w:tc>
              <w:tc>
                <w:tcPr/>
                <w:p>
                  <w:pPr>
                    <w:pStyle w:val="Compact"/>
                    <w:jc w:val="center"/>
                    <w:jc w:val="center"/>
                  </w:pPr>
                  <w:r>
                    <w:t xml:space="preserve">γ</w:t>
                  </w:r>
                  <w:r>
                    <w:rPr>
                      <w:vertAlign w:val="subscript"/>
                    </w:rPr>
                    <w:t xml:space="preserve">1</w:t>
                  </w:r>
                </w:p>
              </w:tc>
              <w:tc>
                <w:tcPr/>
                <w:p>
                  <w:pPr>
                    <w:pStyle w:val="Compact"/>
                    <w:jc w:val="center"/>
                    <w:jc w:val="center"/>
                  </w:pPr>
                  <w:r>
                    <w:t xml:space="preserve">0.22</w:t>
                  </w:r>
                </w:p>
              </w:tc>
              <w:tc>
                <w:tcPr/>
                <w:p>
                  <w:pPr>
                    <w:pStyle w:val="Compact"/>
                    <w:jc w:val="center"/>
                    <w:jc w:val="center"/>
                  </w:pPr>
                  <w:r>
                    <w:t xml:space="preserve">***</w:t>
                  </w:r>
                </w:p>
              </w:tc>
              <w:tc>
                <w:tcPr/>
                <w:p>
                  <w:pPr>
                    <w:pStyle w:val="Compact"/>
                    <w:jc w:val="center"/>
                    <w:jc w:val="center"/>
                  </w:pPr>
                  <w:r>
                    <w:t xml:space="preserve">0.18</w:t>
                  </w:r>
                </w:p>
              </w:tc>
              <w:tc>
                <w:tcPr/>
                <w:p>
                  <w:pPr>
                    <w:pStyle w:val="Compact"/>
                    <w:jc w:val="center"/>
                    <w:jc w:val="center"/>
                  </w:pPr>
                  <w:r>
                    <w:t xml:space="preserve">0.26</w:t>
                  </w:r>
                </w:p>
              </w:tc>
            </w:tr>
            <w:tr>
              <w:tc>
                <w:tcPr/>
                <w:p>
                  <w:pPr>
                    <w:pStyle w:val="Compact"/>
                    <w:jc w:val="left"/>
                    <w:jc w:val="center"/>
                  </w:pPr>
                  <w:r>
                    <w:t xml:space="preserve">Ability-Diffiulty Distance</w:t>
                  </w:r>
                </w:p>
              </w:tc>
              <w:tc>
                <w:tcPr/>
                <w:p>
                  <w:pPr>
                    <w:pStyle w:val="Compact"/>
                    <w:jc w:val="center"/>
                    <w:jc w:val="center"/>
                  </w:pPr>
                  <w:r>
                    <w:t xml:space="preserve">γ</w:t>
                  </w:r>
                  <w:r>
                    <w:rPr>
                      <w:vertAlign w:val="subscript"/>
                    </w:rPr>
                    <w:t xml:space="preserve">4</w:t>
                  </w:r>
                </w:p>
              </w:tc>
              <w:tc>
                <w:tcPr/>
                <w:p>
                  <w:pPr>
                    <w:pStyle w:val="Compact"/>
                    <w:jc w:val="center"/>
                    <w:jc w:val="center"/>
                  </w:pPr>
                  <w:r>
                    <w:t xml:space="preserve">-0.09</w:t>
                  </w:r>
                </w:p>
              </w:tc>
              <w:tc>
                <w:tcPr/>
                <w:p>
                  <w:pPr>
                    <w:pStyle w:val="Compact"/>
                    <w:jc w:val="center"/>
                    <w:jc w:val="center"/>
                  </w:pPr>
                  <w:r>
                    <w:t xml:space="preserve">***</w:t>
                  </w:r>
                </w:p>
              </w:tc>
              <w:tc>
                <w:tcPr/>
                <w:p>
                  <w:pPr>
                    <w:pStyle w:val="Compact"/>
                    <w:jc w:val="center"/>
                    <w:jc w:val="center"/>
                  </w:pPr>
                  <w:r>
                    <w:t xml:space="preserve">-0.11</w:t>
                  </w:r>
                </w:p>
              </w:tc>
              <w:tc>
                <w:tcPr/>
                <w:p>
                  <w:pPr>
                    <w:pStyle w:val="Compact"/>
                    <w:jc w:val="center"/>
                    <w:jc w:val="center"/>
                  </w:pPr>
                  <w:r>
                    <w:t xml:space="preserve">-0.08</w:t>
                  </w:r>
                </w:p>
              </w:tc>
            </w:tr>
            <w:tr>
              <w:tc>
                <w:tcPr/>
                <w:p>
                  <w:pPr>
                    <w:pStyle w:val="Compact"/>
                    <w:jc w:val="left"/>
                    <w:jc w:val="center"/>
                  </w:pPr>
                  <w:r>
                    <w:rPr>
                      <w:i/>
                      <w:iCs/>
                    </w:rPr>
                    <w:t xml:space="preserve">Random Effects</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Person intercept variance</w:t>
                  </w:r>
                </w:p>
              </w:tc>
              <w:tc>
                <w:tcPr/>
                <w:p>
                  <w:pPr>
                    <w:pStyle w:val="Compact"/>
                    <w:jc w:val="center"/>
                    <w:jc w:val="center"/>
                  </w:pPr>
                  <w:r>
                    <w:t xml:space="preserve">var(</w:t>
                  </w:r>
                  <w:r>
                    <w:rPr>
                      <w:i/>
                      <w:iCs/>
                    </w:rPr>
                    <w:t xml:space="preserve">ν</w:t>
                  </w:r>
                  <w:r>
                    <w:rPr>
                      <w:i/>
                      <w:iCs/>
                      <w:vertAlign w:val="subscript"/>
                    </w:rPr>
                    <w:t xml:space="preserve">j</w:t>
                  </w:r>
                  <w:r>
                    <w:t xml:space="preserve"> </w:t>
                  </w:r>
                  <w:r>
                    <w:t xml:space="preserve">)</w:t>
                  </w:r>
                </w:p>
              </w:tc>
              <w:tc>
                <w:tcPr/>
                <w:p>
                  <w:pPr>
                    <w:pStyle w:val="Compact"/>
                    <w:jc w:val="center"/>
                    <w:jc w:val="center"/>
                  </w:pPr>
                  <w:r>
                    <w:t xml:space="preserve">0.16</w:t>
                  </w:r>
                </w:p>
              </w:tc>
              <w:tc>
                <w:tcPr/>
                <w:p>
                  <w:pPr>
                    <w:pStyle w:val="Compact"/>
                    <w:jc w:val="center"/>
                    <w:jc w:val="center"/>
                  </w:pPr>
                  <w:r>
                    <w:t xml:space="preserve">***</w:t>
                  </w:r>
                </w:p>
              </w:tc>
              <w:tc>
                <w:tcPr/>
                <w:p>
                  <w:pPr>
                    <w:pStyle w:val="Compact"/>
                  </w:pPr>
                </w:p>
              </w:tc>
              <w:tc>
                <w:tcPr/>
                <w:p>
                  <w:pPr>
                    <w:pStyle w:val="Compact"/>
                  </w:pPr>
                </w:p>
              </w:tc>
            </w:tr>
            <w:tr>
              <w:tc>
                <w:tcPr/>
                <w:p>
                  <w:pPr>
                    <w:pStyle w:val="Compact"/>
                    <w:jc w:val="left"/>
                    <w:jc w:val="center"/>
                  </w:pPr>
                  <w:r>
                    <w:t xml:space="preserve">Item intercept variance</w:t>
                  </w:r>
                </w:p>
              </w:tc>
              <w:tc>
                <w:tcPr/>
                <w:p>
                  <w:pPr>
                    <w:pStyle w:val="Compact"/>
                    <w:jc w:val="center"/>
                    <w:jc w:val="center"/>
                  </w:pPr>
                  <w:r>
                    <w:t xml:space="preserve">var(</w:t>
                  </w:r>
                  <w:r>
                    <w:rPr>
                      <w:i/>
                      <w:iCs/>
                    </w:rPr>
                    <w:t xml:space="preserve">β</w:t>
                  </w:r>
                  <w:r>
                    <w:rPr>
                      <w:i/>
                      <w:iCs/>
                      <w:vertAlign w:val="subscript"/>
                    </w:rPr>
                    <w:t xml:space="preserve">i</w:t>
                  </w:r>
                  <w:r>
                    <w:t xml:space="preserve"> </w:t>
                  </w:r>
                  <w:r>
                    <w:t xml:space="preserve">)</w:t>
                  </w:r>
                </w:p>
              </w:tc>
              <w:tc>
                <w:tcPr/>
                <w:p>
                  <w:pPr>
                    <w:pStyle w:val="Compact"/>
                    <w:jc w:val="center"/>
                    <w:jc w:val="center"/>
                  </w:pPr>
                  <w:r>
                    <w:t xml:space="preserve">0.28</w:t>
                  </w:r>
                </w:p>
              </w:tc>
              <w:tc>
                <w:tcPr/>
                <w:p>
                  <w:pPr>
                    <w:pStyle w:val="Compact"/>
                    <w:jc w:val="center"/>
                    <w:jc w:val="center"/>
                  </w:pPr>
                  <w:r>
                    <w:t xml:space="preserve">***</w:t>
                  </w:r>
                </w:p>
              </w:tc>
              <w:tc>
                <w:tcPr/>
                <w:p>
                  <w:pPr>
                    <w:pStyle w:val="Compact"/>
                  </w:pPr>
                </w:p>
              </w:tc>
              <w:tc>
                <w:tcPr/>
                <w:p>
                  <w:pPr>
                    <w:pStyle w:val="Compact"/>
                  </w:pPr>
                </w:p>
              </w:tc>
            </w:tr>
            <w:tr>
              <w:tc>
                <w:tcPr/>
                <w:p>
                  <w:pPr>
                    <w:pStyle w:val="Compact"/>
                    <w:jc w:val="left"/>
                    <w:jc w:val="center"/>
                  </w:pPr>
                  <w:r>
                    <w:t xml:space="preserve">Residual Variance</w:t>
                  </w:r>
                </w:p>
              </w:tc>
              <w:tc>
                <w:tcPr/>
                <w:p>
                  <w:pPr>
                    <w:pStyle w:val="Compact"/>
                    <w:jc w:val="center"/>
                    <w:jc w:val="center"/>
                  </w:pPr>
                  <w:r>
                    <w:t xml:space="preserve">var(</w:t>
                  </w:r>
                  <w:r>
                    <w:rPr>
                      <w:i/>
                      <w:iCs/>
                    </w:rPr>
                    <w:t xml:space="preserve">ε</w:t>
                  </w:r>
                  <w:r>
                    <w:rPr>
                      <w:i/>
                      <w:iCs/>
                      <w:vertAlign w:val="subscript"/>
                    </w:rPr>
                    <w:t xml:space="preserve">ij</w:t>
                  </w:r>
                  <w:r>
                    <w:t xml:space="preserve"> </w:t>
                  </w:r>
                  <w:r>
                    <w:t xml:space="preserve">)</w:t>
                  </w:r>
                </w:p>
              </w:tc>
              <w:tc>
                <w:tcPr/>
                <w:p>
                  <w:pPr>
                    <w:pStyle w:val="Compact"/>
                    <w:jc w:val="center"/>
                    <w:jc w:val="center"/>
                  </w:pPr>
                  <w:r>
                    <w:t xml:space="preserve">0.40</w:t>
                  </w:r>
                </w:p>
              </w:tc>
              <w:tc>
                <w:tcPr/>
                <w:p>
                  <w:pPr>
                    <w:pStyle w:val="Compact"/>
                  </w:pPr>
                </w:p>
              </w:tc>
              <w:tc>
                <w:tcPr/>
                <w:p>
                  <w:pPr>
                    <w:pStyle w:val="Compact"/>
                  </w:pPr>
                </w:p>
              </w:tc>
              <w:tc>
                <w:tcPr/>
                <w:p>
                  <w:pPr>
                    <w:pStyle w:val="Compact"/>
                  </w:pPr>
                </w:p>
              </w:tc>
            </w:tr>
          </w:tbl>
          <w:bookmarkEnd w:id="96"/>
          <w:p/>
        </w:tc>
      </w:tr>
    </w:tbl>
    <w:p>
      <w:pPr>
        <w:pStyle w:val="BodyText"/>
      </w:pPr>
      <w:r>
        <w:rPr>
          <w:i/>
          <w:iCs/>
        </w:rPr>
        <w:t xml:space="preserve">Note.</w:t>
      </w:r>
      <w:r>
        <w:t xml:space="preserve"> </w:t>
      </w:r>
      <w:r>
        <w:t xml:space="preserve">Coef – coefficient; Est – estimate; CI – confidence interval; LL</w:t>
      </w:r>
      <w:r>
        <w:t xml:space="preserve"> </w:t>
      </w:r>
      <w:r>
        <w:t xml:space="preserve">– lower limit; UL – upper limit; Var – variance. * p &lt; .05, ** p &lt;</w:t>
      </w:r>
      <w:r>
        <w:t xml:space="preserve"> </w:t>
      </w:r>
      <w:r>
        <w:t xml:space="preserve">.01, *** p &lt; .001.</w:t>
      </w:r>
    </w:p>
    <w:tbl>
      <w:tblPr>
        <w:tblStyle w:val="Table"/>
        <w:tblW w:type="pct" w:w="5000"/>
        <w:tblLayout w:type="fixed"/>
        <w:tblLook w:firstRow="0" w:lastRow="0" w:firstColumn="0" w:lastColumn="0" w:noHBand="0" w:noVBand="0" w:val="0000"/>
      </w:tblPr>
      <w:tblGrid>
        <w:gridCol w:w="7920"/>
      </w:tblGrid>
      <w:tr>
        <w:tc>
          <w:tcPr/>
          <w:bookmarkStart w:id="97" w:name="tbl-Table9"/>
          <w:p>
            <w:pPr>
              <w:jc w:val="center"/>
            </w:pPr>
            <w:pPr>
              <w:jc w:val="start"/>
              <w:spacing w:before="200"/>
              <w:pStyle w:val="ImageCaption"/>
            </w:pPr>
            <w:r>
              <w:t xml:space="preserve">Table 9. Parameters for Model B3</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p>
              </w:tc>
              <w:tc>
                <w:tcPr/>
                <w:p>
                  <w:pPr>
                    <w:pStyle w:val="Compact"/>
                  </w:pPr>
                </w:p>
              </w:tc>
              <w:tc>
                <w:tcPr/>
                <w:p>
                  <w:pPr>
                    <w:pStyle w:val="Compact"/>
                  </w:pPr>
                </w:p>
              </w:tc>
              <w:tc>
                <w:tcPr/>
                <w:p>
                  <w:pPr>
                    <w:pStyle w:val="Compact"/>
                  </w:pPr>
                </w:p>
              </w:tc>
              <w:tc>
                <w:tcPr>
                  <w:gridSpan w:val="2"/>
                </w:tcPr>
                <w:p>
                  <w:pPr>
                    <w:pStyle w:val="Compact"/>
                    <w:jc w:val="center"/>
                    <w:jc w:val="center"/>
                  </w:pPr>
                  <w:r>
                    <w:t xml:space="preserve">95% CI</w:t>
                  </w:r>
                </w:p>
              </w:tc>
            </w:tr>
            <w:tr>
              <w:trPr>
                <w:tblHeader w:val="on"/>
              </w:trPr>
              <w:tc>
                <w:tcPr/>
                <w:p>
                  <w:pPr>
                    <w:pStyle w:val="Compact"/>
                  </w:pPr>
                </w:p>
              </w:tc>
              <w:tc>
                <w:tcPr/>
                <w:p>
                  <w:pPr>
                    <w:pStyle w:val="Compact"/>
                    <w:jc w:val="center"/>
                    <w:jc w:val="center"/>
                  </w:pPr>
                  <w:r>
                    <w:t xml:space="preserve">Coef.</w:t>
                  </w:r>
                </w:p>
              </w:tc>
              <w:tc>
                <w:tcPr/>
                <w:p>
                  <w:pPr>
                    <w:pStyle w:val="Compact"/>
                    <w:jc w:val="center"/>
                    <w:jc w:val="center"/>
                  </w:pPr>
                  <w:r>
                    <w:t xml:space="preserve">Est.</w:t>
                  </w:r>
                </w:p>
              </w:tc>
              <w:tc>
                <w:tcPr/>
                <w:p>
                  <w:pPr>
                    <w:pStyle w:val="Compact"/>
                  </w:pPr>
                </w:p>
              </w:tc>
              <w:tc>
                <w:tcPr/>
                <w:p>
                  <w:pPr>
                    <w:pStyle w:val="Compact"/>
                    <w:jc w:val="center"/>
                    <w:jc w:val="center"/>
                  </w:pPr>
                  <w:r>
                    <w:t xml:space="preserve">LL</w:t>
                  </w:r>
                </w:p>
              </w:tc>
              <w:tc>
                <w:tcPr/>
                <w:p>
                  <w:pPr>
                    <w:pStyle w:val="Compact"/>
                    <w:jc w:val="center"/>
                    <w:jc w:val="center"/>
                  </w:pPr>
                  <w:r>
                    <w:t xml:space="preserve">UL</w:t>
                  </w:r>
                </w:p>
              </w:tc>
            </w:tr>
            <w:tr>
              <w:tc>
                <w:tcPr/>
                <w:p>
                  <w:pPr>
                    <w:pStyle w:val="Compact"/>
                    <w:jc w:val="left"/>
                    <w:jc w:val="center"/>
                  </w:pPr>
                  <w:r>
                    <w:rPr>
                      <w:i/>
                      <w:iCs/>
                    </w:rPr>
                    <w:t xml:space="preserve">Fixed Effects</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Intercept</w:t>
                  </w:r>
                </w:p>
              </w:tc>
              <w:tc>
                <w:tcPr/>
                <w:p>
                  <w:pPr>
                    <w:pStyle w:val="Compact"/>
                    <w:jc w:val="center"/>
                    <w:jc w:val="center"/>
                  </w:pPr>
                  <w:r>
                    <w:t xml:space="preserve">μ</w:t>
                  </w:r>
                </w:p>
              </w:tc>
              <w:tc>
                <w:tcPr/>
                <w:p>
                  <w:pPr>
                    <w:pStyle w:val="Compact"/>
                    <w:jc w:val="center"/>
                    <w:jc w:val="center"/>
                  </w:pPr>
                  <w:r>
                    <w:t xml:space="preserve">3.98</w:t>
                  </w:r>
                </w:p>
              </w:tc>
              <w:tc>
                <w:tcPr/>
                <w:p>
                  <w:pPr>
                    <w:pStyle w:val="Compact"/>
                    <w:jc w:val="center"/>
                    <w:jc w:val="center"/>
                  </w:pPr>
                  <w:r>
                    <w:t xml:space="preserve">***</w:t>
                  </w:r>
                </w:p>
              </w:tc>
              <w:tc>
                <w:tcPr/>
                <w:p>
                  <w:pPr>
                    <w:pStyle w:val="Compact"/>
                    <w:jc w:val="center"/>
                    <w:jc w:val="center"/>
                  </w:pPr>
                  <w:r>
                    <w:t xml:space="preserve">3.69</w:t>
                  </w:r>
                </w:p>
              </w:tc>
              <w:tc>
                <w:tcPr/>
                <w:p>
                  <w:pPr>
                    <w:pStyle w:val="Compact"/>
                    <w:jc w:val="center"/>
                    <w:jc w:val="center"/>
                  </w:pPr>
                  <w:r>
                    <w:t xml:space="preserve">4.27</w:t>
                  </w:r>
                </w:p>
              </w:tc>
            </w:tr>
            <w:tr>
              <w:tc>
                <w:tcPr/>
                <w:p>
                  <w:pPr>
                    <w:pStyle w:val="Compact"/>
                    <w:jc w:val="left"/>
                    <w:jc w:val="center"/>
                  </w:pPr>
                  <w:r>
                    <w:t xml:space="preserve">Correct Answer (FC)</w:t>
                  </w:r>
                </w:p>
              </w:tc>
              <w:tc>
                <w:tcPr/>
                <w:p>
                  <w:pPr>
                    <w:pStyle w:val="Compact"/>
                    <w:jc w:val="center"/>
                    <w:jc w:val="center"/>
                  </w:pPr>
                  <w:r>
                    <w:t xml:space="preserve">γ</w:t>
                  </w:r>
                  <w:r>
                    <w:rPr>
                      <w:vertAlign w:val="subscript"/>
                    </w:rPr>
                    <w:t xml:space="preserve">1</w:t>
                  </w:r>
                </w:p>
              </w:tc>
              <w:tc>
                <w:tcPr/>
                <w:p>
                  <w:pPr>
                    <w:pStyle w:val="Compact"/>
                    <w:jc w:val="center"/>
                    <w:jc w:val="center"/>
                  </w:pPr>
                  <w:r>
                    <w:t xml:space="preserve">0.29</w:t>
                  </w:r>
                </w:p>
              </w:tc>
              <w:tc>
                <w:tcPr/>
                <w:p>
                  <w:pPr>
                    <w:pStyle w:val="Compact"/>
                    <w:jc w:val="center"/>
                    <w:jc w:val="center"/>
                  </w:pPr>
                  <w:r>
                    <w:t xml:space="preserve">***</w:t>
                  </w:r>
                </w:p>
              </w:tc>
              <w:tc>
                <w:tcPr/>
                <w:p>
                  <w:pPr>
                    <w:pStyle w:val="Compact"/>
                    <w:jc w:val="center"/>
                    <w:jc w:val="center"/>
                  </w:pPr>
                  <w:r>
                    <w:t xml:space="preserve">0.24</w:t>
                  </w:r>
                </w:p>
              </w:tc>
              <w:tc>
                <w:tcPr/>
                <w:p>
                  <w:pPr>
                    <w:pStyle w:val="Compact"/>
                    <w:jc w:val="center"/>
                    <w:jc w:val="center"/>
                  </w:pPr>
                  <w:r>
                    <w:t xml:space="preserve">0.34</w:t>
                  </w:r>
                </w:p>
              </w:tc>
            </w:tr>
            <w:tr>
              <w:tc>
                <w:tcPr/>
                <w:p>
                  <w:pPr>
                    <w:pStyle w:val="Compact"/>
                    <w:jc w:val="left"/>
                    <w:jc w:val="center"/>
                  </w:pPr>
                  <w:r>
                    <w:t xml:space="preserve">Ability-Diffiulty Distance</w:t>
                  </w:r>
                </w:p>
              </w:tc>
              <w:tc>
                <w:tcPr/>
                <w:p>
                  <w:pPr>
                    <w:pStyle w:val="Compact"/>
                    <w:jc w:val="center"/>
                    <w:jc w:val="center"/>
                  </w:pPr>
                  <w:r>
                    <w:t xml:space="preserve">γ</w:t>
                  </w:r>
                  <w:r>
                    <w:rPr>
                      <w:vertAlign w:val="subscript"/>
                    </w:rPr>
                    <w:t xml:space="preserve">4</w:t>
                  </w:r>
                </w:p>
              </w:tc>
              <w:tc>
                <w:tcPr/>
                <w:p>
                  <w:pPr>
                    <w:pStyle w:val="Compact"/>
                    <w:jc w:val="center"/>
                    <w:jc w:val="center"/>
                  </w:pPr>
                  <w:r>
                    <w:t xml:space="preserve">-0.07</w:t>
                  </w:r>
                </w:p>
              </w:tc>
              <w:tc>
                <w:tcPr/>
                <w:p>
                  <w:pPr>
                    <w:pStyle w:val="Compact"/>
                    <w:jc w:val="center"/>
                    <w:jc w:val="center"/>
                  </w:pPr>
                  <w:r>
                    <w:t xml:space="preserve">***</w:t>
                  </w:r>
                </w:p>
              </w:tc>
              <w:tc>
                <w:tcPr/>
                <w:p>
                  <w:pPr>
                    <w:pStyle w:val="Compact"/>
                    <w:jc w:val="center"/>
                    <w:jc w:val="center"/>
                  </w:pPr>
                  <w:r>
                    <w:t xml:space="preserve">-0.08</w:t>
                  </w:r>
                </w:p>
              </w:tc>
              <w:tc>
                <w:tcPr/>
                <w:p>
                  <w:pPr>
                    <w:pStyle w:val="Compact"/>
                    <w:jc w:val="center"/>
                    <w:jc w:val="center"/>
                  </w:pPr>
                  <w:r>
                    <w:t xml:space="preserve">-0.05</w:t>
                  </w:r>
                </w:p>
              </w:tc>
            </w:tr>
            <w:tr>
              <w:tc>
                <w:tcPr/>
                <w:p>
                  <w:pPr>
                    <w:pStyle w:val="Compact"/>
                    <w:jc w:val="left"/>
                    <w:jc w:val="center"/>
                  </w:pPr>
                  <w:r>
                    <w:t xml:space="preserve">FC x Distance</w:t>
                  </w:r>
                </w:p>
              </w:tc>
              <w:tc>
                <w:tcPr/>
                <w:p>
                  <w:pPr>
                    <w:pStyle w:val="Compact"/>
                    <w:jc w:val="center"/>
                    <w:jc w:val="center"/>
                  </w:pPr>
                  <w:r>
                    <w:t xml:space="preserve">γ</w:t>
                  </w:r>
                  <w:r>
                    <w:rPr>
                      <w:vertAlign w:val="subscript"/>
                    </w:rPr>
                    <w:t xml:space="preserve">14</w:t>
                  </w:r>
                </w:p>
              </w:tc>
              <w:tc>
                <w:tcPr/>
                <w:p>
                  <w:pPr>
                    <w:pStyle w:val="Compact"/>
                    <w:jc w:val="center"/>
                    <w:jc w:val="center"/>
                  </w:pPr>
                  <w:r>
                    <w:t xml:space="preserve">-0.08/td&gt;</w:t>
                  </w:r>
                </w:p>
              </w:tc>
              <w:tc>
                <w:tcPr/>
                <w:p>
                  <w:pPr>
                    <w:pStyle w:val="Compact"/>
                    <w:jc w:val="center"/>
                    <w:jc w:val="center"/>
                  </w:pPr>
                  <w:r>
                    <w:t xml:space="preserve">***</w:t>
                  </w:r>
                </w:p>
              </w:tc>
              <w:tc>
                <w:tcPr/>
                <w:p>
                  <w:pPr>
                    <w:pStyle w:val="Compact"/>
                    <w:jc w:val="center"/>
                    <w:jc w:val="center"/>
                  </w:pPr>
                  <w:r>
                    <w:t xml:space="preserve">-0.11</w:t>
                  </w:r>
                </w:p>
              </w:tc>
              <w:tc>
                <w:tcPr/>
                <w:p>
                  <w:pPr>
                    <w:pStyle w:val="Compact"/>
                    <w:jc w:val="center"/>
                    <w:jc w:val="center"/>
                  </w:pPr>
                  <w:r>
                    <w:t xml:space="preserve">-0.05</w:t>
                  </w:r>
                </w:p>
              </w:tc>
            </w:tr>
            <w:tr>
              <w:tc>
                <w:tcPr/>
                <w:p>
                  <w:pPr>
                    <w:pStyle w:val="Compact"/>
                    <w:jc w:val="left"/>
                    <w:jc w:val="center"/>
                  </w:pPr>
                  <w:r>
                    <w:rPr>
                      <w:i/>
                      <w:iCs/>
                    </w:rPr>
                    <w:t xml:space="preserve">Random Effects</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Person intercept variance</w:t>
                  </w:r>
                </w:p>
              </w:tc>
              <w:tc>
                <w:tcPr/>
                <w:p>
                  <w:pPr>
                    <w:pStyle w:val="Compact"/>
                    <w:jc w:val="center"/>
                    <w:jc w:val="center"/>
                  </w:pPr>
                  <w:r>
                    <w:t xml:space="preserve">var(</w:t>
                  </w:r>
                  <w:r>
                    <w:rPr>
                      <w:i/>
                      <w:iCs/>
                    </w:rPr>
                    <w:t xml:space="preserve">ν</w:t>
                  </w:r>
                  <w:r>
                    <w:rPr>
                      <w:i/>
                      <w:iCs/>
                      <w:vertAlign w:val="subscript"/>
                    </w:rPr>
                    <w:t xml:space="preserve">j</w:t>
                  </w:r>
                  <w:r>
                    <w:t xml:space="preserve"> </w:t>
                  </w:r>
                  <w:r>
                    <w:t xml:space="preserve">)</w:t>
                  </w:r>
                </w:p>
              </w:tc>
              <w:tc>
                <w:tcPr/>
                <w:p>
                  <w:pPr>
                    <w:pStyle w:val="Compact"/>
                    <w:jc w:val="center"/>
                    <w:jc w:val="center"/>
                  </w:pPr>
                  <w:r>
                    <w:t xml:space="preserve">0.17</w:t>
                  </w:r>
                </w:p>
              </w:tc>
              <w:tc>
                <w:tcPr/>
                <w:p>
                  <w:pPr>
                    <w:pStyle w:val="Compact"/>
                    <w:jc w:val="center"/>
                    <w:jc w:val="center"/>
                  </w:pPr>
                  <w:r>
                    <w:t xml:space="preserve">***</w:t>
                  </w:r>
                </w:p>
              </w:tc>
              <w:tc>
                <w:tcPr/>
                <w:p>
                  <w:pPr>
                    <w:pStyle w:val="Compact"/>
                  </w:pPr>
                </w:p>
              </w:tc>
              <w:tc>
                <w:tcPr/>
                <w:p>
                  <w:pPr>
                    <w:pStyle w:val="Compact"/>
                  </w:pPr>
                </w:p>
              </w:tc>
            </w:tr>
            <w:tr>
              <w:tc>
                <w:tcPr/>
                <w:p>
                  <w:pPr>
                    <w:pStyle w:val="Compact"/>
                    <w:jc w:val="left"/>
                    <w:jc w:val="center"/>
                  </w:pPr>
                  <w:r>
                    <w:t xml:space="preserve">Item intercept variance</w:t>
                  </w:r>
                </w:p>
              </w:tc>
              <w:tc>
                <w:tcPr/>
                <w:p>
                  <w:pPr>
                    <w:pStyle w:val="Compact"/>
                    <w:jc w:val="center"/>
                    <w:jc w:val="center"/>
                  </w:pPr>
                  <w:r>
                    <w:t xml:space="preserve">var(</w:t>
                  </w:r>
                  <w:r>
                    <w:rPr>
                      <w:i/>
                      <w:iCs/>
                    </w:rPr>
                    <w:t xml:space="preserve">β</w:t>
                  </w:r>
                  <w:r>
                    <w:rPr>
                      <w:i/>
                      <w:iCs/>
                      <w:vertAlign w:val="subscript"/>
                    </w:rPr>
                    <w:t xml:space="preserve">i</w:t>
                  </w:r>
                  <w:r>
                    <w:t xml:space="preserve"> </w:t>
                  </w:r>
                  <w:r>
                    <w:t xml:space="preserve">)</w:t>
                  </w:r>
                </w:p>
              </w:tc>
              <w:tc>
                <w:tcPr/>
                <w:p>
                  <w:pPr>
                    <w:pStyle w:val="Compact"/>
                    <w:jc w:val="center"/>
                    <w:jc w:val="center"/>
                  </w:pPr>
                  <w:r>
                    <w:t xml:space="preserve">0.26</w:t>
                  </w:r>
                </w:p>
              </w:tc>
              <w:tc>
                <w:tcPr/>
                <w:p>
                  <w:pPr>
                    <w:pStyle w:val="Compact"/>
                    <w:jc w:val="center"/>
                    <w:jc w:val="center"/>
                  </w:pPr>
                  <w:r>
                    <w:t xml:space="preserve">***</w:t>
                  </w:r>
                </w:p>
              </w:tc>
              <w:tc>
                <w:tcPr/>
                <w:p>
                  <w:pPr>
                    <w:pStyle w:val="Compact"/>
                  </w:pPr>
                </w:p>
              </w:tc>
              <w:tc>
                <w:tcPr/>
                <w:p>
                  <w:pPr>
                    <w:pStyle w:val="Compact"/>
                  </w:pPr>
                </w:p>
              </w:tc>
            </w:tr>
            <w:tr>
              <w:tc>
                <w:tcPr/>
                <w:p>
                  <w:pPr>
                    <w:pStyle w:val="Compact"/>
                    <w:jc w:val="left"/>
                    <w:jc w:val="center"/>
                  </w:pPr>
                  <w:r>
                    <w:t xml:space="preserve">Residual Variance</w:t>
                  </w:r>
                </w:p>
              </w:tc>
              <w:tc>
                <w:tcPr/>
                <w:p>
                  <w:pPr>
                    <w:pStyle w:val="Compact"/>
                    <w:jc w:val="center"/>
                    <w:jc w:val="center"/>
                  </w:pPr>
                  <w:r>
                    <w:t xml:space="preserve">var(</w:t>
                  </w:r>
                  <w:r>
                    <w:rPr>
                      <w:i/>
                      <w:iCs/>
                    </w:rPr>
                    <w:t xml:space="preserve">ε</w:t>
                  </w:r>
                  <w:r>
                    <w:rPr>
                      <w:i/>
                      <w:iCs/>
                      <w:vertAlign w:val="subscript"/>
                    </w:rPr>
                    <w:t xml:space="preserve">ij</w:t>
                  </w:r>
                  <w:r>
                    <w:t xml:space="preserve"> </w:t>
                  </w:r>
                  <w:r>
                    <w:t xml:space="preserve">)</w:t>
                  </w:r>
                </w:p>
              </w:tc>
              <w:tc>
                <w:tcPr/>
                <w:p>
                  <w:pPr>
                    <w:pStyle w:val="Compact"/>
                    <w:jc w:val="center"/>
                    <w:jc w:val="center"/>
                  </w:pPr>
                  <w:r>
                    <w:t xml:space="preserve">0.39</w:t>
                  </w:r>
                </w:p>
              </w:tc>
              <w:tc>
                <w:tcPr/>
                <w:p>
                  <w:pPr>
                    <w:pStyle w:val="Compact"/>
                  </w:pPr>
                </w:p>
              </w:tc>
              <w:tc>
                <w:tcPr/>
                <w:p>
                  <w:pPr>
                    <w:pStyle w:val="Compact"/>
                  </w:pPr>
                </w:p>
              </w:tc>
              <w:tc>
                <w:tcPr/>
                <w:p>
                  <w:pPr>
                    <w:pStyle w:val="Compact"/>
                  </w:pPr>
                </w:p>
              </w:tc>
            </w:tr>
          </w:tbl>
          <w:bookmarkEnd w:id="97"/>
          <w:p/>
        </w:tc>
      </w:tr>
    </w:tbl>
    <w:p>
      <w:pPr>
        <w:pStyle w:val="BodyText"/>
      </w:pPr>
      <w:r>
        <w:rPr>
          <w:i/>
          <w:iCs/>
        </w:rPr>
        <w:t xml:space="preserve">Note.</w:t>
      </w:r>
      <w:r>
        <w:t xml:space="preserve"> </w:t>
      </w:r>
      <w:r>
        <w:t xml:space="preserve">Coef – coefficient; Est – estimate; CI – confidence interval; LL</w:t>
      </w:r>
      <w:r>
        <w:t xml:space="preserve"> </w:t>
      </w:r>
      <w:r>
        <w:t xml:space="preserve">– lower limit; UL – upper limit; Var – variance. * p &lt; .05, ** p &lt;</w:t>
      </w:r>
      <w:r>
        <w:t xml:space="preserve"> </w:t>
      </w:r>
      <w:r>
        <w:t xml:space="preserve">.01, *** p &lt; .001.</w:t>
      </w:r>
    </w:p>
    <w:tbl>
      <w:tblPr>
        <w:tblStyle w:val="Table"/>
        <w:tblW w:type="pct" w:w="5000"/>
        <w:tblLayout w:type="fixed"/>
        <w:tblLook w:firstRow="0" w:lastRow="0" w:firstColumn="0" w:lastColumn="0" w:noHBand="0" w:noVBand="0" w:val="0000"/>
      </w:tblPr>
      <w:tblGrid>
        <w:gridCol w:w="7920"/>
      </w:tblGrid>
      <w:tr>
        <w:tc>
          <w:tcPr/>
          <w:bookmarkStart w:id="98" w:name="tbl-Table10"/>
          <w:p>
            <w:pPr>
              <w:jc w:val="center"/>
            </w:pPr>
            <w:pPr>
              <w:jc w:val="start"/>
              <w:spacing w:before="200"/>
              <w:pStyle w:val="ImageCaption"/>
            </w:pPr>
            <w:r>
              <w:t xml:space="preserve">Table 10. Model Fit For Series 2 Models</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p>
              </w:tc>
              <w:tc>
                <w:tcPr/>
                <w:p>
                  <w:pPr>
                    <w:pStyle w:val="Compact"/>
                    <w:jc w:val="center"/>
                  </w:pPr>
                  <w:r>
                    <w:t xml:space="preserve">Model 0</w:t>
                  </w:r>
                </w:p>
              </w:tc>
              <w:tc>
                <w:tcPr/>
                <w:p>
                  <w:pPr>
                    <w:pStyle w:val="Compact"/>
                    <w:jc w:val="center"/>
                  </w:pPr>
                  <w:r>
                    <w:t xml:space="preserve">Model B1</w:t>
                  </w:r>
                </w:p>
              </w:tc>
              <w:tc>
                <w:tcPr/>
                <w:p>
                  <w:pPr>
                    <w:pStyle w:val="Compact"/>
                    <w:jc w:val="center"/>
                  </w:pPr>
                  <w:r>
                    <w:t xml:space="preserve">Model B2</w:t>
                  </w:r>
                </w:p>
              </w:tc>
              <w:tc>
                <w:tcPr/>
                <w:p>
                  <w:pPr>
                    <w:pStyle w:val="Compact"/>
                    <w:jc w:val="center"/>
                  </w:pPr>
                  <w:r>
                    <w:t xml:space="preserve">Model B3</w:t>
                  </w:r>
                </w:p>
              </w:tc>
            </w:tr>
            <w:tr>
              <w:tc>
                <w:tcPr/>
                <w:p>
                  <w:pPr>
                    <w:pStyle w:val="Compact"/>
                    <w:jc w:val="center"/>
                  </w:pPr>
                  <w:r>
                    <w:t xml:space="preserve">Conditional</w:t>
                  </w:r>
                  <w:r>
                    <w:t xml:space="preserve"> </w:t>
                  </w:r>
                  <w:r>
                    <w:rPr>
                      <w:i/>
                      <w:iCs/>
                    </w:rPr>
                    <w:t xml:space="preserve">R</w:t>
                  </w:r>
                  <w:r>
                    <w:rPr>
                      <w:i/>
                      <w:iCs/>
                      <w:vertAlign w:val="superscript"/>
                    </w:rPr>
                    <w:t xml:space="preserve">2</w:t>
                  </w:r>
                </w:p>
              </w:tc>
              <w:tc>
                <w:tcPr/>
                <w:p>
                  <w:pPr>
                    <w:pStyle w:val="Compact"/>
                    <w:jc w:val="center"/>
                  </w:pPr>
                  <w:r>
                    <w:t xml:space="preserve">.48</w:t>
                  </w:r>
                </w:p>
              </w:tc>
              <w:tc>
                <w:tcPr/>
                <w:p>
                  <w:pPr>
                    <w:pStyle w:val="Compact"/>
                    <w:jc w:val="center"/>
                  </w:pPr>
                  <w:r>
                    <w:t xml:space="preserve">.53</w:t>
                  </w:r>
                </w:p>
              </w:tc>
              <w:tc>
                <w:tcPr/>
                <w:p>
                  <w:pPr>
                    <w:pStyle w:val="Compact"/>
                    <w:jc w:val="center"/>
                  </w:pPr>
                  <w:r>
                    <w:t xml:space="preserve">.55</w:t>
                  </w:r>
                </w:p>
              </w:tc>
              <w:tc>
                <w:tcPr/>
                <w:p>
                  <w:pPr>
                    <w:pStyle w:val="Compact"/>
                    <w:jc w:val="center"/>
                  </w:pPr>
                  <w:r>
                    <w:t xml:space="preserve">.54</w:t>
                  </w:r>
                </w:p>
              </w:tc>
            </w:tr>
            <w:tr>
              <w:tc>
                <w:tcPr/>
                <w:p>
                  <w:pPr>
                    <w:pStyle w:val="Compact"/>
                    <w:jc w:val="center"/>
                  </w:pPr>
                  <w:r>
                    <w:t xml:space="preserve">Marginal</w:t>
                  </w:r>
                  <w:r>
                    <w:t xml:space="preserve"> </w:t>
                  </w:r>
                  <w:r>
                    <w:rPr>
                      <w:i/>
                      <w:iCs/>
                    </w:rPr>
                    <w:t xml:space="preserve">R</w:t>
                  </w:r>
                  <w:r>
                    <w:rPr>
                      <w:i/>
                      <w:iCs/>
                      <w:vertAlign w:val="superscript"/>
                    </w:rPr>
                    <w:t xml:space="preserve">2</w:t>
                  </w:r>
                </w:p>
              </w:tc>
              <w:tc>
                <w:tcPr/>
                <w:p>
                  <w:pPr>
                    <w:pStyle w:val="Compact"/>
                    <w:jc w:val="center"/>
                  </w:pPr>
                  <w:r>
                    <w:t xml:space="preserve">.00</w:t>
                  </w:r>
                </w:p>
              </w:tc>
              <w:tc>
                <w:tcPr/>
                <w:p>
                  <w:pPr>
                    <w:pStyle w:val="Compact"/>
                    <w:jc w:val="center"/>
                  </w:pPr>
                  <w:r>
                    <w:t xml:space="preserve">.03</w:t>
                  </w:r>
                </w:p>
              </w:tc>
              <w:tc>
                <w:tcPr/>
                <w:p>
                  <w:pPr>
                    <w:pStyle w:val="Compact"/>
                    <w:jc w:val="center"/>
                  </w:pPr>
                  <w:r>
                    <w:t xml:space="preserve">.05</w:t>
                  </w:r>
                </w:p>
              </w:tc>
              <w:tc>
                <w:tcPr/>
                <w:p>
                  <w:pPr>
                    <w:pStyle w:val="Compact"/>
                    <w:jc w:val="center"/>
                  </w:pPr>
                  <w:r>
                    <w:t xml:space="preserve">.04</w:t>
                  </w:r>
                </w:p>
              </w:tc>
            </w:tr>
            <w:tr>
              <w:tc>
                <w:tcPr/>
                <w:p>
                  <w:pPr>
                    <w:pStyle w:val="Compact"/>
                    <w:jc w:val="center"/>
                  </w:pPr>
                  <w:r>
                    <w:t xml:space="preserve">Log-likelihood</w:t>
                  </w:r>
                </w:p>
              </w:tc>
              <w:tc>
                <w:tcPr/>
                <w:p>
                  <w:pPr>
                    <w:pStyle w:val="Compact"/>
                    <w:jc w:val="center"/>
                  </w:pPr>
                  <w:r>
                    <w:t xml:space="preserve">-7,558.04</w:t>
                  </w:r>
                </w:p>
              </w:tc>
              <w:tc>
                <w:tcPr/>
                <w:p>
                  <w:pPr>
                    <w:pStyle w:val="Compact"/>
                    <w:jc w:val="center"/>
                  </w:pPr>
                  <w:r>
                    <w:t xml:space="preserve">-7,450.04</w:t>
                  </w:r>
                </w:p>
              </w:tc>
              <w:tc>
                <w:tcPr/>
                <w:p>
                  <w:pPr>
                    <w:pStyle w:val="Compact"/>
                    <w:jc w:val="center"/>
                  </w:pPr>
                  <w:r>
                    <w:t xml:space="preserve">-7,385.87</w:t>
                  </w:r>
                </w:p>
              </w:tc>
              <w:tc>
                <w:tcPr/>
                <w:p>
                  <w:pPr>
                    <w:pStyle w:val="Compact"/>
                    <w:jc w:val="center"/>
                  </w:pPr>
                  <w:r>
                    <w:t xml:space="preserve">-7,374.85</w:t>
                  </w:r>
                </w:p>
              </w:tc>
            </w:tr>
            <w:tr>
              <w:tc>
                <w:tcPr/>
                <w:p>
                  <w:pPr>
                    <w:pStyle w:val="Compact"/>
                    <w:jc w:val="center"/>
                  </w:pPr>
                  <w:r>
                    <w:t xml:space="preserve">AIC</w:t>
                  </w:r>
                </w:p>
              </w:tc>
              <w:tc>
                <w:tcPr/>
                <w:p>
                  <w:pPr>
                    <w:pStyle w:val="Compact"/>
                    <w:jc w:val="center"/>
                  </w:pPr>
                  <w:r>
                    <w:t xml:space="preserve">15,124.07</w:t>
                  </w:r>
                </w:p>
              </w:tc>
              <w:tc>
                <w:tcPr/>
                <w:p>
                  <w:pPr>
                    <w:pStyle w:val="Compact"/>
                    <w:jc w:val="center"/>
                  </w:pPr>
                  <w:r>
                    <w:t xml:space="preserve">14,910.08</w:t>
                  </w:r>
                </w:p>
              </w:tc>
              <w:tc>
                <w:tcPr/>
                <w:p>
                  <w:pPr>
                    <w:pStyle w:val="Compact"/>
                    <w:jc w:val="center"/>
                  </w:pPr>
                  <w:r>
                    <w:t xml:space="preserve">14,783.73</w:t>
                  </w:r>
                </w:p>
              </w:tc>
              <w:tc>
                <w:tcPr/>
                <w:p>
                  <w:pPr>
                    <w:pStyle w:val="Compact"/>
                    <w:jc w:val="center"/>
                  </w:pPr>
                  <w:r>
                    <w:t xml:space="preserve">14,763.69</w:t>
                  </w:r>
                </w:p>
              </w:tc>
            </w:tr>
            <w:tr>
              <w:tc>
                <w:tcPr/>
                <w:p>
                  <w:pPr>
                    <w:pStyle w:val="Compact"/>
                    <w:jc w:val="center"/>
                  </w:pPr>
                  <w:r>
                    <w:t xml:space="preserve">BIC</w:t>
                  </w:r>
                </w:p>
              </w:tc>
              <w:tc>
                <w:tcPr/>
                <w:p>
                  <w:pPr>
                    <w:pStyle w:val="Compact"/>
                    <w:jc w:val="center"/>
                  </w:pPr>
                  <w:r>
                    <w:t xml:space="preserve">15,151.58</w:t>
                  </w:r>
                </w:p>
              </w:tc>
              <w:tc>
                <w:tcPr/>
                <w:p>
                  <w:pPr>
                    <w:pStyle w:val="Compact"/>
                    <w:jc w:val="center"/>
                  </w:pPr>
                  <w:r>
                    <w:t xml:space="preserve">14,944.47</w:t>
                  </w:r>
                </w:p>
              </w:tc>
              <w:tc>
                <w:tcPr/>
                <w:p>
                  <w:pPr>
                    <w:pStyle w:val="Compact"/>
                    <w:jc w:val="center"/>
                  </w:pPr>
                  <w:r>
                    <w:t xml:space="preserve">14,825.00</w:t>
                  </w:r>
                </w:p>
              </w:tc>
              <w:tc>
                <w:tcPr/>
                <w:p>
                  <w:pPr>
                    <w:pStyle w:val="Compact"/>
                    <w:jc w:val="center"/>
                  </w:pPr>
                  <w:r>
                    <w:t xml:space="preserve">14,811.84</w:t>
                  </w:r>
                </w:p>
              </w:tc>
            </w:tr>
            <w:tr>
              <w:tc>
                <w:tcPr/>
                <w:p>
                  <w:pPr>
                    <w:pStyle w:val="Compact"/>
                    <w:jc w:val="center"/>
                  </w:pPr>
                  <w:r>
                    <w:t xml:space="preserve">Δχ</w:t>
                  </w:r>
                  <w:r>
                    <w:rPr>
                      <w:vertAlign w:val="superscript"/>
                    </w:rPr>
                    <w:t xml:space="preserve">2</w:t>
                  </w:r>
                  <w:r>
                    <w:t xml:space="preserve">(df)</w:t>
                  </w:r>
                </w:p>
              </w:tc>
              <w:tc>
                <w:tcPr/>
                <w:p>
                  <w:pPr>
                    <w:pStyle w:val="Compact"/>
                  </w:pPr>
                </w:p>
              </w:tc>
              <w:tc>
                <w:tcPr/>
                <w:p>
                  <w:pPr>
                    <w:pStyle w:val="Compact"/>
                    <w:jc w:val="center"/>
                  </w:pPr>
                  <w:r>
                    <w:t xml:space="preserve">215.992(1)***</w:t>
                  </w:r>
                </w:p>
              </w:tc>
              <w:tc>
                <w:tcPr/>
                <w:p>
                  <w:pPr>
                    <w:pStyle w:val="Compact"/>
                    <w:jc w:val="center"/>
                  </w:pPr>
                  <w:r>
                    <w:t xml:space="preserve">128.346(1)***</w:t>
                  </w:r>
                </w:p>
              </w:tc>
              <w:tc>
                <w:tcPr/>
                <w:p>
                  <w:pPr>
                    <w:pStyle w:val="Compact"/>
                    <w:jc w:val="center"/>
                  </w:pPr>
                  <w:r>
                    <w:t xml:space="preserve">22.041(1)***</w:t>
                  </w:r>
                </w:p>
              </w:tc>
            </w:tr>
          </w:tbl>
          <w:bookmarkEnd w:id="98"/>
          <w:p/>
        </w:tc>
      </w:tr>
    </w:tbl>
    <w:bookmarkEnd w:id="99"/>
    <w:bookmarkStart w:id="108" w:name="figures"/>
    <w:p>
      <w:pPr>
        <w:pStyle w:val="Heading2"/>
      </w:pPr>
      <w:r>
        <w:t xml:space="preserve">Figures</w:t>
      </w:r>
    </w:p>
    <w:tbl>
      <w:tblPr>
        <w:tblStyle w:val="Table"/>
        <w:tblW w:type="pct" w:w="5000"/>
        <w:tblLayout w:type="fixed"/>
        <w:tblLook w:firstRow="0" w:lastRow="0" w:firstColumn="0" w:lastColumn="0" w:noHBand="0" w:noVBand="0" w:val="0000"/>
      </w:tblPr>
      <w:tblGrid>
        <w:gridCol w:w="7920"/>
      </w:tblGrid>
      <w:tr>
        <w:tc>
          <w:tcPr/>
          <w:bookmarkStart w:id="103" w:name="fig-Figure1"/>
          <w:p>
            <w:pPr>
              <w:jc w:val="center"/>
            </w:pPr>
            <w:pPr>
              <w:jc w:val="start"/>
              <w:spacing w:before="200"/>
              <w:pStyle w:val="ImageCaption"/>
            </w:pPr>
            <w:r>
              <w:t xml:space="preserve">Figure 1. From Model A3, students’ predicted response time according to ability</w:t>
            </w:r>
            <w:r>
              <w:t xml:space="preserve"> </w:t>
            </w:r>
            <w:r>
              <w:t xml:space="preserve">level and whether the student answered the question</w:t>
            </w:r>
            <w:r>
              <w:t xml:space="preserve"> </w:t>
            </w:r>
            <w:r>
              <w:t xml:space="preserve">correctly.</w:t>
            </w:r>
          </w:p>
          <w:p>
            <w:pPr>
              <w:pStyle w:val="Compact"/>
              <w:jc w:val="center"/>
            </w:pPr>
            <w:r>
              <w:drawing>
                <wp:inline>
                  <wp:extent cx="5334000" cy="3831356"/>
                  <wp:effectExtent b="0" l="0" r="0" t="0"/>
                  <wp:docPr descr="" title="" id="101" name="Picture"/>
                  <a:graphic>
                    <a:graphicData uri="http://schemas.openxmlformats.org/drawingml/2006/picture">
                      <pic:pic>
                        <pic:nvPicPr>
                          <pic:cNvPr descr="images/Figure1.png" id="102" name="Picture"/>
                          <pic:cNvPicPr>
                            <a:picLocks noChangeArrowheads="1" noChangeAspect="1"/>
                          </pic:cNvPicPr>
                        </pic:nvPicPr>
                        <pic:blipFill>
                          <a:blip r:embed="rId100"/>
                          <a:stretch>
                            <a:fillRect/>
                          </a:stretch>
                        </pic:blipFill>
                        <pic:spPr bwMode="auto">
                          <a:xfrm>
                            <a:off x="0" y="0"/>
                            <a:ext cx="5334000" cy="3831356"/>
                          </a:xfrm>
                          <a:prstGeom prst="rect">
                            <a:avLst/>
                          </a:prstGeom>
                          <a:noFill/>
                          <a:ln w="9525">
                            <a:noFill/>
                            <a:headEnd/>
                            <a:tailEnd/>
                          </a:ln>
                        </pic:spPr>
                      </pic:pic>
                    </a:graphicData>
                  </a:graphic>
                </wp:inline>
              </w:drawing>
            </w:r>
          </w:p>
          <w:bookmarkEnd w:id="103"/>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107" w:name="fig-Figure2"/>
          <w:p>
            <w:pPr>
              <w:jc w:val="center"/>
            </w:pPr>
            <w:pPr>
              <w:jc w:val="start"/>
              <w:spacing w:before="200"/>
              <w:pStyle w:val="ImageCaption"/>
            </w:pPr>
            <w:r>
              <w:t xml:space="preserve">Figure 2. From Model B3, students’ predicted response time according to the</w:t>
            </w:r>
            <w:r>
              <w:t xml:space="preserve"> </w:t>
            </w:r>
            <w:r>
              <w:t xml:space="preserve">discrimination-adjusted ability-difficulty distance and whether the</w:t>
            </w:r>
            <w:r>
              <w:t xml:space="preserve"> </w:t>
            </w:r>
            <w:r>
              <w:t xml:space="preserve">student answered the question</w:t>
            </w:r>
            <w:r>
              <w:t xml:space="preserve"> </w:t>
            </w:r>
            <w:r>
              <w:t xml:space="preserve">correctly.</w:t>
            </w:r>
          </w:p>
          <w:p>
            <w:pPr>
              <w:pStyle w:val="Compact"/>
              <w:jc w:val="center"/>
            </w:pPr>
            <w:r>
              <w:drawing>
                <wp:inline>
                  <wp:extent cx="5334000" cy="3831356"/>
                  <wp:effectExtent b="0" l="0" r="0" t="0"/>
                  <wp:docPr descr="" title="" id="105" name="Picture"/>
                  <a:graphic>
                    <a:graphicData uri="http://schemas.openxmlformats.org/drawingml/2006/picture">
                      <pic:pic>
                        <pic:nvPicPr>
                          <pic:cNvPr descr="images/Figure2.png" id="106" name="Picture"/>
                          <pic:cNvPicPr>
                            <a:picLocks noChangeArrowheads="1" noChangeAspect="1"/>
                          </pic:cNvPicPr>
                        </pic:nvPicPr>
                        <pic:blipFill>
                          <a:blip r:embed="rId104"/>
                          <a:stretch>
                            <a:fillRect/>
                          </a:stretch>
                        </pic:blipFill>
                        <pic:spPr bwMode="auto">
                          <a:xfrm>
                            <a:off x="0" y="0"/>
                            <a:ext cx="5334000" cy="3831356"/>
                          </a:xfrm>
                          <a:prstGeom prst="rect">
                            <a:avLst/>
                          </a:prstGeom>
                          <a:noFill/>
                          <a:ln w="9525">
                            <a:noFill/>
                            <a:headEnd/>
                            <a:tailEnd/>
                          </a:ln>
                        </pic:spPr>
                      </pic:pic>
                    </a:graphicData>
                  </a:graphic>
                </wp:inline>
              </w:drawing>
            </w:r>
          </w:p>
          <w:bookmarkEnd w:id="107"/>
        </w:tc>
      </w:tr>
    </w:tbl>
    <w:bookmarkEnd w:id="108"/>
    <w:bookmarkStart w:id="111" w:name="appendix"/>
    <w:p>
      <w:pPr>
        <w:pStyle w:val="Heading2"/>
      </w:pPr>
      <w:r>
        <w:t xml:space="preserve">Appendix</w:t>
      </w:r>
    </w:p>
    <w:bookmarkStart w:id="109" w:name="appendix-1.-list-of-models-used"/>
    <w:p>
      <w:pPr>
        <w:pStyle w:val="Heading3"/>
      </w:pPr>
      <w:r>
        <w:t xml:space="preserve">Appendix 1. List of Models Used</w:t>
      </w:r>
    </w:p>
    <w:p>
      <w:pPr>
        <w:pStyle w:val="FirstParagraph"/>
      </w:pPr>
      <w:r>
        <w:t xml:space="preserve">Null Model (Model 0):</w:t>
      </w:r>
    </w:p>
    <w:p>
      <w:pPr>
        <w:pStyle w:val="BodyText"/>
      </w:pPr>
      <m:oMathPara>
        <m:oMathParaPr>
          <m:jc m:val="center"/>
        </m:oMathParaPr>
        <m:oMath>
          <m:r>
            <m:rPr>
              <m:sty m:val="p"/>
            </m:rPr>
            <m:t>ln</m:t>
          </m:r>
          <m:d>
            <m:dPr>
              <m:begChr m:val="("/>
              <m:endChr m:val=")"/>
              <m:sepChr m:val=""/>
              <m:grow/>
            </m:dPr>
            <m:e>
              <m:sSub>
                <m:e>
                  <m:r>
                    <m:t>t</m:t>
                  </m:r>
                </m:e>
                <m:sub>
                  <m:r>
                    <m:t>i</m:t>
                  </m:r>
                  <m:r>
                    <m:t>j</m:t>
                  </m:r>
                </m:sub>
              </m:sSub>
            </m:e>
          </m:d>
          <m:r>
            <m:rPr>
              <m:sty m:val="p"/>
            </m:rPr>
            <m:t>=</m:t>
          </m:r>
          <m:r>
            <m:t>μ</m:t>
          </m:r>
          <m:r>
            <m:rPr>
              <m:sty m:val="p"/>
            </m:rPr>
            <m:t>+</m:t>
          </m:r>
          <m:sSub>
            <m:e>
              <m:r>
                <m:t>ν</m:t>
              </m:r>
            </m:e>
            <m:sub>
              <m:r>
                <m:t>j</m:t>
              </m:r>
            </m:sub>
          </m:sSub>
          <m:r>
            <m:rPr>
              <m:sty m:val="p"/>
            </m:rPr>
            <m:t>+</m:t>
          </m:r>
          <m:sSub>
            <m:e>
              <m:r>
                <m:t>β</m:t>
              </m:r>
            </m:e>
            <m:sub>
              <m:r>
                <m:t>i</m:t>
              </m:r>
            </m:sub>
          </m:sSub>
          <m:r>
            <m:rPr>
              <m:sty m:val="p"/>
            </m:rPr>
            <m:t>+</m:t>
          </m:r>
          <m:sSub>
            <m:e>
              <m:r>
                <m:t>ϵ</m:t>
              </m:r>
            </m:e>
            <m:sub>
              <m:r>
                <m:t>i</m:t>
              </m:r>
              <m:r>
                <m:t>j</m:t>
              </m:r>
            </m:sub>
          </m:sSub>
        </m:oMath>
      </m:oMathPara>
    </w:p>
    <w:p>
      <w:pPr>
        <w:pStyle w:val="FirstParagraph"/>
      </w:pPr>
      <w:r>
        <w:t xml:space="preserve">Model A1:</w:t>
      </w:r>
    </w:p>
    <w:p>
      <w:pPr>
        <w:pStyle w:val="BodyText"/>
      </w:pPr>
      <m:oMathPara>
        <m:oMathParaPr>
          <m:jc m:val="center"/>
        </m:oMathParaPr>
        <m:oMath>
          <m:r>
            <m:rPr>
              <m:sty m:val="p"/>
            </m:rPr>
            <m:t>ln</m:t>
          </m:r>
          <m:d>
            <m:dPr>
              <m:begChr m:val="("/>
              <m:endChr m:val=")"/>
              <m:sepChr m:val=""/>
              <m:grow/>
            </m:dPr>
            <m:e>
              <m:sSub>
                <m:e>
                  <m:r>
                    <m:t>t</m:t>
                  </m:r>
                </m:e>
                <m:sub>
                  <m:r>
                    <m:t>i</m:t>
                  </m:r>
                  <m:r>
                    <m:t>j</m:t>
                  </m:r>
                </m:sub>
              </m:sSub>
            </m:e>
          </m:d>
          <m:r>
            <m:rPr>
              <m:sty m:val="p"/>
            </m:rPr>
            <m:t>=</m:t>
          </m:r>
          <m:r>
            <m:t>μ</m:t>
          </m:r>
          <m:r>
            <m:rPr>
              <m:sty m:val="p"/>
            </m:rPr>
            <m:t>+</m:t>
          </m:r>
          <m:sSub>
            <m:e>
              <m:r>
                <m:t>ν</m:t>
              </m:r>
            </m:e>
            <m:sub>
              <m:r>
                <m:t>j</m:t>
              </m:r>
            </m:sub>
          </m:sSub>
          <m:r>
            <m:rPr>
              <m:sty m:val="p"/>
            </m:rPr>
            <m:t>+</m:t>
          </m:r>
          <m:sSub>
            <m:e>
              <m:r>
                <m:t>β</m:t>
              </m:r>
            </m:e>
            <m:sub>
              <m:r>
                <m:t>i</m:t>
              </m:r>
            </m:sub>
          </m:sSub>
          <m:r>
            <m:rPr>
              <m:sty m:val="p"/>
            </m:rPr>
            <m:t>+</m:t>
          </m:r>
          <m:sSub>
            <m:e>
              <m:r>
                <m:t>γ</m:t>
              </m:r>
            </m:e>
            <m:sub>
              <m:r>
                <m:t>1</m:t>
              </m:r>
            </m:sub>
          </m:sSub>
          <m:r>
            <m:t>F</m:t>
          </m:r>
          <m:sSub>
            <m:e>
              <m:r>
                <m:t>C</m:t>
              </m:r>
            </m:e>
            <m:sub>
              <m:r>
                <m:t>i</m:t>
              </m:r>
              <m:r>
                <m:t>j</m:t>
              </m:r>
            </m:sub>
          </m:sSub>
          <m:r>
            <m:rPr>
              <m:sty m:val="p"/>
            </m:rPr>
            <m:t>+</m:t>
          </m:r>
          <m:sSub>
            <m:e>
              <m:r>
                <m:t>ϵ</m:t>
              </m:r>
            </m:e>
            <m:sub>
              <m:r>
                <m:t>i</m:t>
              </m:r>
              <m:r>
                <m:t>j</m:t>
              </m:r>
            </m:sub>
          </m:sSub>
        </m:oMath>
      </m:oMathPara>
    </w:p>
    <w:p>
      <w:pPr>
        <w:pStyle w:val="FirstParagraph"/>
      </w:pPr>
      <w:r>
        <w:t xml:space="preserve">Model A2:</w:t>
      </w:r>
    </w:p>
    <w:p>
      <w:pPr>
        <w:pStyle w:val="BodyText"/>
      </w:pPr>
      <m:oMathPara>
        <m:oMathParaPr>
          <m:jc m:val="center"/>
        </m:oMathParaPr>
        <m:oMath>
          <m:r>
            <m:rPr>
              <m:sty m:val="p"/>
            </m:rPr>
            <m:t>ln</m:t>
          </m:r>
          <m:d>
            <m:dPr>
              <m:begChr m:val="("/>
              <m:endChr m:val=")"/>
              <m:sepChr m:val=""/>
              <m:grow/>
            </m:dPr>
            <m:e>
              <m:sSub>
                <m:e>
                  <m:r>
                    <m:t>t</m:t>
                  </m:r>
                </m:e>
                <m:sub>
                  <m:r>
                    <m:t>i</m:t>
                  </m:r>
                  <m:r>
                    <m:t>j</m:t>
                  </m:r>
                </m:sub>
              </m:sSub>
            </m:e>
          </m:d>
          <m:r>
            <m:rPr>
              <m:sty m:val="p"/>
            </m:rPr>
            <m:t>=</m:t>
          </m:r>
          <m:r>
            <m:t>μ</m:t>
          </m:r>
          <m:r>
            <m:rPr>
              <m:sty m:val="p"/>
            </m:rPr>
            <m:t>+</m:t>
          </m:r>
          <m:sSub>
            <m:e>
              <m:r>
                <m:t>ν</m:t>
              </m:r>
            </m:e>
            <m:sub>
              <m:r>
                <m:t>j</m:t>
              </m:r>
            </m:sub>
          </m:sSub>
          <m:r>
            <m:rPr>
              <m:sty m:val="p"/>
            </m:rPr>
            <m:t>+</m:t>
          </m:r>
          <m:sSub>
            <m:e>
              <m:r>
                <m:t>β</m:t>
              </m:r>
            </m:e>
            <m:sub>
              <m:r>
                <m:t>i</m:t>
              </m:r>
            </m:sub>
          </m:sSub>
          <m:r>
            <m:rPr>
              <m:sty m:val="p"/>
            </m:rPr>
            <m:t>+</m:t>
          </m:r>
          <m:sSub>
            <m:e>
              <m:r>
                <m:t>γ</m:t>
              </m:r>
            </m:e>
            <m:sub>
              <m:r>
                <m:t>1</m:t>
              </m:r>
            </m:sub>
          </m:sSub>
          <m:r>
            <m:t>F</m:t>
          </m:r>
          <m:sSub>
            <m:e>
              <m:r>
                <m:t>C</m:t>
              </m:r>
            </m:e>
            <m:sub>
              <m:r>
                <m:t>i</m:t>
              </m:r>
              <m:r>
                <m:t>j</m:t>
              </m:r>
            </m:sub>
          </m:sSub>
          <m:r>
            <m:rPr>
              <m:sty m:val="p"/>
            </m:rPr>
            <m:t>+</m:t>
          </m:r>
          <m:sSub>
            <m:e>
              <m:r>
                <m:t>γ</m:t>
              </m:r>
            </m:e>
            <m:sub>
              <m:r>
                <m:t>2</m:t>
              </m:r>
            </m:sub>
          </m:sSub>
          <m:sSub>
            <m:e>
              <m:r>
                <m:t>b</m:t>
              </m:r>
            </m:e>
            <m:sub>
              <m:r>
                <m:t>i</m:t>
              </m:r>
            </m:sub>
          </m:sSub>
          <m:r>
            <m:rPr>
              <m:sty m:val="p"/>
            </m:rPr>
            <m:t>+</m:t>
          </m:r>
          <m:sSub>
            <m:e>
              <m:r>
                <m:t>γ</m:t>
              </m:r>
            </m:e>
            <m:sub>
              <m:r>
                <m:t>3</m:t>
              </m:r>
            </m:sub>
          </m:sSub>
          <m:sSub>
            <m:e>
              <m:r>
                <m:t>θ</m:t>
              </m:r>
            </m:e>
            <m:sub>
              <m:r>
                <m:t>j</m:t>
              </m:r>
            </m:sub>
          </m:sSub>
          <m:r>
            <m:rPr>
              <m:sty m:val="p"/>
            </m:rPr>
            <m:t>+</m:t>
          </m:r>
          <m:sSub>
            <m:e>
              <m:r>
                <m:t>ϵ</m:t>
              </m:r>
            </m:e>
            <m:sub>
              <m:r>
                <m:t>i</m:t>
              </m:r>
              <m:r>
                <m:t>j</m:t>
              </m:r>
            </m:sub>
          </m:sSub>
        </m:oMath>
      </m:oMathPara>
    </w:p>
    <w:p>
      <w:pPr>
        <w:pStyle w:val="FirstParagraph"/>
      </w:pPr>
      <w:r>
        <w:t xml:space="preserve">Model A3:</w:t>
      </w:r>
    </w:p>
    <w:p>
      <w:pPr>
        <w:pStyle w:val="BodyText"/>
      </w:pPr>
      <m:oMathPara>
        <m:oMathParaPr>
          <m:jc m:val="center"/>
        </m:oMathParaPr>
        <m:oMath>
          <m:r>
            <m:rPr>
              <m:sty m:val="p"/>
            </m:rPr>
            <m:t>ln</m:t>
          </m:r>
          <m:d>
            <m:dPr>
              <m:begChr m:val="("/>
              <m:endChr m:val=")"/>
              <m:sepChr m:val=""/>
              <m:grow/>
            </m:dPr>
            <m:e>
              <m:sSub>
                <m:e>
                  <m:r>
                    <m:t>t</m:t>
                  </m:r>
                </m:e>
                <m:sub>
                  <m:r>
                    <m:t>i</m:t>
                  </m:r>
                  <m:r>
                    <m:t>j</m:t>
                  </m:r>
                </m:sub>
              </m:sSub>
            </m:e>
          </m:d>
          <m:r>
            <m:rPr>
              <m:sty m:val="p"/>
            </m:rPr>
            <m:t>=</m:t>
          </m:r>
          <m:r>
            <m:t>μ</m:t>
          </m:r>
          <m:r>
            <m:rPr>
              <m:sty m:val="p"/>
            </m:rPr>
            <m:t>+</m:t>
          </m:r>
          <m:sSub>
            <m:e>
              <m:r>
                <m:t>ν</m:t>
              </m:r>
            </m:e>
            <m:sub>
              <m:r>
                <m:t>j</m:t>
              </m:r>
            </m:sub>
          </m:sSub>
          <m:r>
            <m:rPr>
              <m:sty m:val="p"/>
            </m:rPr>
            <m:t>+</m:t>
          </m:r>
          <m:sSub>
            <m:e>
              <m:r>
                <m:t>β</m:t>
              </m:r>
            </m:e>
            <m:sub>
              <m:r>
                <m:t>i</m:t>
              </m:r>
            </m:sub>
          </m:sSub>
          <m:r>
            <m:rPr>
              <m:sty m:val="p"/>
            </m:rPr>
            <m:t>+</m:t>
          </m:r>
          <m:sSub>
            <m:e>
              <m:r>
                <m:t>γ</m:t>
              </m:r>
            </m:e>
            <m:sub>
              <m:r>
                <m:t>1</m:t>
              </m:r>
            </m:sub>
          </m:sSub>
          <m:r>
            <m:t>F</m:t>
          </m:r>
          <m:sSub>
            <m:e>
              <m:r>
                <m:t>C</m:t>
              </m:r>
            </m:e>
            <m:sub>
              <m:r>
                <m:t>i</m:t>
              </m:r>
              <m:r>
                <m:t>j</m:t>
              </m:r>
            </m:sub>
          </m:sSub>
          <m:r>
            <m:rPr>
              <m:sty m:val="p"/>
            </m:rPr>
            <m:t>+</m:t>
          </m:r>
          <m:sSub>
            <m:e>
              <m:r>
                <m:t>γ</m:t>
              </m:r>
            </m:e>
            <m:sub>
              <m:r>
                <m:t>2</m:t>
              </m:r>
            </m:sub>
          </m:sSub>
          <m:sSub>
            <m:e>
              <m:r>
                <m:t>b</m:t>
              </m:r>
            </m:e>
            <m:sub>
              <m:r>
                <m:t>i</m:t>
              </m:r>
            </m:sub>
          </m:sSub>
          <m:r>
            <m:rPr>
              <m:sty m:val="p"/>
            </m:rPr>
            <m:t>+</m:t>
          </m:r>
          <m:sSub>
            <m:e>
              <m:r>
                <m:t>γ</m:t>
              </m:r>
            </m:e>
            <m:sub>
              <m:r>
                <m:t>3</m:t>
              </m:r>
            </m:sub>
          </m:sSub>
          <m:sSub>
            <m:e>
              <m:r>
                <m:t>θ</m:t>
              </m:r>
            </m:e>
            <m:sub>
              <m:r>
                <m:t>j</m:t>
              </m:r>
            </m:sub>
          </m:sSub>
          <m:r>
            <m:rPr>
              <m:sty m:val="p"/>
            </m:rPr>
            <m:t>+</m:t>
          </m:r>
          <m:sSub>
            <m:e>
              <m:r>
                <m:t>γ</m:t>
              </m:r>
            </m:e>
            <m:sub>
              <m:r>
                <m:t>13</m:t>
              </m:r>
            </m:sub>
          </m:sSub>
          <m:r>
            <m:t>F</m:t>
          </m:r>
          <m:sSub>
            <m:e>
              <m:r>
                <m:t>C</m:t>
              </m:r>
            </m:e>
            <m:sub>
              <m:r>
                <m:t>i</m:t>
              </m:r>
              <m:r>
                <m:t>j</m:t>
              </m:r>
            </m:sub>
          </m:sSub>
          <m:sSub>
            <m:e>
              <m:r>
                <m:t>θ</m:t>
              </m:r>
            </m:e>
            <m:sub>
              <m:r>
                <m:t>j</m:t>
              </m:r>
            </m:sub>
          </m:sSub>
          <m:r>
            <m:rPr>
              <m:sty m:val="p"/>
            </m:rPr>
            <m:t>+</m:t>
          </m:r>
          <m:sSub>
            <m:e>
              <m:r>
                <m:t>ϵ</m:t>
              </m:r>
            </m:e>
            <m:sub>
              <m:r>
                <m:t>i</m:t>
              </m:r>
              <m:r>
                <m:t>j</m:t>
              </m:r>
            </m:sub>
          </m:sSub>
        </m:oMath>
      </m:oMathPara>
    </w:p>
    <w:p>
      <w:pPr>
        <w:pStyle w:val="FirstParagraph"/>
      </w:pPr>
      <w:r>
        <w:t xml:space="preserve">Model B1:</w:t>
      </w:r>
    </w:p>
    <w:p>
      <w:pPr>
        <w:pStyle w:val="BodyText"/>
      </w:pPr>
    </w:p>
    <w:p>
      <w:pPr>
        <w:pStyle w:val="BodyText"/>
      </w:pPr>
      <w:r>
        <w:t xml:space="preserve">Model B2:</w:t>
      </w:r>
    </w:p>
    <w:p>
      <w:pPr>
        <w:pStyle w:val="BodyText"/>
      </w:pPr>
    </w:p>
    <w:p>
      <w:pPr>
        <w:pStyle w:val="BodyText"/>
      </w:pPr>
      <w:r>
        <w:t xml:space="preserve">Model B3:</w:t>
      </w:r>
    </w:p>
    <w:p>
      <w:pPr>
        <w:pStyle w:val="BodyText"/>
      </w:pPr>
    </w:p>
    <w:bookmarkEnd w:id="109"/>
    <w:bookmarkStart w:id="110" w:name="X853c112667d5cfc42d8cfa5016303997a25bd34"/>
    <w:p>
      <w:pPr>
        <w:pStyle w:val="Heading3"/>
      </w:pPr>
      <w:r>
        <w:t xml:space="preserve">Appendix 2. Booklet Overview for 2019 TIMSS Mathematics Achievement Assessment</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Booklet Number</w:t>
            </w:r>
          </w:p>
        </w:tc>
        <w:tc>
          <w:tcPr/>
          <w:p>
            <w:pPr>
              <w:pStyle w:val="Compact"/>
              <w:jc w:val="center"/>
            </w:pPr>
            <w:r>
              <w:t xml:space="preserve">Isolated Items</w:t>
            </w:r>
          </w:p>
        </w:tc>
        <w:tc>
          <w:tcPr/>
          <w:p>
            <w:pPr>
              <w:pStyle w:val="Compact"/>
              <w:jc w:val="center"/>
            </w:pPr>
            <w:r>
              <w:t xml:space="preserve">Sample Size</w:t>
            </w:r>
          </w:p>
        </w:tc>
      </w:tr>
      <w:tr>
        <w:tc>
          <w:tcPr/>
          <w:p>
            <w:pPr>
              <w:pStyle w:val="Compact"/>
            </w:pPr>
            <w:r>
              <w:t xml:space="preserve">1</w:t>
            </w:r>
          </w:p>
        </w:tc>
        <w:tc>
          <w:tcPr/>
          <w:p>
            <w:pPr>
              <w:pStyle w:val="Compact"/>
              <w:jc w:val="center"/>
            </w:pPr>
            <w:r>
              <w:t xml:space="preserve">10</w:t>
            </w:r>
          </w:p>
        </w:tc>
        <w:tc>
          <w:tcPr/>
          <w:p>
            <w:pPr>
              <w:pStyle w:val="Compact"/>
              <w:jc w:val="center"/>
            </w:pPr>
            <w:r>
              <w:t xml:space="preserve">624</w:t>
            </w:r>
          </w:p>
        </w:tc>
      </w:tr>
      <w:tr>
        <w:tc>
          <w:tcPr/>
          <w:p>
            <w:pPr>
              <w:pStyle w:val="Compact"/>
            </w:pPr>
            <w:r>
              <w:t xml:space="preserve">2</w:t>
            </w:r>
          </w:p>
        </w:tc>
        <w:tc>
          <w:tcPr/>
          <w:p>
            <w:pPr>
              <w:pStyle w:val="Compact"/>
              <w:jc w:val="center"/>
            </w:pPr>
            <w:r>
              <w:t xml:space="preserve">12</w:t>
            </w:r>
          </w:p>
        </w:tc>
        <w:tc>
          <w:tcPr/>
          <w:p>
            <w:pPr>
              <w:pStyle w:val="Compact"/>
              <w:jc w:val="center"/>
            </w:pPr>
            <w:r>
              <w:t xml:space="preserve">621</w:t>
            </w:r>
          </w:p>
        </w:tc>
      </w:tr>
      <w:tr>
        <w:tc>
          <w:tcPr/>
          <w:p>
            <w:pPr>
              <w:pStyle w:val="Compact"/>
            </w:pPr>
            <w:r>
              <w:t xml:space="preserve">3</w:t>
            </w:r>
          </w:p>
        </w:tc>
        <w:tc>
          <w:tcPr/>
          <w:p>
            <w:pPr>
              <w:pStyle w:val="Compact"/>
              <w:jc w:val="center"/>
            </w:pPr>
            <w:r>
              <w:t xml:space="preserve">12</w:t>
            </w:r>
          </w:p>
        </w:tc>
        <w:tc>
          <w:tcPr/>
          <w:p>
            <w:pPr>
              <w:pStyle w:val="Compact"/>
              <w:jc w:val="center"/>
            </w:pPr>
            <w:r>
              <w:t xml:space="preserve">626</w:t>
            </w:r>
          </w:p>
        </w:tc>
      </w:tr>
      <w:tr>
        <w:tc>
          <w:tcPr/>
          <w:p>
            <w:pPr>
              <w:pStyle w:val="Compact"/>
            </w:pPr>
            <w:r>
              <w:t xml:space="preserve">4</w:t>
            </w:r>
          </w:p>
        </w:tc>
        <w:tc>
          <w:tcPr/>
          <w:p>
            <w:pPr>
              <w:pStyle w:val="Compact"/>
              <w:jc w:val="center"/>
            </w:pPr>
            <w:r>
              <w:t xml:space="preserve">5</w:t>
            </w:r>
          </w:p>
        </w:tc>
        <w:tc>
          <w:tcPr/>
          <w:p>
            <w:pPr>
              <w:pStyle w:val="Compact"/>
              <w:jc w:val="center"/>
            </w:pPr>
            <w:r>
              <w:t xml:space="preserve">606</w:t>
            </w:r>
          </w:p>
        </w:tc>
      </w:tr>
      <w:tr>
        <w:tc>
          <w:tcPr/>
          <w:p>
            <w:pPr>
              <w:pStyle w:val="Compact"/>
            </w:pPr>
            <w:r>
              <w:t xml:space="preserve">5</w:t>
            </w:r>
          </w:p>
        </w:tc>
        <w:tc>
          <w:tcPr/>
          <w:p>
            <w:pPr>
              <w:pStyle w:val="Compact"/>
              <w:jc w:val="center"/>
            </w:pPr>
            <w:r>
              <w:t xml:space="preserve">12</w:t>
            </w:r>
          </w:p>
        </w:tc>
        <w:tc>
          <w:tcPr/>
          <w:p>
            <w:pPr>
              <w:pStyle w:val="Compact"/>
              <w:jc w:val="center"/>
            </w:pPr>
            <w:r>
              <w:t xml:space="preserve">619</w:t>
            </w:r>
          </w:p>
        </w:tc>
      </w:tr>
      <w:tr>
        <w:tc>
          <w:tcPr/>
          <w:p>
            <w:pPr>
              <w:pStyle w:val="Compact"/>
            </w:pPr>
            <w:r>
              <w:t xml:space="preserve">6</w:t>
            </w:r>
          </w:p>
        </w:tc>
        <w:tc>
          <w:tcPr/>
          <w:p>
            <w:pPr>
              <w:pStyle w:val="Compact"/>
              <w:jc w:val="center"/>
            </w:pPr>
            <w:r>
              <w:t xml:space="preserve">11</w:t>
            </w:r>
          </w:p>
        </w:tc>
        <w:tc>
          <w:tcPr/>
          <w:p>
            <w:pPr>
              <w:pStyle w:val="Compact"/>
              <w:jc w:val="center"/>
            </w:pPr>
            <w:r>
              <w:t xml:space="preserve">633</w:t>
            </w:r>
          </w:p>
        </w:tc>
      </w:tr>
      <w:tr>
        <w:tc>
          <w:tcPr/>
          <w:p>
            <w:pPr>
              <w:pStyle w:val="Compact"/>
            </w:pPr>
            <w:r>
              <w:t xml:space="preserve">7</w:t>
            </w:r>
          </w:p>
        </w:tc>
        <w:tc>
          <w:tcPr/>
          <w:p>
            <w:pPr>
              <w:pStyle w:val="Compact"/>
              <w:jc w:val="center"/>
            </w:pPr>
            <w:r>
              <w:t xml:space="preserve">12</w:t>
            </w:r>
          </w:p>
        </w:tc>
        <w:tc>
          <w:tcPr/>
          <w:p>
            <w:pPr>
              <w:pStyle w:val="Compact"/>
              <w:jc w:val="center"/>
            </w:pPr>
            <w:r>
              <w:t xml:space="preserve">623</w:t>
            </w:r>
          </w:p>
        </w:tc>
      </w:tr>
      <w:tr>
        <w:tc>
          <w:tcPr/>
          <w:p>
            <w:pPr>
              <w:pStyle w:val="Compact"/>
            </w:pPr>
            <w:r>
              <w:t xml:space="preserve">8</w:t>
            </w:r>
          </w:p>
        </w:tc>
        <w:tc>
          <w:tcPr/>
          <w:p>
            <w:pPr>
              <w:pStyle w:val="Compact"/>
              <w:jc w:val="center"/>
            </w:pPr>
            <w:r>
              <w:t xml:space="preserve">8</w:t>
            </w:r>
          </w:p>
        </w:tc>
        <w:tc>
          <w:tcPr/>
          <w:p>
            <w:pPr>
              <w:pStyle w:val="Compact"/>
              <w:jc w:val="center"/>
            </w:pPr>
            <w:r>
              <w:t xml:space="preserve">617</w:t>
            </w:r>
          </w:p>
        </w:tc>
      </w:tr>
      <w:tr>
        <w:tc>
          <w:tcPr/>
          <w:p>
            <w:pPr>
              <w:pStyle w:val="Compact"/>
            </w:pPr>
            <w:r>
              <w:t xml:space="preserve">9</w:t>
            </w:r>
          </w:p>
        </w:tc>
        <w:tc>
          <w:tcPr/>
          <w:p>
            <w:pPr>
              <w:pStyle w:val="Compact"/>
              <w:jc w:val="center"/>
            </w:pPr>
            <w:r>
              <w:t xml:space="preserve">11</w:t>
            </w:r>
          </w:p>
        </w:tc>
        <w:tc>
          <w:tcPr/>
          <w:p>
            <w:pPr>
              <w:pStyle w:val="Compact"/>
              <w:jc w:val="center"/>
            </w:pPr>
            <w:r>
              <w:t xml:space="preserve">606</w:t>
            </w:r>
          </w:p>
        </w:tc>
      </w:tr>
      <w:tr>
        <w:tc>
          <w:tcPr/>
          <w:p>
            <w:pPr>
              <w:pStyle w:val="Compact"/>
            </w:pPr>
            <w:r>
              <w:t xml:space="preserve">10</w:t>
            </w:r>
          </w:p>
        </w:tc>
        <w:tc>
          <w:tcPr/>
          <w:p>
            <w:pPr>
              <w:pStyle w:val="Compact"/>
              <w:jc w:val="center"/>
            </w:pPr>
            <w:r>
              <w:t xml:space="preserve">13</w:t>
            </w:r>
          </w:p>
        </w:tc>
        <w:tc>
          <w:tcPr/>
          <w:p>
            <w:pPr>
              <w:pStyle w:val="Compact"/>
              <w:jc w:val="center"/>
            </w:pPr>
            <w:r>
              <w:t xml:space="preserve">619</w:t>
            </w:r>
          </w:p>
        </w:tc>
      </w:tr>
      <w:tr>
        <w:tc>
          <w:tcPr/>
          <w:p>
            <w:pPr>
              <w:pStyle w:val="Compact"/>
            </w:pPr>
            <w:r>
              <w:t xml:space="preserve">11</w:t>
            </w:r>
          </w:p>
        </w:tc>
        <w:tc>
          <w:tcPr/>
          <w:p>
            <w:pPr>
              <w:pStyle w:val="Compact"/>
              <w:jc w:val="center"/>
            </w:pPr>
            <w:r>
              <w:t xml:space="preserve">13</w:t>
            </w:r>
          </w:p>
        </w:tc>
        <w:tc>
          <w:tcPr/>
          <w:p>
            <w:pPr>
              <w:pStyle w:val="Compact"/>
              <w:jc w:val="center"/>
            </w:pPr>
            <w:r>
              <w:t xml:space="preserve">620</w:t>
            </w:r>
          </w:p>
        </w:tc>
      </w:tr>
      <w:tr>
        <w:tc>
          <w:tcPr/>
          <w:p>
            <w:pPr>
              <w:pStyle w:val="Compact"/>
            </w:pPr>
            <w:r>
              <w:t xml:space="preserve">12</w:t>
            </w:r>
          </w:p>
        </w:tc>
        <w:tc>
          <w:tcPr/>
          <w:p>
            <w:pPr>
              <w:pStyle w:val="Compact"/>
              <w:jc w:val="center"/>
            </w:pPr>
            <w:r>
              <w:t xml:space="preserve">11</w:t>
            </w:r>
          </w:p>
        </w:tc>
        <w:tc>
          <w:tcPr/>
          <w:p>
            <w:pPr>
              <w:pStyle w:val="Compact"/>
              <w:jc w:val="center"/>
            </w:pPr>
            <w:r>
              <w:t xml:space="preserve">625</w:t>
            </w:r>
          </w:p>
        </w:tc>
      </w:tr>
      <w:tr>
        <w:tc>
          <w:tcPr/>
          <w:p>
            <w:pPr>
              <w:pStyle w:val="Compact"/>
            </w:pPr>
            <w:r>
              <w:t xml:space="preserve">13</w:t>
            </w:r>
          </w:p>
        </w:tc>
        <w:tc>
          <w:tcPr/>
          <w:p>
            <w:pPr>
              <w:pStyle w:val="Compact"/>
              <w:jc w:val="center"/>
            </w:pPr>
            <w:r>
              <w:t xml:space="preserve">10</w:t>
            </w:r>
          </w:p>
        </w:tc>
        <w:tc>
          <w:tcPr/>
          <w:p>
            <w:pPr>
              <w:pStyle w:val="Compact"/>
              <w:jc w:val="center"/>
            </w:pPr>
            <w:r>
              <w:t xml:space="preserve">637</w:t>
            </w:r>
          </w:p>
        </w:tc>
      </w:tr>
      <w:tr>
        <w:tc>
          <w:tcPr/>
          <w:p>
            <w:pPr>
              <w:pStyle w:val="Compact"/>
            </w:pPr>
            <w:r>
              <w:t xml:space="preserve">14</w:t>
            </w:r>
          </w:p>
        </w:tc>
        <w:tc>
          <w:tcPr/>
          <w:p>
            <w:pPr>
              <w:pStyle w:val="Compact"/>
              <w:jc w:val="center"/>
            </w:pPr>
            <w:r>
              <w:t xml:space="preserve">13</w:t>
            </w:r>
          </w:p>
        </w:tc>
        <w:tc>
          <w:tcPr/>
          <w:p>
            <w:pPr>
              <w:pStyle w:val="Compact"/>
              <w:jc w:val="center"/>
            </w:pPr>
            <w:r>
              <w:t xml:space="preserve">622</w:t>
            </w:r>
          </w:p>
        </w:tc>
      </w:tr>
    </w:tbl>
    <w:p>
      <w:pPr>
        <w:pStyle w:val="BodyText"/>
      </w:pPr>
      <w:r>
        <w:rPr>
          <w:i/>
          <w:iCs/>
        </w:rPr>
        <w:t xml:space="preserve">Note.</w:t>
      </w:r>
      <w:r>
        <w:t xml:space="preserve"> </w:t>
      </w:r>
      <w:r>
        <w:t xml:space="preserve">Isolated items refer to items that are shown on a webpage as a</w:t>
      </w:r>
      <w:r>
        <w:t xml:space="preserve"> </w:t>
      </w:r>
      <w:r>
        <w:t xml:space="preserve">stand-alone item. Adapted from Trends in International Mathematics and</w:t>
      </w:r>
      <w:r>
        <w:t xml:space="preserve"> </w:t>
      </w:r>
      <w:r>
        <w:t xml:space="preserve">Science Study – TIMSS 2019. Copyright 2021 by International Association</w:t>
      </w:r>
      <w:r>
        <w:t xml:space="preserve"> </w:t>
      </w:r>
      <w:r>
        <w:t xml:space="preserve">for the Evaluation of Education Achievement (IEA). Publisher: TIMSS &amp;</w:t>
      </w:r>
      <w:r>
        <w:t xml:space="preserve"> </w:t>
      </w:r>
      <w:r>
        <w:t xml:space="preserve">PIRLS International Study Center, Lynch School of Education and Human</w:t>
      </w:r>
      <w:r>
        <w:t xml:space="preserve"> </w:t>
      </w:r>
      <w:r>
        <w:t xml:space="preserve">Development, Boston College.</w:t>
      </w:r>
    </w:p>
    <w:bookmarkEnd w:id="110"/>
    <w:bookmarkEnd w:id="11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00" Target="media/rId100.png" /><Relationship Type="http://schemas.openxmlformats.org/officeDocument/2006/relationships/image" Id="rId104" Target="media/rId104.png" /><Relationship Type="http://schemas.openxmlformats.org/officeDocument/2006/relationships/hyperlink" Id="rId80" Target="http://www.R-project.org/" TargetMode="External" /><Relationship Type="http://schemas.openxmlformats.org/officeDocument/2006/relationships/hyperlink" Id="rId39" Target="https://academic.oup.com/poq/article/60/3/390/1832313" TargetMode="External" /><Relationship Type="http://schemas.openxmlformats.org/officeDocument/2006/relationships/hyperlink" Id="rId69" Target="https://doi.org/10.1002/acp.1602" TargetMode="External" /><Relationship Type="http://schemas.openxmlformats.org/officeDocument/2006/relationships/hyperlink" Id="rId63" Target="https://doi.org/10.1002/acp.2350050305" TargetMode="External" /><Relationship Type="http://schemas.openxmlformats.org/officeDocument/2006/relationships/hyperlink" Id="rId83" Target="https://doi.org/10.1007/s11336-021-09817-7" TargetMode="External" /><Relationship Type="http://schemas.openxmlformats.org/officeDocument/2006/relationships/hyperlink" Id="rId76" Target="https://doi.org/10.1016/j.cedpsych.2018.02.004" TargetMode="External" /><Relationship Type="http://schemas.openxmlformats.org/officeDocument/2006/relationships/hyperlink" Id="rId50" Target="https://doi.org/10.1016/j.lindif.2021.102109" TargetMode="External" /><Relationship Type="http://schemas.openxmlformats.org/officeDocument/2006/relationships/hyperlink" Id="rId54" Target="https://doi.org/10.1037/0022-3514.92.6.1087" TargetMode="External" /><Relationship Type="http://schemas.openxmlformats.org/officeDocument/2006/relationships/hyperlink" Id="rId52" Target="https://doi.org/10.1037/pspp0000102" TargetMode="External" /><Relationship Type="http://schemas.openxmlformats.org/officeDocument/2006/relationships/hyperlink" Id="rId59" Target="https://doi.org/10.1037/tps0000232" TargetMode="External" /><Relationship Type="http://schemas.openxmlformats.org/officeDocument/2006/relationships/hyperlink" Id="rId56" Target="https://doi.org/10.1080/00273170701710247" TargetMode="External" /><Relationship Type="http://schemas.openxmlformats.org/officeDocument/2006/relationships/hyperlink" Id="rId73" Target="https://doi.org/10.1177/00131644211045351" TargetMode="External" /><Relationship Type="http://schemas.openxmlformats.org/officeDocument/2006/relationships/hyperlink" Id="rId46" Target="https://doi.org/10.1177/10944281211056520" TargetMode="External" /><Relationship Type="http://schemas.openxmlformats.org/officeDocument/2006/relationships/hyperlink" Id="rId67" Target="https://doi.org/10.1177/1525822X12448166" TargetMode="External" /><Relationship Type="http://schemas.openxmlformats.org/officeDocument/2006/relationships/hyperlink" Id="rId61" Target="https://doi.org/10.1177/1525822X17710640" TargetMode="External" /><Relationship Type="http://schemas.openxmlformats.org/officeDocument/2006/relationships/hyperlink" Id="rId48" Target="https://doi.org/10.18637/jss.v048.i06" TargetMode="External" /><Relationship Type="http://schemas.openxmlformats.org/officeDocument/2006/relationships/hyperlink" Id="rId41" Target="https://doi.org/10.18637/jss.v067.i01" TargetMode="External" /><Relationship Type="http://schemas.openxmlformats.org/officeDocument/2006/relationships/hyperlink" Id="rId65" Target="https://doi.org/10.18637/jss.v082.i13" TargetMode="External" /><Relationship Type="http://schemas.openxmlformats.org/officeDocument/2006/relationships/hyperlink" Id="rId44" Target="https://doi.org/10.3389/fpsyg.2019.00102" TargetMode="External" /><Relationship Type="http://schemas.openxmlformats.org/officeDocument/2006/relationships/hyperlink" Id="rId78" Target="https://doi.org/10.3390/jintelligence11040063" TargetMode="External" /><Relationship Type="http://schemas.openxmlformats.org/officeDocument/2006/relationships/hyperlink" Id="rId71" Target="https://timssandpirls.bc.edu/timss2019/international-results/" TargetMode="External" /><Relationship Type="http://schemas.openxmlformats.org/officeDocument/2006/relationships/hyperlink" Id="rId85" Target="https://www.jstor.org/stable/20461807" TargetMode="External" /></Relationships>
</file>

<file path=word/_rels/footnotes.xml.rels><?xml version="1.0" encoding="UTF-8"?><Relationships xmlns="http://schemas.openxmlformats.org/package/2006/relationships"><Relationship Type="http://schemas.openxmlformats.org/officeDocument/2006/relationships/hyperlink" Id="rId80" Target="http://www.R-project.org/" TargetMode="External" /><Relationship Type="http://schemas.openxmlformats.org/officeDocument/2006/relationships/hyperlink" Id="rId39" Target="https://academic.oup.com/poq/article/60/3/390/1832313" TargetMode="External" /><Relationship Type="http://schemas.openxmlformats.org/officeDocument/2006/relationships/hyperlink" Id="rId69" Target="https://doi.org/10.1002/acp.1602" TargetMode="External" /><Relationship Type="http://schemas.openxmlformats.org/officeDocument/2006/relationships/hyperlink" Id="rId63" Target="https://doi.org/10.1002/acp.2350050305" TargetMode="External" /><Relationship Type="http://schemas.openxmlformats.org/officeDocument/2006/relationships/hyperlink" Id="rId83" Target="https://doi.org/10.1007/s11336-021-09817-7" TargetMode="External" /><Relationship Type="http://schemas.openxmlformats.org/officeDocument/2006/relationships/hyperlink" Id="rId76" Target="https://doi.org/10.1016/j.cedpsych.2018.02.004" TargetMode="External" /><Relationship Type="http://schemas.openxmlformats.org/officeDocument/2006/relationships/hyperlink" Id="rId50" Target="https://doi.org/10.1016/j.lindif.2021.102109" TargetMode="External" /><Relationship Type="http://schemas.openxmlformats.org/officeDocument/2006/relationships/hyperlink" Id="rId54" Target="https://doi.org/10.1037/0022-3514.92.6.1087" TargetMode="External" /><Relationship Type="http://schemas.openxmlformats.org/officeDocument/2006/relationships/hyperlink" Id="rId52" Target="https://doi.org/10.1037/pspp0000102" TargetMode="External" /><Relationship Type="http://schemas.openxmlformats.org/officeDocument/2006/relationships/hyperlink" Id="rId59" Target="https://doi.org/10.1037/tps0000232" TargetMode="External" /><Relationship Type="http://schemas.openxmlformats.org/officeDocument/2006/relationships/hyperlink" Id="rId56" Target="https://doi.org/10.1080/00273170701710247" TargetMode="External" /><Relationship Type="http://schemas.openxmlformats.org/officeDocument/2006/relationships/hyperlink" Id="rId73" Target="https://doi.org/10.1177/00131644211045351" TargetMode="External" /><Relationship Type="http://schemas.openxmlformats.org/officeDocument/2006/relationships/hyperlink" Id="rId46" Target="https://doi.org/10.1177/10944281211056520" TargetMode="External" /><Relationship Type="http://schemas.openxmlformats.org/officeDocument/2006/relationships/hyperlink" Id="rId67" Target="https://doi.org/10.1177/1525822X12448166" TargetMode="External" /><Relationship Type="http://schemas.openxmlformats.org/officeDocument/2006/relationships/hyperlink" Id="rId61" Target="https://doi.org/10.1177/1525822X17710640" TargetMode="External" /><Relationship Type="http://schemas.openxmlformats.org/officeDocument/2006/relationships/hyperlink" Id="rId48" Target="https://doi.org/10.18637/jss.v048.i06" TargetMode="External" /><Relationship Type="http://schemas.openxmlformats.org/officeDocument/2006/relationships/hyperlink" Id="rId41" Target="https://doi.org/10.18637/jss.v067.i01" TargetMode="External" /><Relationship Type="http://schemas.openxmlformats.org/officeDocument/2006/relationships/hyperlink" Id="rId65" Target="https://doi.org/10.18637/jss.v082.i13" TargetMode="External" /><Relationship Type="http://schemas.openxmlformats.org/officeDocument/2006/relationships/hyperlink" Id="rId44" Target="https://doi.org/10.3389/fpsyg.2019.00102" TargetMode="External" /><Relationship Type="http://schemas.openxmlformats.org/officeDocument/2006/relationships/hyperlink" Id="rId78" Target="https://doi.org/10.3390/jintelligence11040063" TargetMode="External" /><Relationship Type="http://schemas.openxmlformats.org/officeDocument/2006/relationships/hyperlink" Id="rId71" Target="https://timssandpirls.bc.edu/timss2019/international-results/" TargetMode="External" /><Relationship Type="http://schemas.openxmlformats.org/officeDocument/2006/relationships/hyperlink" Id="rId85" Target="https://www.jstor.org/stable/2046180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Modeling Response Time: The F &gt; C Phenomenon and the Distance-Difficulty Hypothesis</dc:title>
  <dc:creator>Nicole Bonge; Ronna C. Turner</dc:creator>
  <cp:keywords>Response Time, Item Response Theory, Multilevel Modeling, F &gt; C Phenomenon, Distance-Difficulty Hypothesis</cp:keywords>
  <dcterms:created xsi:type="dcterms:W3CDTF">2025-04-17T22:33:44Z</dcterms:created>
  <dcterms:modified xsi:type="dcterms:W3CDTF">2025-04-17T22:33:44Z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Response time has long been thought to be closely related with intelligence via processing speed. If asked to describe a genius, one might describe a person who can do complex mental calculations quickly and with ease. This stereotype that students with high ability level tend to answer questions fastest has come under question, however, with research indicating that response time is a complex process, dependent on more than just ability level. In this study, we use multilevel linear models to analyze the responses and response times on the 2019 TIMSS mathematics achievement test for eighth-grade students in the United States. Our results demonstrate response time’s dependency on student ability level, whether the student answered the item correctly (F &gt; C phenomenon), and item difficulty in relation to the student’s ability level (distance-difficulty hypothesis). We find evidence to support the F &gt; C phenomenon, the distance-difficulty hypothesis, and an interaction between the two. Our results affirm the complexity of cognitive processes involved in item responses, and challenge the widespread use of response time as a stand-alone metric to assess item quality and respondent effort.</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lear-hidden-classes">
    <vt:lpwstr>none</vt:lpwstr>
  </property>
  <property fmtid="{D5CDD505-2E9C-101B-9397-08002B2CF9AE}" pid="10" name="crossref">
    <vt:lpwstr/>
  </property>
  <property fmtid="{D5CDD505-2E9C-101B-9397-08002B2CF9AE}" pid="11" name="date">
    <vt:lpwstr>2025-04-25</vt:lpwstr>
  </property>
  <property fmtid="{D5CDD505-2E9C-101B-9397-08002B2CF9AE}" pid="12" name="editor">
    <vt:lpwstr/>
  </property>
  <property fmtid="{D5CDD505-2E9C-101B-9397-08002B2CF9AE}" pid="13" name="fig-cap-location">
    <vt:lpwstr>top</vt:lpwstr>
  </property>
  <property fmtid="{D5CDD505-2E9C-101B-9397-08002B2CF9AE}" pid="14" name="github">
    <vt:lpwstr>https://github.com/nbonge/ncme-2025</vt:lpwstr>
  </property>
  <property fmtid="{D5CDD505-2E9C-101B-9397-08002B2CF9AE}" pid="15" name="google-scholar">
    <vt:lpwstr>True</vt:lpwstr>
  </property>
  <property fmtid="{D5CDD505-2E9C-101B-9397-08002B2CF9AE}" pid="16" name="header-includes">
    <vt:lpwstr/>
  </property>
  <property fmtid="{D5CDD505-2E9C-101B-9397-08002B2CF9AE}" pid="17" name="include-after">
    <vt:lpwstr/>
  </property>
  <property fmtid="{D5CDD505-2E9C-101B-9397-08002B2CF9AE}" pid="18" name="include-before">
    <vt:lpwstr/>
  </property>
  <property fmtid="{D5CDD505-2E9C-101B-9397-08002B2CF9AE}" pid="19" name="labels">
    <vt:lpwstr/>
  </property>
  <property fmtid="{D5CDD505-2E9C-101B-9397-08002B2CF9AE}" pid="20" name="lightbox">
    <vt:lpwstr>auto</vt:lpwstr>
  </property>
  <property fmtid="{D5CDD505-2E9C-101B-9397-08002B2CF9AE}" pid="21" name="manuscript">
    <vt:lpwstr/>
  </property>
  <property fmtid="{D5CDD505-2E9C-101B-9397-08002B2CF9AE}" pid="22" name="nocite">
    <vt:lpwstr>@*</vt:lpwstr>
  </property>
  <property fmtid="{D5CDD505-2E9C-101B-9397-08002B2CF9AE}" pid="23" name="notebook-preview-options">
    <vt:lpwstr/>
  </property>
  <property fmtid="{D5CDD505-2E9C-101B-9397-08002B2CF9AE}" pid="24" name="published-title">
    <vt:lpwstr>Presentation Date</vt:lpwstr>
  </property>
  <property fmtid="{D5CDD505-2E9C-101B-9397-08002B2CF9AE}" pid="25" name="quarto-internal">
    <vt:lpwstr/>
  </property>
  <property fmtid="{D5CDD505-2E9C-101B-9397-08002B2CF9AE}" pid="26" name="remove-hidden">
    <vt:lpwstr>all</vt:lpwstr>
  </property>
  <property fmtid="{D5CDD505-2E9C-101B-9397-08002B2CF9AE}" pid="27" name="template-partials">
    <vt:lpwstr/>
  </property>
  <property fmtid="{D5CDD505-2E9C-101B-9397-08002B2CF9AE}" pid="28" name="theme">
    <vt:lpwstr>cosmo</vt:lpwstr>
  </property>
  <property fmtid="{D5CDD505-2E9C-101B-9397-08002B2CF9AE}" pid="29" name="title-block-style">
    <vt:lpwstr>manuscript</vt:lpwstr>
  </property>
  <property fmtid="{D5CDD505-2E9C-101B-9397-08002B2CF9AE}" pid="30" name="toc-floating">
    <vt:lpwstr>True</vt:lpwstr>
  </property>
  <property fmtid="{D5CDD505-2E9C-101B-9397-08002B2CF9AE}" pid="31" name="toc-title">
    <vt:lpwstr>Table of contents</vt:lpwstr>
  </property>
  <property fmtid="{D5CDD505-2E9C-101B-9397-08002B2CF9AE}" pid="32" name="unroll-markdown-cells">
    <vt:lpwstr>True</vt:lpwstr>
  </property>
</Properties>
</file>