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4"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3"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End w:id="33"/>
    <w:bookmarkEnd w:id="34"/>
    <w:bookmarkStart w:id="38" w:name="results"/>
    <w:p>
      <w:pPr>
        <w:pStyle w:val="Heading2"/>
      </w:pPr>
      <w:r>
        <w:t xml:space="preserve">4 Results</w:t>
      </w:r>
    </w:p>
    <w:bookmarkStart w:id="35" w:name="null-model"/>
    <w:p>
      <w:pPr>
        <w:pStyle w:val="Heading3"/>
      </w:pPr>
      <w:r>
        <w:t xml:space="preserve">4.1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5"/>
    <w:bookmarkStart w:id="36" w:name="models-assessing-f-c-phenomenon"/>
    <w:p>
      <w:pPr>
        <w:pStyle w:val="Heading3"/>
      </w:pPr>
      <w:r>
        <w:t xml:space="preserve">4.2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6"/>
    <w:bookmarkStart w:id="37" w:name="Xe1b16fdb4b93f6a951b524d5f3bc90c2c09cd13"/>
    <w:p>
      <w:pPr>
        <w:pStyle w:val="Heading3"/>
      </w:pPr>
      <w:r>
        <w:t xml:space="preserve">4.3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7"/>
    <w:bookmarkEnd w:id="38"/>
    <w:bookmarkStart w:id="39" w:name="conclusion"/>
    <w:p>
      <w:pPr>
        <w:pStyle w:val="Heading2"/>
      </w:pPr>
      <w:r>
        <w:t xml:space="preserve">5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9"/>
    <w:bookmarkStart w:id="89" w:name="references"/>
    <w:p>
      <w:pPr>
        <w:pStyle w:val="Heading2"/>
      </w:pPr>
      <w:r>
        <w:t xml:space="preserve">References</w:t>
      </w:r>
    </w:p>
    <w:bookmarkStart w:id="88" w:name="refs"/>
    <w:bookmarkStart w:id="41"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40">
        <w:r>
          <w:rPr>
            <w:rStyle w:val="Hyperlink"/>
          </w:rPr>
          <w:t xml:space="preserve">https://academic.oup.com/poq/article/60/3/390/1832313</w:t>
        </w:r>
      </w:hyperlink>
      <w:r>
        <w:t xml:space="preserve">.</w:t>
      </w:r>
    </w:p>
    <w:bookmarkEnd w:id="41"/>
    <w:bookmarkStart w:id="43"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42">
        <w:r>
          <w:rPr>
            <w:rStyle w:val="Hyperlink"/>
          </w:rPr>
          <w:t xml:space="preserve">https://doi.org/10.18637/jss.v067.i01</w:t>
        </w:r>
      </w:hyperlink>
      <w:r>
        <w:t xml:space="preserve">.</w:t>
      </w:r>
    </w:p>
    <w:bookmarkEnd w:id="43"/>
    <w:bookmarkStart w:id="44"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44"/>
    <w:bookmarkStart w:id="46"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5">
        <w:r>
          <w:rPr>
            <w:rStyle w:val="Hyperlink"/>
          </w:rPr>
          <w:t xml:space="preserve">https://doi.org/10.3389/fpsyg.2019.00102</w:t>
        </w:r>
      </w:hyperlink>
      <w:r>
        <w:t xml:space="preserve">.</w:t>
      </w:r>
    </w:p>
    <w:bookmarkEnd w:id="46"/>
    <w:bookmarkStart w:id="48"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7">
        <w:r>
          <w:rPr>
            <w:rStyle w:val="Hyperlink"/>
          </w:rPr>
          <w:t xml:space="preserve">https://doi.org/10.1177/10944281211056520</w:t>
        </w:r>
      </w:hyperlink>
      <w:r>
        <w:t xml:space="preserve">.</w:t>
      </w:r>
    </w:p>
    <w:bookmarkEnd w:id="48"/>
    <w:bookmarkStart w:id="50"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9">
        <w:r>
          <w:rPr>
            <w:rStyle w:val="Hyperlink"/>
          </w:rPr>
          <w:t xml:space="preserve">https://doi.org/10.18637/jss.v048.i06</w:t>
        </w:r>
      </w:hyperlink>
      <w:r>
        <w:t xml:space="preserve">.</w:t>
      </w:r>
    </w:p>
    <w:bookmarkEnd w:id="50"/>
    <w:bookmarkStart w:id="52" w:name="ref-Chan2022"/>
    <w:p>
      <w:pPr>
        <w:pStyle w:val="Bibliography"/>
      </w:pPr>
      <w:r>
        <w:t xml:space="preserve">Chan, Jenny Yun Chen, Erin R. Ottmar, and Ji Eun Lee. 2022.</w:t>
      </w:r>
      <w:r>
        <w:t xml:space="preserve"> </w:t>
      </w:r>
      <w:r>
        <w:t xml:space="preserve">“Slow down to Speed up: Longer Pause Time Before Solving Problems Relates to Higher Strategy Efficiency.”</w:t>
      </w:r>
      <w:r>
        <w:t xml:space="preserve"> </w:t>
      </w:r>
      <w:r>
        <w:rPr>
          <w:i/>
          <w:iCs/>
        </w:rPr>
        <w:t xml:space="preserve">Learning and Individual Differences</w:t>
      </w:r>
      <w:r>
        <w:t xml:space="preserve"> </w:t>
      </w:r>
      <w:r>
        <w:t xml:space="preserve">93 (January).</w:t>
      </w:r>
      <w:r>
        <w:t xml:space="preserve"> </w:t>
      </w:r>
      <w:hyperlink r:id="rId51">
        <w:r>
          <w:rPr>
            <w:rStyle w:val="Hyperlink"/>
          </w:rPr>
          <w:t xml:space="preserve">https://doi.org/10.1016/j.lindif.2021.102109</w:t>
        </w:r>
      </w:hyperlink>
      <w:r>
        <w:t xml:space="preserve">.</w:t>
      </w:r>
    </w:p>
    <w:bookmarkEnd w:id="52"/>
    <w:bookmarkStart w:id="54" w:name="ref-Cred2017"/>
    <w:p>
      <w:pPr>
        <w:pStyle w:val="Bibliography"/>
      </w:pPr>
      <w:r>
        <w:t xml:space="preserve">Credé, Marcus, Michael C. Tynan, and Peter D. Harms. 2017.</w:t>
      </w:r>
      <w:r>
        <w:t xml:space="preserve"> </w:t>
      </w:r>
      <w:r>
        <w:t xml:space="preserve">“Much Ado about Grit: A Meta-Analytic Synthesis of the Grit Literature.”</w:t>
      </w:r>
      <w:r>
        <w:t xml:space="preserve"> </w:t>
      </w:r>
      <w:r>
        <w:rPr>
          <w:i/>
          <w:iCs/>
        </w:rPr>
        <w:t xml:space="preserve">Journal of Personality and Social Psychology</w:t>
      </w:r>
      <w:r>
        <w:t xml:space="preserve"> </w:t>
      </w:r>
      <w:r>
        <w:t xml:space="preserve">113 (September): 492–511.</w:t>
      </w:r>
      <w:r>
        <w:t xml:space="preserve"> </w:t>
      </w:r>
      <w:hyperlink r:id="rId53">
        <w:r>
          <w:rPr>
            <w:rStyle w:val="Hyperlink"/>
          </w:rPr>
          <w:t xml:space="preserve">https://doi.org/10.1037/pspp0000102</w:t>
        </w:r>
      </w:hyperlink>
      <w:r>
        <w:t xml:space="preserve">.</w:t>
      </w:r>
    </w:p>
    <w:bookmarkEnd w:id="54"/>
    <w:bookmarkStart w:id="56" w:name="ref-Duckworth2007"/>
    <w:p>
      <w:pPr>
        <w:pStyle w:val="Bibliography"/>
      </w:pPr>
      <w:r>
        <w:t xml:space="preserve">Duckworth, Angela L., Christopher Peterson, Michael D. Matthews, and Dennis R. Kelly. 2007.</w:t>
      </w:r>
      <w:r>
        <w:t xml:space="preserve"> </w:t>
      </w:r>
      <w:r>
        <w:t xml:space="preserve">“Grit: Perseverance and Passion for Long-Term Goals.”</w:t>
      </w:r>
      <w:r>
        <w:t xml:space="preserve"> </w:t>
      </w:r>
      <w:r>
        <w:rPr>
          <w:i/>
          <w:iCs/>
        </w:rPr>
        <w:t xml:space="preserve">Journal of Personality and Social Psychology</w:t>
      </w:r>
      <w:r>
        <w:t xml:space="preserve"> </w:t>
      </w:r>
      <w:r>
        <w:t xml:space="preserve">92 (June): 1087–1101.</w:t>
      </w:r>
      <w:r>
        <w:t xml:space="preserve"> </w:t>
      </w:r>
      <w:hyperlink r:id="rId55">
        <w:r>
          <w:rPr>
            <w:rStyle w:val="Hyperlink"/>
          </w:rPr>
          <w:t xml:space="preserve">https://doi.org/10.1037/0022-3514.92.6.1087</w:t>
        </w:r>
      </w:hyperlink>
      <w:r>
        <w:t xml:space="preserve">.</w:t>
      </w:r>
    </w:p>
    <w:bookmarkEnd w:id="56"/>
    <w:bookmarkStart w:id="58" w:name="ref-Ferrando2007"/>
    <w:p>
      <w:pPr>
        <w:pStyle w:val="Bibliography"/>
      </w:pPr>
      <w:r>
        <w:t xml:space="preserve">Ferrando, Pere J., and Urbano Lorenzo-Seva. 2007.</w:t>
      </w:r>
      <w:r>
        <w:t xml:space="preserve"> </w:t>
      </w:r>
      <w:r>
        <w:t xml:space="preserve">“A Measurement Model for Likert Responses That Incorporates Response Time.”</w:t>
      </w:r>
      <w:r>
        <w:t xml:space="preserve"> </w:t>
      </w:r>
      <w:r>
        <w:rPr>
          <w:i/>
          <w:iCs/>
        </w:rPr>
        <w:t xml:space="preserve">Multivariate Behavioral Research</w:t>
      </w:r>
      <w:r>
        <w:t xml:space="preserve"> </w:t>
      </w:r>
      <w:r>
        <w:t xml:space="preserve">42 (December): 675–706.</w:t>
      </w:r>
      <w:r>
        <w:t xml:space="preserve"> </w:t>
      </w:r>
      <w:hyperlink r:id="rId57">
        <w:r>
          <w:rPr>
            <w:rStyle w:val="Hyperlink"/>
          </w:rPr>
          <w:t xml:space="preserve">https://doi.org/10.1080/00273170701710247</w:t>
        </w:r>
      </w:hyperlink>
      <w:r>
        <w:t xml:space="preserve">.</w:t>
      </w:r>
    </w:p>
    <w:bookmarkEnd w:id="58"/>
    <w:bookmarkStart w:id="59"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9"/>
    <w:bookmarkStart w:id="61" w:name="ref-Gernsbacher2020"/>
    <w:p>
      <w:pPr>
        <w:pStyle w:val="Bibliography"/>
      </w:pPr>
      <w:r>
        <w:t xml:space="preserve">Gernsbacher, Morton Ann, Raechel N. Soicher, and Kathryn A. Becker-Blease. 2020.</w:t>
      </w:r>
      <w:r>
        <w:t xml:space="preserve"> </w:t>
      </w:r>
      <w:r>
        <w:t xml:space="preserve">“Four Empirically Based Reasons Not to Administer Time-Limited Tests.”</w:t>
      </w:r>
      <w:r>
        <w:t xml:space="preserve"> </w:t>
      </w:r>
      <w:r>
        <w:rPr>
          <w:i/>
          <w:iCs/>
        </w:rPr>
        <w:t xml:space="preserve">Translational Issues in Psychological Science</w:t>
      </w:r>
      <w:r>
        <w:t xml:space="preserve"> </w:t>
      </w:r>
      <w:r>
        <w:t xml:space="preserve">6 (June): 175–90.</w:t>
      </w:r>
      <w:r>
        <w:t xml:space="preserve"> </w:t>
      </w:r>
      <w:hyperlink r:id="rId60">
        <w:r>
          <w:rPr>
            <w:rStyle w:val="Hyperlink"/>
          </w:rPr>
          <w:t xml:space="preserve">https://doi.org/10.1037/tps0000232</w:t>
        </w:r>
      </w:hyperlink>
      <w:r>
        <w:t xml:space="preserve">.</w:t>
      </w:r>
    </w:p>
    <w:bookmarkEnd w:id="61"/>
    <w:bookmarkStart w:id="63"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62">
        <w:r>
          <w:rPr>
            <w:rStyle w:val="Hyperlink"/>
          </w:rPr>
          <w:t xml:space="preserve">https://doi.org/10.1177/1525822X17710640</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3" w:name="ref-Mullis2020"/>
    <w:p>
      <w:pPr>
        <w:pStyle w:val="Bibliography"/>
      </w:pPr>
      <w:r>
        <w:t xml:space="preserve">Mullis, I. V. S., M. O. Martin, P. Foy, D. L. Kelly, and B. Fishbein. 2020.</w:t>
      </w:r>
      <w:r>
        <w:t xml:space="preserve"> </w:t>
      </w:r>
      <w:r>
        <w:t xml:space="preserve">“TIMSS 2019 International Results in Mathematics and Science.”</w:t>
      </w:r>
      <w:r>
        <w:t xml:space="preserve"> </w:t>
      </w:r>
      <w:r>
        <w:rPr>
          <w:i/>
          <w:iCs/>
        </w:rPr>
        <w:t xml:space="preserve">Boston College, TIMSS &amp; PIRLS International Study Center Website</w:t>
      </w:r>
      <w:r>
        <w:t xml:space="preserve">.</w:t>
      </w:r>
      <w:r>
        <w:t xml:space="preserve"> </w:t>
      </w:r>
      <w:hyperlink r:id="rId72">
        <w:r>
          <w:rPr>
            <w:rStyle w:val="Hyperlink"/>
          </w:rPr>
          <w:t xml:space="preserve">https://timssandpirls.bc.edu/timss2019/international-results/</w:t>
        </w:r>
      </w:hyperlink>
      <w:r>
        <w:t xml:space="preserve">.</w:t>
      </w:r>
    </w:p>
    <w:bookmarkEnd w:id="73"/>
    <w:bookmarkStart w:id="75" w:name="ref-Nagy2022"/>
    <w:p>
      <w:pPr>
        <w:pStyle w:val="Bibliography"/>
      </w:pPr>
      <w:r>
        <w:t xml:space="preserve">Nagy, Gabriel, and Esther Ulitzsch. 2022.</w:t>
      </w:r>
      <w:r>
        <w:t xml:space="preserve"> </w:t>
      </w:r>
      <w:r>
        <w:t xml:space="preserve">“A Multilevel Mixture IRT Framework for Modeling Response Times as Predictors or Indicators of Response Engagement in IRT Models.”</w:t>
      </w:r>
      <w:r>
        <w:t xml:space="preserve"> </w:t>
      </w:r>
      <w:r>
        <w:rPr>
          <w:i/>
          <w:iCs/>
        </w:rPr>
        <w:t xml:space="preserve">Educational and Psychological Measurement</w:t>
      </w:r>
      <w:r>
        <w:t xml:space="preserve"> </w:t>
      </w:r>
      <w:r>
        <w:t xml:space="preserve">82 (October): 845–79.</w:t>
      </w:r>
      <w:r>
        <w:t xml:space="preserve"> </w:t>
      </w:r>
      <w:hyperlink r:id="rId74">
        <w:r>
          <w:rPr>
            <w:rStyle w:val="Hyperlink"/>
          </w:rPr>
          <w:t xml:space="preserve">https://doi.org/10.1177/00131644211045351</w:t>
        </w:r>
      </w:hyperlink>
      <w:r>
        <w:t xml:space="preserve">.</w:t>
      </w:r>
    </w:p>
    <w:bookmarkEnd w:id="75"/>
    <w:bookmarkStart w:id="76"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6"/>
    <w:bookmarkStart w:id="78" w:name="ref-Steinmayr2018"/>
    <w:p>
      <w:pPr>
        <w:pStyle w:val="Bibliography"/>
      </w:pPr>
      <w:r>
        <w:t xml:space="preserve">Steinmayr, Ricarda, Anne F. Weidinger, and Allan Wigfield. 2018.</w:t>
      </w:r>
      <w:r>
        <w:t xml:space="preserve"> </w:t>
      </w:r>
      <w:r>
        <w:t xml:space="preserve">“Does Students’ Grit Predict Their School Achievement Above and Beyond Their Personality, Motivation, and Engagement?”</w:t>
      </w:r>
      <w:r>
        <w:t xml:space="preserve"> </w:t>
      </w:r>
      <w:r>
        <w:rPr>
          <w:i/>
          <w:iCs/>
        </w:rPr>
        <w:t xml:space="preserve">Contemporary Educational Psychology</w:t>
      </w:r>
      <w:r>
        <w:t xml:space="preserve"> </w:t>
      </w:r>
      <w:r>
        <w:t xml:space="preserve">53 (April): 106–22.</w:t>
      </w:r>
      <w:r>
        <w:t xml:space="preserve"> </w:t>
      </w:r>
      <w:hyperlink r:id="rId77">
        <w:r>
          <w:rPr>
            <w:rStyle w:val="Hyperlink"/>
          </w:rPr>
          <w:t xml:space="preserve">https://doi.org/10.1016/j.cedpsych.2018.02.004</w:t>
        </w:r>
      </w:hyperlink>
      <w:r>
        <w:t xml:space="preserve">.</w:t>
      </w:r>
    </w:p>
    <w:bookmarkEnd w:id="78"/>
    <w:bookmarkStart w:id="80"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9">
        <w:r>
          <w:rPr>
            <w:rStyle w:val="Hyperlink"/>
          </w:rPr>
          <w:t xml:space="preserve">https://doi.org/10.3390/jintelligence11040063</w:t>
        </w:r>
      </w:hyperlink>
      <w:r>
        <w:t xml:space="preserve">.</w:t>
      </w:r>
    </w:p>
    <w:bookmarkEnd w:id="80"/>
    <w:bookmarkStart w:id="82"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81">
        <w:r>
          <w:rPr>
            <w:rStyle w:val="Hyperlink"/>
          </w:rPr>
          <w:t xml:space="preserve">http://www.R-project.org/</w:t>
        </w:r>
      </w:hyperlink>
      <w:r>
        <w:t xml:space="preserve">.</w:t>
      </w:r>
    </w:p>
    <w:bookmarkEnd w:id="82"/>
    <w:bookmarkStart w:id="83"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3"/>
    <w:bookmarkStart w:id="85"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4">
        <w:r>
          <w:rPr>
            <w:rStyle w:val="Hyperlink"/>
          </w:rPr>
          <w:t xml:space="preserve">https://doi.org/10.1007/s11336-021-09817-7</w:t>
        </w:r>
      </w:hyperlink>
      <w:r>
        <w:t xml:space="preserve">.</w:t>
      </w:r>
    </w:p>
    <w:bookmarkEnd w:id="85"/>
    <w:bookmarkStart w:id="87" w:name="ref-Wise2006"/>
    <w:p>
      <w:pPr>
        <w:pStyle w:val="Bibliography"/>
      </w:pPr>
      <w:r>
        <w:t xml:space="preserve">Wise, Steven L, and Christine E Demars. 2006.</w:t>
      </w:r>
      <w:r>
        <w:t xml:space="preserve"> </w:t>
      </w:r>
      <w:r>
        <w:t xml:space="preserve">“An Application of Item Response Time: The Effort-Moderated IRT Model National Council on Measurement in Education.”</w:t>
      </w:r>
      <w:r>
        <w:t xml:space="preserve"> </w:t>
      </w:r>
      <w:r>
        <w:rPr>
          <w:i/>
          <w:iCs/>
        </w:rPr>
        <w:t xml:space="preserve">Source: Journal of Educational Measurement</w:t>
      </w:r>
      <w:r>
        <w:t xml:space="preserve">. Vol. 43.</w:t>
      </w:r>
      <w:r>
        <w:t xml:space="preserve"> </w:t>
      </w:r>
      <w:hyperlink r:id="rId86">
        <w:r>
          <w:rPr>
            <w:rStyle w:val="Hyperlink"/>
          </w:rPr>
          <w:t xml:space="preserve">https://www.jstor.org/stable/20461807</w:t>
        </w:r>
      </w:hyperlink>
      <w:r>
        <w:t xml:space="preserve">.</w:t>
      </w:r>
    </w:p>
    <w:bookmarkEnd w:id="87"/>
    <w:bookmarkEnd w:id="88"/>
    <w:bookmarkEnd w:id="89"/>
    <w:bookmarkStart w:id="100"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90"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9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4"/>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5"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8"/>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9"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9"/>
          <w:p/>
        </w:tc>
      </w:tr>
    </w:tbl>
    <w:bookmarkEnd w:id="100"/>
    <w:bookmarkStart w:id="109"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4"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2" name="Picture"/>
                  <a:graphic>
                    <a:graphicData uri="http://schemas.openxmlformats.org/drawingml/2006/picture">
                      <pic:pic>
                        <pic:nvPicPr>
                          <pic:cNvPr descr="images/Figure1.png" id="103" name="Picture"/>
                          <pic:cNvPicPr>
                            <a:picLocks noChangeArrowheads="1" noChangeAspect="1"/>
                          </pic:cNvPicPr>
                        </pic:nvPicPr>
                        <pic:blipFill>
                          <a:blip r:embed="rId101"/>
                          <a:stretch>
                            <a:fillRect/>
                          </a:stretch>
                        </pic:blipFill>
                        <pic:spPr bwMode="auto">
                          <a:xfrm>
                            <a:off x="0" y="0"/>
                            <a:ext cx="5334000" cy="3831356"/>
                          </a:xfrm>
                          <a:prstGeom prst="rect">
                            <a:avLst/>
                          </a:prstGeom>
                          <a:noFill/>
                          <a:ln w="9525">
                            <a:noFill/>
                            <a:headEnd/>
                            <a:tailEnd/>
                          </a:ln>
                        </pic:spPr>
                      </pic:pic>
                    </a:graphicData>
                  </a:graphic>
                </wp:inline>
              </w:drawing>
            </w:r>
          </w:p>
          <w:bookmarkEnd w:id="10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6" name="Picture"/>
                  <a:graphic>
                    <a:graphicData uri="http://schemas.openxmlformats.org/drawingml/2006/picture">
                      <pic:pic>
                        <pic:nvPicPr>
                          <pic:cNvPr descr="images/Figure2.png" id="107" name="Picture"/>
                          <pic:cNvPicPr>
                            <a:picLocks noChangeArrowheads="1" noChangeAspect="1"/>
                          </pic:cNvPicPr>
                        </pic:nvPicPr>
                        <pic:blipFill>
                          <a:blip r:embed="rId105"/>
                          <a:stretch>
                            <a:fillRect/>
                          </a:stretch>
                        </pic:blipFill>
                        <pic:spPr bwMode="auto">
                          <a:xfrm>
                            <a:off x="0" y="0"/>
                            <a:ext cx="5334000" cy="3831356"/>
                          </a:xfrm>
                          <a:prstGeom prst="rect">
                            <a:avLst/>
                          </a:prstGeom>
                          <a:noFill/>
                          <a:ln w="9525">
                            <a:noFill/>
                            <a:headEnd/>
                            <a:tailEnd/>
                          </a:ln>
                        </pic:spPr>
                      </pic:pic>
                    </a:graphicData>
                  </a:graphic>
                </wp:inline>
              </w:drawing>
            </w:r>
          </w:p>
          <w:bookmarkEnd w:id="108"/>
        </w:tc>
      </w:tr>
    </w:tbl>
    <w:bookmarkEnd w:id="109"/>
    <w:bookmarkStart w:id="112" w:name="appendix"/>
    <w:p>
      <w:pPr>
        <w:pStyle w:val="Heading2"/>
      </w:pPr>
      <w:r>
        <w:t xml:space="preserve">Appendix</w:t>
      </w:r>
    </w:p>
    <w:bookmarkStart w:id="110"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Start w:id="111"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2025-04-17T23:19:04Z</dcterms:created>
  <dcterms:modified xsi:type="dcterms:W3CDTF">2025-04-17T23:19:04Z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cite">
    <vt:lpwstr>@*</vt:lpwstr>
  </property>
  <property fmtid="{D5CDD505-2E9C-101B-9397-08002B2CF9AE}" pid="23" name="notebook-preview-options">
    <vt:lpwstr/>
  </property>
  <property fmtid="{D5CDD505-2E9C-101B-9397-08002B2CF9AE}" pid="24" name="published-title">
    <vt:lpwstr>Presentation Date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floating">
    <vt:lpwstr>True</vt:lpwstr>
  </property>
  <property fmtid="{D5CDD505-2E9C-101B-9397-08002B2CF9AE}" pid="31" name="toc-title">
    <vt:lpwstr>Table of contents</vt:lpwstr>
  </property>
  <property fmtid="{D5CDD505-2E9C-101B-9397-08002B2CF9AE}" pid="32" name="unroll-markdown-cells">
    <vt:lpwstr>True</vt:lpwstr>
  </property>
</Properties>
</file>