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 w:right="45" w:firstLine="0"/>
        <w:jc w:val="center"/>
        <w:rPr>
          <w:rFonts w:ascii="Times" w:cs="Times" w:eastAsia="Times" w:hAnsi="Times"/>
          <w:b w:val="1"/>
          <w:color w:val="000000"/>
          <w:u w:val="none"/>
        </w:rPr>
      </w:pPr>
      <w:r w:rsidDel="00000000" w:rsidR="00000000" w:rsidRPr="00000000">
        <w:rPr>
          <w:rFonts w:ascii="Times" w:cs="Times" w:eastAsia="Times" w:hAnsi="Times"/>
          <w:b w:val="1"/>
          <w:color w:val="000000"/>
          <w:u w:val="none"/>
          <w:rtl w:val="0"/>
        </w:rPr>
        <w:t xml:space="preserve">MINUTES OF DISTRIBUTION COMMITTEE MEETING</w:t>
      </w:r>
    </w:p>
    <w:p w:rsidR="00000000" w:rsidDel="00000000" w:rsidP="00000000" w:rsidRDefault="00000000" w:rsidRPr="00000000" w14:paraId="00000002">
      <w:pPr>
        <w:spacing w:after="240" w:lineRule="auto"/>
        <w:ind w:left="45" w:right="45" w:firstLine="0"/>
        <w:jc w:val="center"/>
        <w:rPr>
          <w:rFonts w:ascii="Times" w:cs="Times" w:eastAsia="Times" w:hAnsi="Times"/>
          <w:b w:val="1"/>
          <w:color w:val="000000"/>
          <w:u w:val="none"/>
        </w:rPr>
      </w:pPr>
      <w:r w:rsidDel="00000000" w:rsidR="00000000" w:rsidRPr="00000000">
        <w:rPr>
          <w:rFonts w:ascii="Times" w:cs="Times" w:eastAsia="Times" w:hAnsi="Times"/>
          <w:b w:val="1"/>
          <w:color w:val="000000"/>
          <w:u w:val="none"/>
          <w:rtl w:val="0"/>
        </w:rPr>
        <w:t xml:space="preserve">{{ alternate_company_name }}</w:t>
      </w:r>
    </w:p>
    <w:p w:rsidR="00000000" w:rsidDel="00000000" w:rsidP="00000000" w:rsidRDefault="00000000" w:rsidRPr="00000000" w14:paraId="00000003">
      <w:pPr>
        <w:spacing w:after="240" w:lineRule="auto"/>
        <w:ind w:left="45" w:right="45" w:firstLine="0"/>
        <w:jc w:val="center"/>
        <w:rPr>
          <w:rFonts w:ascii="Times" w:cs="Times" w:eastAsia="Times" w:hAnsi="Times"/>
          <w:color w:val="000000"/>
        </w:rPr>
      </w:pPr>
      <w:r w:rsidDel="00000000" w:rsidR="00000000" w:rsidRPr="00000000">
        <w:rPr>
          <w:rFonts w:ascii="Times" w:cs="Times" w:eastAsia="Times" w:hAnsi="Times"/>
          <w:b w:val="1"/>
          <w:color w:val="000000"/>
          <w:u w:val="none"/>
          <w:rtl w:val="0"/>
        </w:rPr>
        <w:t xml:space="preserve">{{ signed_on }}</w:t>
      </w:r>
      <w:r w:rsidDel="00000000" w:rsidR="00000000" w:rsidRPr="00000000">
        <w:rPr>
          <w:rtl w:val="0"/>
        </w:rPr>
      </w:r>
    </w:p>
    <w:p w:rsidR="00000000" w:rsidDel="00000000" w:rsidP="00000000" w:rsidRDefault="00000000" w:rsidRPr="00000000" w14:paraId="00000004">
      <w:pPr>
        <w:spacing w:after="120" w:lineRule="auto"/>
        <w:jc w:val="both"/>
        <w:rPr>
          <w:rFonts w:ascii="Times" w:cs="Times" w:eastAsia="Times" w:hAnsi="Times"/>
          <w:color w:val="000000"/>
        </w:rPr>
      </w:pPr>
      <w:r w:rsidDel="00000000" w:rsidR="00000000" w:rsidRPr="00000000">
        <w:rPr>
          <w:rFonts w:ascii="Times" w:cs="Times" w:eastAsia="Times" w:hAnsi="Times"/>
          <w:b w:val="1"/>
          <w:color w:val="000000"/>
          <w:rtl w:val="0"/>
        </w:rPr>
        <w:t xml:space="preserve">MINUTES OF A MEETING OF THE DISTRIBUTION COMMITTEE </w:t>
      </w:r>
      <w:r w:rsidDel="00000000" w:rsidR="00000000" w:rsidRPr="00000000">
        <w:rPr>
          <w:rFonts w:ascii="Times" w:cs="Times" w:eastAsia="Times" w:hAnsi="Times"/>
          <w:color w:val="000000"/>
          <w:rtl w:val="0"/>
        </w:rPr>
        <w:t xml:space="preserve">(</w:t>
      </w:r>
      <w:r w:rsidDel="00000000" w:rsidR="00000000" w:rsidRPr="00000000">
        <w:rPr>
          <w:rFonts w:ascii="Times" w:cs="Times" w:eastAsia="Times" w:hAnsi="Times"/>
          <w:b w:val="1"/>
          <w:i w:val="1"/>
          <w:color w:val="000000"/>
          <w:rtl w:val="0"/>
        </w:rPr>
        <w:t xml:space="preserve">“Committee”</w:t>
      </w:r>
      <w:r w:rsidDel="00000000" w:rsidR="00000000" w:rsidRPr="00000000">
        <w:rPr>
          <w:rFonts w:ascii="Times" w:cs="Times" w:eastAsia="Times" w:hAnsi="Times"/>
          <w:color w:val="000000"/>
          <w:rtl w:val="0"/>
        </w:rPr>
        <w:t xml:space="preserve">)</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of </w:t>
      </w:r>
      <w:r w:rsidDel="00000000" w:rsidR="00000000" w:rsidRPr="00000000">
        <w:rPr>
          <w:rtl w:val="0"/>
        </w:rPr>
        <w:t xml:space="preserve">{{ alternate_company_name }}</w:t>
      </w:r>
      <w:r w:rsidDel="00000000" w:rsidR="00000000" w:rsidRPr="00000000">
        <w:rPr>
          <w:rFonts w:ascii="Times" w:cs="Times" w:eastAsia="Times" w:hAnsi="Times"/>
          <w:color w:val="000000"/>
          <w:rtl w:val="0"/>
        </w:rPr>
        <w:t xml:space="preserve"> (</w:t>
      </w:r>
      <w:r w:rsidDel="00000000" w:rsidR="00000000" w:rsidRPr="00000000">
        <w:rPr>
          <w:rFonts w:ascii="Times" w:cs="Times" w:eastAsia="Times" w:hAnsi="Times"/>
          <w:b w:val="1"/>
          <w:i w:val="1"/>
          <w:color w:val="000000"/>
          <w:rtl w:val="0"/>
        </w:rPr>
        <w:t xml:space="preserve">“Trust”</w:t>
      </w:r>
      <w:r w:rsidDel="00000000" w:rsidR="00000000" w:rsidRPr="00000000">
        <w:rPr>
          <w:rFonts w:ascii="Times" w:cs="Times" w:eastAsia="Times" w:hAnsi="Times"/>
          <w:color w:val="000000"/>
          <w:rtl w:val="0"/>
        </w:rPr>
        <w:t xml:space="preserve">) were held at 1309 Coffeen Avenue, Suite Two, Sheridan, Wyoming, 82801 on {{ long_date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Trustee of the Trust, {{ company_name }}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“Trustee”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 appointed, as noted by its signature below, Wyoming Asset Protection Attorney, LLC </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1"/>
          <w:i w:val="1"/>
          <w:rtl w:val="0"/>
        </w:rPr>
        <w:t xml:space="preserve">WAPA</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serve as the sole member of the Committee.  Neither WAPA nor any individual officer, director, shareholder or employee, as required by the instrument governing the Trust, is related “related or subordinate” to any beneficiary of the Trust as those terms are defined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§672(c) of the Internal Revenue Code of 1986, as amended.  WAPA is an “Independent Trustee,” as defined in the Trust instrument.  Finally, WAPA is not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“family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defined in the Wyoming Chartered Family Trust Company Act, who will benefit from the Trust, nor is WAPA the spouse of a family member or owing a beneficiary a legal obligation of support.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shareholder in the firm acted as Chairperson and Secretary of the Committee in the meeting, waiving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and proceeding to Committee business.  Reading and acceptance of minutes pertaining to the previous meeting were waived.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meeting was opened by a statement of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of the Distribution Trust Advisor:</w:t>
      </w:r>
    </w:p>
    <w:p w:rsidR="00000000" w:rsidDel="00000000" w:rsidP="00000000" w:rsidRDefault="00000000" w:rsidRPr="00000000" w14:paraId="00000008">
      <w:pPr>
        <w:spacing w:after="120" w:lineRule="auto"/>
        <w:ind w:left="432" w:right="432" w:firstLine="0"/>
        <w:jc w:val="both"/>
        <w:rPr>
          <w:rFonts w:ascii="Times" w:cs="Times" w:eastAsia="Times" w:hAnsi="Times"/>
          <w:color w:val="000000"/>
        </w:rPr>
      </w:pPr>
      <w:r w:rsidDel="00000000" w:rsidR="00000000" w:rsidRPr="00000000">
        <w:rPr>
          <w:rtl w:val="0"/>
        </w:rPr>
        <w:t xml:space="preserve">The purpose of the Distribution Trust Advisor is to separate decisions concerning distributions from the other responsibilities of the Trustee.  The Distribution Trust Advisor has the exclusive authority to direct, consent to or disapprove distributions from trust.  The Distribution Trust Advisor’s authority is broad and absolute; further, decisions are not subject to review except for willful neglect, willful misconduct or bad faith on the part of the Advisor.  The Trustee may not resist any decision to make or to withhold any distribution directed by the Distribution Trust Advisor.  The authority of the Distribution Trust Advisor is conferred in a nonfiduciary capacity.</w:t>
      </w:r>
      <w:r w:rsidDel="00000000" w:rsidR="00000000" w:rsidRPr="00000000">
        <w:rPr>
          <w:rtl w:val="0"/>
        </w:rPr>
      </w:r>
    </w:p>
    <w:p w:rsidR="00000000" w:rsidDel="00000000" w:rsidP="00000000" w:rsidRDefault="00000000" w:rsidRPr="00000000" w14:paraId="00000009">
      <w:pPr>
        <w:spacing w:after="120" w:before="120" w:lineRule="auto"/>
        <w:ind w:left="45" w:right="45" w:firstLine="0"/>
        <w:rPr>
          <w:rFonts w:ascii="Times" w:cs="Times" w:eastAsia="Times" w:hAnsi="Times"/>
          <w:color w:val="000000"/>
        </w:rPr>
      </w:pPr>
      <w:r w:rsidDel="00000000" w:rsidR="00000000" w:rsidRPr="00000000">
        <w:rPr>
          <w:rFonts w:ascii="Times" w:cs="Times" w:eastAsia="Times" w:hAnsi="Times"/>
          <w:b w:val="1"/>
          <w:color w:val="000000"/>
          <w:rtl w:val="0"/>
        </w:rPr>
        <w:t xml:space="preserve">THE COMMITTEE THEN RESOLVED THAT: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Trustee is hereby notified under the provisions of Trust instrument Section 4.12 that a current income beneficiary of the Trust, having made the request, shall receive in accordance with Trust instrument Section 6.09 as a distribution from the Trust the sum of: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questionnaire_items.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multi_dapt_ddc_drequest_amt_total[1] }}.  The distribution shall originate from {{ questionnaire_items.multi_dapt_ddc_drequest_info_acct_title[1] }}, which shall distribute said amount directly to {%if questionnaire_items.multi_dapt_ddc_drequest_individual%}{{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questionnaire_items.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multi_dapt_ddc_bene_name[1] }}{%else%}{{questionnaire_items.multi_dapt_ddc_drequest_acct_name[1]}}{%endif%}.</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being no further business to come before the meeting, the meeting was adjourned.</w:t>
      </w:r>
      <w:r w:rsidDel="00000000" w:rsidR="00000000" w:rsidRPr="00000000">
        <w:drawing>
          <wp:anchor allowOverlap="1" behindDoc="1" distB="0" distT="0" distL="0" distR="0" hidden="0" layoutInCell="1" locked="0" relativeHeight="0" simplePos="0">
            <wp:simplePos x="0" y="0"/>
            <wp:positionH relativeFrom="column">
              <wp:posOffset>453390</wp:posOffset>
            </wp:positionH>
            <wp:positionV relativeFrom="paragraph">
              <wp:posOffset>181519</wp:posOffset>
            </wp:positionV>
            <wp:extent cx="880110" cy="1306830"/>
            <wp:effectExtent b="0" l="0" r="0" t="0"/>
            <wp:wrapNone/>
            <wp:docPr descr="A picture containing sitting, different, group&#10;&#10;Description automatically generated" id="6" name="image1.png"/>
            <a:graphic>
              <a:graphicData uri="http://schemas.openxmlformats.org/drawingml/2006/picture">
                <pic:pic>
                  <pic:nvPicPr>
                    <pic:cNvPr descr="A picture containing sitting, different, group&#10;&#10;Description automatically generated" id="0" name="image1.png"/>
                    <pic:cNvPicPr preferRelativeResize="0"/>
                  </pic:nvPicPr>
                  <pic:blipFill>
                    <a:blip r:embed="rId7"/>
                    <a:srcRect b="0" l="0" r="0" t="0"/>
                    <a:stretch>
                      <a:fillRect/>
                    </a:stretch>
                  </pic:blipFill>
                  <pic:spPr>
                    <a:xfrm>
                      <a:off x="0" y="0"/>
                      <a:ext cx="880110" cy="1306830"/>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Wyoming Asset Protection Attorney, LLC: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4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By:  </w:t>
        <w:tab/>
        <w:t xml:space="preserve">       </w:t>
      </w:r>
      <w:r w:rsidDel="00000000" w:rsidR="00000000" w:rsidRPr="00000000">
        <w:rPr>
          <w:rFonts w:ascii="Dancing Script" w:cs="Dancing Script" w:eastAsia="Dancing Script" w:hAnsi="Dancing Script"/>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ab/>
        <w:br w:type="textWrapp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w:t>
      </w:r>
      <w:r w:rsidDel="00000000" w:rsidR="00000000" w:rsidRPr="00000000">
        <w:rPr>
          <w:rFonts w:ascii="Times" w:cs="Times" w:eastAsia="Times" w:hAnsi="Times"/>
          <w:rtl w:val="0"/>
        </w:rPr>
        <w:t xml:space="preserve">Matthew Meuli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45"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Dated in the State of Wyoming on {{ long_date }}.</w:t>
      </w:r>
      <w:r w:rsidDel="00000000" w:rsidR="00000000" w:rsidRPr="00000000">
        <w:rPr>
          <w:rtl w:val="0"/>
        </w:rPr>
      </w:r>
    </w:p>
    <w:sectPr>
      <w:footerReference r:id="rId8" w:type="default"/>
      <w:pgSz w:h="15840" w:w="12240" w:orient="portrait"/>
      <w:pgMar w:bottom="1440" w:top="994"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Dancing Scrip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tbl>
    <w:tblPr>
      <w:tblStyle w:val="Table1"/>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19"/>
      <w:gridCol w:w="3361"/>
      <w:tblGridChange w:id="0">
        <w:tblGrid>
          <w:gridCol w:w="6719"/>
          <w:gridCol w:w="3361"/>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0">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1">
          <w:pPr>
            <w:jc w:val="right"/>
            <w:rPr>
              <w:b w:val="1"/>
              <w:i w:val="1"/>
              <w:sz w:val="20"/>
              <w:szCs w:val="20"/>
            </w:rPr>
          </w:pPr>
          <w:r w:rsidDel="00000000" w:rsidR="00000000" w:rsidRPr="00000000">
            <w:rPr>
              <w:b w:val="1"/>
              <w:i w:val="1"/>
              <w:sz w:val="20"/>
              <w:szCs w:val="20"/>
              <w:rtl w:val="0"/>
            </w:rPr>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b w:val="1"/>
              <w:i w:val="1"/>
              <w:sz w:val="20"/>
              <w:szCs w:val="20"/>
              <w:rtl w:val="0"/>
            </w:rPr>
            <w:t xml:space="preserve"> of </w:t>
          </w:r>
          <w:r w:rsidDel="00000000" w:rsidR="00000000" w:rsidRPr="00000000">
            <w:rPr>
              <w:b w:val="1"/>
              <w:i w:val="1"/>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2">
    <w:pPr>
      <w:rPr>
        <w:b w:val="1"/>
        <w:i w:val="1"/>
        <w:sz w:val="16"/>
        <w:szCs w:val="16"/>
      </w:rPr>
    </w:pPr>
    <w:r w:rsidDel="00000000" w:rsidR="00000000" w:rsidRPr="00000000">
      <w:rPr>
        <w:b w:val="1"/>
        <w:i w:val="1"/>
        <w:sz w:val="16"/>
        <w:szCs w:val="16"/>
        <w:rtl w:val="0"/>
      </w:rPr>
      <w:t xml:space="preserve">{{ alternate_company_name }} Distribution Committee Meeting: {{ today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outputPage" w:customStyle="1">
    <w:name w:val="outputPage"/>
    <w:basedOn w:val="Normal"/>
    <w:pPr>
      <w:pBdr>
        <w:top w:color="auto" w:space="2" w:sz="0" w:val="none"/>
        <w:left w:color="auto" w:space="2" w:sz="0" w:val="none"/>
        <w:bottom w:color="auto" w:space="2" w:sz="0" w:val="none"/>
        <w:right w:color="auto" w:space="2" w:sz="0" w:val="none"/>
      </w:pBdr>
    </w:pPr>
    <w:rPr>
      <w:color w:val="000000"/>
    </w:rPr>
  </w:style>
  <w:style w:type="paragraph" w:styleId="outputPageli" w:customStyle="1">
    <w:name w:val="outputPage_li"/>
    <w:basedOn w:val="Normal"/>
  </w:style>
  <w:style w:type="paragraph" w:styleId="bodytdpnth-child1" w:customStyle="1">
    <w:name w:val="body_td &gt; p_nth-child(1)"/>
    <w:basedOn w:val="Normal"/>
  </w:style>
  <w:style w:type="table" w:styleId="outputPagetablenewwidth" w:customStyle="1">
    <w:name w:val="outputPage_table_newwidth"/>
    <w:basedOn w:val="TableNormal"/>
    <w:tblPr/>
  </w:style>
  <w:style w:type="paragraph" w:styleId="TextHeading2" w:customStyle="1">
    <w:name w:val="Text Heading 2"/>
    <w:link w:val="TextHeading2Char"/>
    <w:rsid w:val="00CC218D"/>
    <w:pPr>
      <w:spacing w:after="120" w:before="120"/>
      <w:jc w:val="both"/>
    </w:pPr>
    <w:rPr>
      <w:sz w:val="24"/>
    </w:rPr>
  </w:style>
  <w:style w:type="character" w:styleId="TextHeading2Char" w:customStyle="1">
    <w:name w:val="Text Heading 2 Char"/>
    <w:link w:val="TextHeading2"/>
    <w:locked w:val="1"/>
    <w:rsid w:val="00CC218D"/>
    <w:rPr>
      <w:sz w:val="24"/>
    </w:rPr>
  </w:style>
  <w:style w:type="paragraph" w:styleId="Header">
    <w:name w:val="header"/>
    <w:basedOn w:val="Normal"/>
    <w:link w:val="HeaderChar"/>
    <w:rsid w:val="00737000"/>
    <w:pPr>
      <w:tabs>
        <w:tab w:val="center" w:pos="4680"/>
        <w:tab w:val="right" w:pos="9360"/>
      </w:tabs>
    </w:pPr>
  </w:style>
  <w:style w:type="character" w:styleId="HeaderChar" w:customStyle="1">
    <w:name w:val="Header Char"/>
    <w:link w:val="Header"/>
    <w:rsid w:val="00737000"/>
    <w:rPr>
      <w:sz w:val="24"/>
      <w:szCs w:val="24"/>
    </w:rPr>
  </w:style>
  <w:style w:type="paragraph" w:styleId="Footer">
    <w:name w:val="footer"/>
    <w:basedOn w:val="Normal"/>
    <w:link w:val="FooterChar"/>
    <w:rsid w:val="00737000"/>
    <w:pPr>
      <w:tabs>
        <w:tab w:val="center" w:pos="4680"/>
        <w:tab w:val="right" w:pos="9360"/>
      </w:tabs>
    </w:pPr>
  </w:style>
  <w:style w:type="character" w:styleId="FooterChar" w:customStyle="1">
    <w:name w:val="Footer Char"/>
    <w:link w:val="Footer"/>
    <w:rsid w:val="00737000"/>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IhiqVHPBtjvvmSK2TjPwxWNw==">CgMxLjA4AHIhMTFDbWRQaFRZamtxS3Q2MmYwLUtSUzNHQTFjSmYwVUVn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2023-05-30T17:53:00Z</dcterms:created>
  <dc:creator>Mark Pierce</dc:creator>
</cp:coreProperties>
</file>