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5C31" w14:textId="0B4EE450" w:rsidR="008D3776" w:rsidRDefault="008D3776" w:rsidP="008D3776">
      <w:pPr>
        <w:spacing w:line="480" w:lineRule="auto"/>
        <w:rPr>
          <w:sz w:val="22"/>
          <w:szCs w:val="22"/>
        </w:rPr>
      </w:pPr>
      <w:bookmarkStart w:id="0" w:name="_Hlk43671276"/>
      <w:bookmarkEnd w:id="0"/>
      <w:r>
        <w:rPr>
          <w:sz w:val="22"/>
          <w:szCs w:val="22"/>
        </w:rPr>
        <w:t>Noah Brannon</w:t>
      </w:r>
    </w:p>
    <w:p w14:paraId="6C998057" w14:textId="7510070E" w:rsidR="008D3776" w:rsidRDefault="008D3776" w:rsidP="008D377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June </w:t>
      </w:r>
      <w:r w:rsidRPr="007740AD">
        <w:rPr>
          <w:sz w:val="22"/>
          <w:szCs w:val="22"/>
        </w:rPr>
        <w:t>1</w:t>
      </w:r>
      <w:r w:rsidR="0082525A" w:rsidRPr="007740AD">
        <w:rPr>
          <w:sz w:val="22"/>
          <w:szCs w:val="22"/>
        </w:rPr>
        <w:t>4</w:t>
      </w:r>
      <w:r>
        <w:rPr>
          <w:sz w:val="22"/>
          <w:szCs w:val="22"/>
        </w:rPr>
        <w:t>, 2020</w:t>
      </w:r>
    </w:p>
    <w:p w14:paraId="46B53113" w14:textId="31095242" w:rsidR="008D3776" w:rsidRDefault="008D3776" w:rsidP="008D377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ECON 482 Final Project</w:t>
      </w:r>
    </w:p>
    <w:p w14:paraId="4DA56A38" w14:textId="09E127DA" w:rsidR="008D3776" w:rsidRDefault="008D3776" w:rsidP="008D377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Professor Pietrykowski</w:t>
      </w:r>
    </w:p>
    <w:p w14:paraId="1DC29969" w14:textId="77777777" w:rsidR="008D3776" w:rsidRDefault="008D3776" w:rsidP="008D3776">
      <w:pPr>
        <w:spacing w:line="480" w:lineRule="auto"/>
        <w:jc w:val="center"/>
        <w:rPr>
          <w:sz w:val="22"/>
          <w:szCs w:val="22"/>
        </w:rPr>
      </w:pPr>
    </w:p>
    <w:p w14:paraId="4CE254D1" w14:textId="53277502" w:rsidR="008D3776" w:rsidRPr="007740AD" w:rsidRDefault="008D3776" w:rsidP="00D3317F">
      <w:pPr>
        <w:spacing w:line="480" w:lineRule="auto"/>
        <w:jc w:val="center"/>
        <w:rPr>
          <w:rFonts w:cstheme="majorHAnsi"/>
          <w:color w:val="000000" w:themeColor="text1"/>
          <w:sz w:val="22"/>
          <w:szCs w:val="22"/>
        </w:rPr>
      </w:pPr>
      <w:r w:rsidRPr="007740AD">
        <w:rPr>
          <w:rFonts w:cstheme="majorHAnsi"/>
          <w:color w:val="000000" w:themeColor="text1"/>
          <w:sz w:val="22"/>
          <w:szCs w:val="22"/>
        </w:rPr>
        <w:t>ECON 482 FINAL PROJECT</w:t>
      </w:r>
    </w:p>
    <w:p w14:paraId="09AF1279" w14:textId="1F0395C2" w:rsidR="00595FE3" w:rsidRPr="007740AD" w:rsidRDefault="008D3776" w:rsidP="0055785F">
      <w:pPr>
        <w:spacing w:line="480" w:lineRule="auto"/>
        <w:rPr>
          <w:rFonts w:eastAsia="Times New Roman" w:cstheme="majorHAnsi"/>
          <w:color w:val="000000" w:themeColor="text1"/>
          <w:sz w:val="22"/>
          <w:szCs w:val="22"/>
          <w:shd w:val="clear" w:color="auto" w:fill="FFFFFF"/>
        </w:rPr>
      </w:pPr>
      <w:r w:rsidRPr="007740AD">
        <w:rPr>
          <w:rFonts w:cstheme="majorHAnsi"/>
          <w:color w:val="000000" w:themeColor="text1"/>
          <w:sz w:val="22"/>
          <w:szCs w:val="22"/>
        </w:rPr>
        <w:t xml:space="preserve">The Minneapolis-St. Paul-Bloomington MN-WI </w:t>
      </w:r>
      <w:r w:rsidR="00BB7749" w:rsidRPr="007740AD">
        <w:rPr>
          <w:rFonts w:cstheme="majorHAnsi"/>
          <w:color w:val="000000" w:themeColor="text1"/>
          <w:sz w:val="22"/>
          <w:szCs w:val="22"/>
        </w:rPr>
        <w:t xml:space="preserve">Metropolitan Statistical Area (MSA) recovered from the 2008 Great Recession and grew quite significantly. The MSA’s GDP grew over </w:t>
      </w:r>
      <w:r w:rsidR="00595FE3" w:rsidRPr="007740AD">
        <w:rPr>
          <w:rFonts w:cstheme="majorHAnsi"/>
          <w:color w:val="000000" w:themeColor="text1"/>
          <w:sz w:val="22"/>
          <w:szCs w:val="22"/>
        </w:rPr>
        <w:t>20</w:t>
      </w:r>
      <w:r w:rsidR="00BB7749" w:rsidRPr="007740AD">
        <w:rPr>
          <w:rFonts w:cstheme="majorHAnsi"/>
          <w:color w:val="000000" w:themeColor="text1"/>
          <w:sz w:val="22"/>
          <w:szCs w:val="22"/>
        </w:rPr>
        <w:t>% from 200</w:t>
      </w:r>
      <w:r w:rsidR="0045460A" w:rsidRPr="007740AD">
        <w:rPr>
          <w:rFonts w:cstheme="majorHAnsi"/>
          <w:color w:val="000000" w:themeColor="text1"/>
          <w:sz w:val="22"/>
          <w:szCs w:val="22"/>
        </w:rPr>
        <w:t>9</w:t>
      </w:r>
      <w:r w:rsidR="00BB7749" w:rsidRPr="007740AD">
        <w:rPr>
          <w:rFonts w:cstheme="majorHAnsi"/>
          <w:color w:val="000000" w:themeColor="text1"/>
          <w:sz w:val="22"/>
          <w:szCs w:val="22"/>
        </w:rPr>
        <w:t xml:space="preserve"> to 2018</w:t>
      </w:r>
      <w:r w:rsidR="00AA4109" w:rsidRPr="007740AD">
        <w:rPr>
          <w:rFonts w:cstheme="majorHAnsi"/>
          <w:color w:val="000000" w:themeColor="text1"/>
          <w:sz w:val="22"/>
          <w:szCs w:val="22"/>
        </w:rPr>
        <w:t xml:space="preserve">, as well as gaining </w:t>
      </w:r>
      <w:r w:rsidR="00A814A2" w:rsidRPr="007740AD">
        <w:rPr>
          <w:rFonts w:cstheme="majorHAnsi"/>
          <w:color w:val="000000" w:themeColor="text1"/>
          <w:sz w:val="22"/>
          <w:szCs w:val="22"/>
        </w:rPr>
        <w:t>hundreds</w:t>
      </w:r>
      <w:r w:rsidR="009D5628" w:rsidRPr="007740AD">
        <w:rPr>
          <w:rFonts w:cstheme="majorHAnsi"/>
          <w:color w:val="000000" w:themeColor="text1"/>
          <w:sz w:val="22"/>
          <w:szCs w:val="22"/>
        </w:rPr>
        <w:t xml:space="preserve"> of thousands of </w:t>
      </w:r>
      <w:r w:rsidR="00AA4109" w:rsidRPr="007740AD">
        <w:rPr>
          <w:rFonts w:cstheme="majorHAnsi"/>
          <w:color w:val="000000" w:themeColor="text1"/>
          <w:sz w:val="22"/>
          <w:szCs w:val="22"/>
        </w:rPr>
        <w:t>jobs from 20</w:t>
      </w:r>
      <w:r w:rsidR="0045460A" w:rsidRPr="007740AD">
        <w:rPr>
          <w:rFonts w:cstheme="majorHAnsi"/>
          <w:color w:val="000000" w:themeColor="text1"/>
          <w:sz w:val="22"/>
          <w:szCs w:val="22"/>
        </w:rPr>
        <w:t>09</w:t>
      </w:r>
      <w:r w:rsidR="00AA4109" w:rsidRPr="007740AD">
        <w:rPr>
          <w:rFonts w:cstheme="majorHAnsi"/>
          <w:color w:val="000000" w:themeColor="text1"/>
          <w:sz w:val="22"/>
          <w:szCs w:val="22"/>
        </w:rPr>
        <w:t xml:space="preserve"> to 2018. The MSA also grew farther apart from the rest of the United States when it comes to education</w:t>
      </w:r>
      <w:r w:rsidR="002A5AF7">
        <w:rPr>
          <w:rFonts w:cstheme="majorHAnsi"/>
          <w:color w:val="000000" w:themeColor="text1"/>
          <w:sz w:val="22"/>
          <w:szCs w:val="22"/>
        </w:rPr>
        <w:t>al</w:t>
      </w:r>
      <w:r w:rsidR="00AA4109" w:rsidRPr="007740AD">
        <w:rPr>
          <w:rFonts w:cstheme="majorHAnsi"/>
          <w:color w:val="000000" w:themeColor="text1"/>
          <w:sz w:val="22"/>
          <w:szCs w:val="22"/>
        </w:rPr>
        <w:t xml:space="preserve"> attainment</w:t>
      </w:r>
      <w:r w:rsidR="00AB4424">
        <w:rPr>
          <w:rFonts w:cstheme="majorHAnsi"/>
          <w:color w:val="000000" w:themeColor="text1"/>
          <w:sz w:val="22"/>
          <w:szCs w:val="22"/>
        </w:rPr>
        <w:t xml:space="preserve"> and</w:t>
      </w:r>
      <w:r w:rsidR="00AA4109" w:rsidRPr="007740AD">
        <w:rPr>
          <w:rFonts w:cstheme="majorHAnsi"/>
          <w:color w:val="000000" w:themeColor="text1"/>
          <w:sz w:val="22"/>
          <w:szCs w:val="22"/>
        </w:rPr>
        <w:t xml:space="preserve"> Median incomes regardless of education level </w:t>
      </w:r>
      <w:r w:rsidR="002A5AF7">
        <w:rPr>
          <w:rFonts w:cstheme="majorHAnsi"/>
          <w:color w:val="000000" w:themeColor="text1"/>
          <w:sz w:val="22"/>
          <w:szCs w:val="22"/>
        </w:rPr>
        <w:t>are</w:t>
      </w:r>
      <w:r w:rsidR="00AA4109" w:rsidRPr="007740AD">
        <w:rPr>
          <w:rFonts w:cstheme="majorHAnsi"/>
          <w:color w:val="000000" w:themeColor="text1"/>
          <w:sz w:val="22"/>
          <w:szCs w:val="22"/>
        </w:rPr>
        <w:t xml:space="preserve"> higher in the Minneapolis-St. Paul-Bloomington MN-WI Metropolitan Statistical Area</w:t>
      </w:r>
      <w:r w:rsidR="0055785F" w:rsidRPr="007740AD">
        <w:rPr>
          <w:rFonts w:cstheme="majorHAnsi"/>
          <w:color w:val="000000" w:themeColor="text1"/>
          <w:sz w:val="22"/>
          <w:szCs w:val="22"/>
        </w:rPr>
        <w:t>.</w:t>
      </w:r>
      <w:r w:rsidR="0056712D" w:rsidRPr="007740AD">
        <w:rPr>
          <w:rFonts w:cstheme="majorHAnsi"/>
          <w:color w:val="000000" w:themeColor="text1"/>
          <w:sz w:val="22"/>
          <w:szCs w:val="22"/>
        </w:rPr>
        <w:t xml:space="preserve"> However, there </w:t>
      </w:r>
      <w:r w:rsidR="002A5AF7">
        <w:rPr>
          <w:rFonts w:cstheme="majorHAnsi"/>
          <w:color w:val="000000" w:themeColor="text1"/>
          <w:sz w:val="22"/>
          <w:szCs w:val="22"/>
        </w:rPr>
        <w:t>are</w:t>
      </w:r>
      <w:r w:rsidR="0056712D" w:rsidRPr="007740AD">
        <w:rPr>
          <w:rFonts w:cstheme="majorHAnsi"/>
          <w:color w:val="000000" w:themeColor="text1"/>
          <w:sz w:val="22"/>
          <w:szCs w:val="22"/>
        </w:rPr>
        <w:t xml:space="preserve"> still some negatives, that grew worse since the Great Recession</w:t>
      </w:r>
      <w:r w:rsidR="00BC2226" w:rsidRPr="007740AD">
        <w:rPr>
          <w:rFonts w:cstheme="majorHAnsi"/>
          <w:color w:val="000000" w:themeColor="text1"/>
          <w:sz w:val="22"/>
          <w:szCs w:val="22"/>
        </w:rPr>
        <w:t xml:space="preserve">. </w:t>
      </w:r>
      <w:r w:rsidR="005F53C9" w:rsidRPr="007740AD">
        <w:rPr>
          <w:rFonts w:cstheme="majorHAnsi"/>
          <w:color w:val="000000" w:themeColor="text1"/>
          <w:sz w:val="22"/>
          <w:szCs w:val="22"/>
        </w:rPr>
        <w:t>M</w:t>
      </w:r>
      <w:r w:rsidR="00BC2226" w:rsidRPr="007740AD">
        <w:rPr>
          <w:rFonts w:cstheme="majorHAnsi"/>
          <w:color w:val="000000" w:themeColor="text1"/>
          <w:sz w:val="22"/>
          <w:szCs w:val="22"/>
        </w:rPr>
        <w:t xml:space="preserve">ore whites graduate high school than blacks and </w:t>
      </w:r>
      <w:r w:rsidR="00AB0A33" w:rsidRPr="007740AD">
        <w:rPr>
          <w:rFonts w:cstheme="majorHAnsi"/>
          <w:color w:val="000000" w:themeColor="text1"/>
          <w:sz w:val="22"/>
          <w:szCs w:val="22"/>
        </w:rPr>
        <w:t>m</w:t>
      </w:r>
      <w:r w:rsidR="00BC2226" w:rsidRPr="007740AD">
        <w:rPr>
          <w:rFonts w:cstheme="majorHAnsi"/>
          <w:color w:val="000000" w:themeColor="text1"/>
          <w:sz w:val="22"/>
          <w:szCs w:val="22"/>
        </w:rPr>
        <w:t>ore whites have a bachelor’s degree than blacks do in the MSA. Racial Segregation increased or stay the same for</w:t>
      </w:r>
      <w:r w:rsidR="00E84681" w:rsidRPr="007740AD">
        <w:rPr>
          <w:rFonts w:cstheme="majorHAnsi"/>
          <w:color w:val="000000" w:themeColor="text1"/>
          <w:sz w:val="22"/>
          <w:szCs w:val="22"/>
        </w:rPr>
        <w:t xml:space="preserve"> the MSA</w:t>
      </w:r>
      <w:r w:rsidR="00BC2226" w:rsidRPr="007740AD">
        <w:rPr>
          <w:rFonts w:cstheme="majorHAnsi"/>
          <w:color w:val="000000" w:themeColor="text1"/>
          <w:sz w:val="22"/>
          <w:szCs w:val="22"/>
        </w:rPr>
        <w:t xml:space="preserve"> since 200</w:t>
      </w:r>
      <w:r w:rsidR="005B09C1" w:rsidRPr="007740AD">
        <w:rPr>
          <w:rFonts w:cstheme="majorHAnsi"/>
          <w:color w:val="000000" w:themeColor="text1"/>
          <w:sz w:val="22"/>
          <w:szCs w:val="22"/>
        </w:rPr>
        <w:t>9</w:t>
      </w:r>
      <w:r w:rsidR="00BC2226" w:rsidRPr="007740AD">
        <w:rPr>
          <w:rFonts w:cstheme="majorHAnsi"/>
          <w:color w:val="000000" w:themeColor="text1"/>
          <w:sz w:val="22"/>
          <w:szCs w:val="22"/>
        </w:rPr>
        <w:t xml:space="preserve"> as well, according to the Dissimilarity Index (which measures </w:t>
      </w:r>
      <w:r w:rsidR="002A5AF7">
        <w:rPr>
          <w:rFonts w:cstheme="majorHAnsi"/>
          <w:color w:val="000000" w:themeColor="text1"/>
          <w:sz w:val="22"/>
          <w:szCs w:val="22"/>
        </w:rPr>
        <w:t xml:space="preserve">the </w:t>
      </w:r>
      <w:r w:rsidR="00BC2226" w:rsidRPr="007740AD">
        <w:rPr>
          <w:rFonts w:cstheme="majorHAnsi"/>
          <w:color w:val="000000" w:themeColor="text1"/>
          <w:sz w:val="22"/>
          <w:szCs w:val="22"/>
        </w:rPr>
        <w:t>d</w:t>
      </w:r>
      <w:r w:rsidR="00BC2226" w:rsidRPr="007740AD">
        <w:rPr>
          <w:rFonts w:eastAsia="Times New Roman" w:cstheme="majorHAnsi"/>
          <w:color w:val="000000" w:themeColor="text1"/>
          <w:sz w:val="22"/>
          <w:szCs w:val="22"/>
          <w:shd w:val="clear" w:color="auto" w:fill="FFFFFF"/>
        </w:rPr>
        <w:t>emographic measure of the evenness with which two groups are distributed across component geographic areas that make up a larger area)</w:t>
      </w:r>
      <w:r w:rsidR="00802600">
        <w:rPr>
          <w:rFonts w:eastAsia="Times New Roman" w:cstheme="majorHAnsi"/>
          <w:color w:val="000000" w:themeColor="text1"/>
          <w:sz w:val="22"/>
          <w:szCs w:val="22"/>
          <w:shd w:val="clear" w:color="auto" w:fill="FFFFFF"/>
        </w:rPr>
        <w:t xml:space="preserve"> segregation stayed at the same level since the recession.</w:t>
      </w:r>
    </w:p>
    <w:p w14:paraId="32F03496" w14:textId="647578FB" w:rsidR="002D1EF8" w:rsidRPr="007740AD" w:rsidRDefault="002D1EF8" w:rsidP="002D1EF8">
      <w:pPr>
        <w:spacing w:line="480" w:lineRule="auto"/>
        <w:jc w:val="center"/>
        <w:rPr>
          <w:rFonts w:eastAsia="Times New Roman" w:cstheme="majorHAnsi"/>
          <w:color w:val="000000" w:themeColor="text1"/>
          <w:sz w:val="22"/>
          <w:szCs w:val="22"/>
          <w:shd w:val="clear" w:color="auto" w:fill="FFFFFF"/>
        </w:rPr>
      </w:pPr>
      <w:r w:rsidRPr="007740AD">
        <w:rPr>
          <w:rFonts w:eastAsia="Times New Roman" w:cstheme="majorHAnsi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>Introduction</w:t>
      </w:r>
    </w:p>
    <w:p w14:paraId="6B05E218" w14:textId="304EBE7F" w:rsidR="00657614" w:rsidRPr="007740AD" w:rsidRDefault="00D3317F" w:rsidP="00D3317F">
      <w:pPr>
        <w:spacing w:line="480" w:lineRule="auto"/>
        <w:rPr>
          <w:rFonts w:cstheme="majorHAnsi"/>
          <w:color w:val="000000" w:themeColor="text1"/>
          <w:sz w:val="22"/>
          <w:szCs w:val="22"/>
        </w:rPr>
      </w:pPr>
      <w:r w:rsidRPr="007740AD">
        <w:rPr>
          <w:rFonts w:eastAsia="Times New Roman" w:cstheme="majorHAnsi"/>
          <w:color w:val="000000" w:themeColor="text1"/>
          <w:sz w:val="22"/>
          <w:szCs w:val="22"/>
          <w:shd w:val="clear" w:color="auto" w:fill="FFFFFF"/>
        </w:rPr>
        <w:t xml:space="preserve">The origins of the MSA began </w:t>
      </w:r>
      <w:r w:rsidR="007362D9" w:rsidRPr="007740AD">
        <w:rPr>
          <w:rFonts w:cstheme="majorHAnsi"/>
          <w:color w:val="000000" w:themeColor="text1"/>
          <w:sz w:val="22"/>
          <w:szCs w:val="22"/>
        </w:rPr>
        <w:t>i</w:t>
      </w:r>
      <w:r w:rsidRPr="007740AD">
        <w:rPr>
          <w:rFonts w:cstheme="majorHAnsi"/>
          <w:color w:val="000000" w:themeColor="text1"/>
          <w:sz w:val="22"/>
          <w:szCs w:val="22"/>
        </w:rPr>
        <w:t>n 1819, Fort Snelling</w:t>
      </w:r>
      <w:r w:rsidR="00185645" w:rsidRPr="007740AD">
        <w:rPr>
          <w:rFonts w:cstheme="majorHAnsi"/>
          <w:color w:val="000000" w:themeColor="text1"/>
          <w:sz w:val="22"/>
          <w:szCs w:val="22"/>
        </w:rPr>
        <w:t xml:space="preserve"> </w:t>
      </w:r>
      <w:r w:rsidRPr="007740AD">
        <w:rPr>
          <w:rFonts w:cstheme="majorHAnsi"/>
          <w:color w:val="000000" w:themeColor="text1"/>
          <w:sz w:val="22"/>
          <w:szCs w:val="22"/>
        </w:rPr>
        <w:t>was established</w:t>
      </w:r>
      <w:r w:rsidR="00774FC7" w:rsidRPr="007740AD">
        <w:rPr>
          <w:rFonts w:cstheme="majorHAnsi"/>
          <w:color w:val="000000" w:themeColor="text1"/>
          <w:sz w:val="22"/>
          <w:szCs w:val="22"/>
        </w:rPr>
        <w:t xml:space="preserve"> by the United States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at </w:t>
      </w:r>
      <w:r w:rsidR="00981BFC" w:rsidRPr="007740AD">
        <w:rPr>
          <w:rFonts w:cstheme="majorHAnsi"/>
          <w:color w:val="000000" w:themeColor="text1"/>
          <w:sz w:val="22"/>
          <w:szCs w:val="22"/>
        </w:rPr>
        <w:t>a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confluence of the Minnesota and Mississippi Rivers. Two towns were founded on both sides of the fall. In the East was Saint Anthony and in the west was a city known as Minneapolis. The </w:t>
      </w:r>
      <w:r w:rsidR="00CA3E32" w:rsidRPr="007740AD">
        <w:rPr>
          <w:rFonts w:cstheme="majorHAnsi"/>
          <w:color w:val="000000" w:themeColor="text1"/>
          <w:sz w:val="22"/>
          <w:szCs w:val="22"/>
        </w:rPr>
        <w:t>two cities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merged in 1872 under the name Minneapolis. Some of the original industries in the Minneapolis-St. Paul-Bloomington, MN-WI MSA were saw-milling, flour industries, and hydroelectricity power plants (th</w:t>
      </w:r>
      <w:r w:rsidR="002A5AF7">
        <w:rPr>
          <w:rFonts w:cstheme="majorHAnsi"/>
          <w:color w:val="000000" w:themeColor="text1"/>
          <w:sz w:val="22"/>
          <w:szCs w:val="22"/>
        </w:rPr>
        <w:t>is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</w:t>
      </w:r>
      <w:r w:rsidR="00CA55FA" w:rsidRPr="007740AD">
        <w:rPr>
          <w:rFonts w:cstheme="majorHAnsi"/>
          <w:color w:val="000000" w:themeColor="text1"/>
          <w:sz w:val="22"/>
          <w:szCs w:val="22"/>
        </w:rPr>
        <w:t xml:space="preserve">MSA 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had the first central hydroelectric power plant in the United States). Although saw milling is no longer a leading </w:t>
      </w:r>
      <w:r w:rsidRPr="007740AD">
        <w:rPr>
          <w:rFonts w:cstheme="majorHAnsi"/>
          <w:color w:val="000000" w:themeColor="text1"/>
          <w:sz w:val="22"/>
          <w:szCs w:val="22"/>
        </w:rPr>
        <w:lastRenderedPageBreak/>
        <w:t xml:space="preserve">industry today. The Minneapolis-St. Paul-Bloomington, MN-WI MSA experience </w:t>
      </w:r>
      <w:r w:rsidR="002E46C6" w:rsidRPr="007740AD">
        <w:rPr>
          <w:rFonts w:cstheme="majorHAnsi"/>
          <w:color w:val="000000" w:themeColor="text1"/>
          <w:sz w:val="22"/>
          <w:szCs w:val="22"/>
        </w:rPr>
        <w:t xml:space="preserve">its 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highest population growth in the </w:t>
      </w:r>
      <w:r w:rsidR="00CA3E32" w:rsidRPr="007740AD">
        <w:rPr>
          <w:rFonts w:cstheme="majorHAnsi"/>
          <w:color w:val="000000" w:themeColor="text1"/>
          <w:sz w:val="22"/>
          <w:szCs w:val="22"/>
        </w:rPr>
        <w:t>1950s and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is currently having its highest population growth spurt since the 1950s. Today leading industries in the Minneapolis-St. Paul-Bloomington, MN-WI </w:t>
      </w:r>
      <w:r w:rsidR="00C25D26" w:rsidRPr="007740AD">
        <w:rPr>
          <w:rFonts w:cstheme="majorHAnsi"/>
          <w:color w:val="000000" w:themeColor="text1"/>
          <w:sz w:val="22"/>
          <w:szCs w:val="22"/>
        </w:rPr>
        <w:t>MSA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</w:t>
      </w:r>
      <w:r w:rsidR="002A5AF7">
        <w:rPr>
          <w:rFonts w:cstheme="majorHAnsi"/>
          <w:color w:val="000000" w:themeColor="text1"/>
          <w:sz w:val="22"/>
          <w:szCs w:val="22"/>
        </w:rPr>
        <w:t>is</w:t>
      </w:r>
      <w:r w:rsidR="006D2A09" w:rsidRPr="007740AD">
        <w:rPr>
          <w:rFonts w:cstheme="majorHAnsi"/>
          <w:color w:val="000000" w:themeColor="text1"/>
          <w:sz w:val="22"/>
          <w:szCs w:val="22"/>
        </w:rPr>
        <w:t xml:space="preserve"> the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Manufacturing</w:t>
      </w:r>
      <w:r w:rsidR="006D2A09" w:rsidRPr="007740AD">
        <w:rPr>
          <w:rFonts w:cstheme="majorHAnsi"/>
          <w:color w:val="000000" w:themeColor="text1"/>
          <w:sz w:val="22"/>
          <w:szCs w:val="22"/>
        </w:rPr>
        <w:t xml:space="preserve"> industry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spearheaded by 3M and Professional Business and Services</w:t>
      </w:r>
      <w:r w:rsidR="006D2A09" w:rsidRPr="007740AD">
        <w:rPr>
          <w:rFonts w:cstheme="majorHAnsi"/>
          <w:color w:val="000000" w:themeColor="text1"/>
          <w:sz w:val="22"/>
          <w:szCs w:val="22"/>
        </w:rPr>
        <w:t xml:space="preserve"> industry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led by UnitedHealth Group and Target Corporation</w:t>
      </w:r>
      <w:r w:rsidR="002A5AF7">
        <w:rPr>
          <w:rFonts w:cstheme="majorHAnsi"/>
          <w:color w:val="000000" w:themeColor="text1"/>
          <w:sz w:val="22"/>
          <w:szCs w:val="22"/>
        </w:rPr>
        <w:t>,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and flour milling led by General Mills is still a pretty big force in the area. The Minneapolis-St. Paul-Bloomington, MN-WI MSA does conform to the idea of location theory</w:t>
      </w:r>
      <w:r w:rsidR="008A4FF6">
        <w:rPr>
          <w:rFonts w:cstheme="majorHAnsi"/>
          <w:color w:val="000000" w:themeColor="text1"/>
          <w:sz w:val="22"/>
          <w:szCs w:val="22"/>
        </w:rPr>
        <w:t>, which asks why economic activities are located and why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. This area has always been a rich manufacturing area, with lots of natural resources like iron ore, granite, </w:t>
      </w:r>
      <w:r w:rsidR="00651C2E" w:rsidRPr="007740AD">
        <w:rPr>
          <w:rFonts w:cstheme="majorHAnsi"/>
          <w:color w:val="000000" w:themeColor="text1"/>
          <w:sz w:val="22"/>
          <w:szCs w:val="22"/>
        </w:rPr>
        <w:t>manganese,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and many others. The Mississippi River also flows directly through Minneapolis as well. Minneapolis became a hub for manufacturing because of the </w:t>
      </w:r>
      <w:r w:rsidR="00651C2E" w:rsidRPr="007740AD">
        <w:rPr>
          <w:rFonts w:cstheme="majorHAnsi"/>
          <w:color w:val="000000" w:themeColor="text1"/>
          <w:sz w:val="22"/>
          <w:szCs w:val="22"/>
        </w:rPr>
        <w:t>number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of natural resources the area has easy access from and to Minneapolis because of the Mississippi River. In time, industries went from saw-milling to companies like 3M, wh</w:t>
      </w:r>
      <w:r w:rsidR="002A5AF7">
        <w:rPr>
          <w:rFonts w:cstheme="majorHAnsi"/>
          <w:color w:val="000000" w:themeColor="text1"/>
          <w:sz w:val="22"/>
          <w:szCs w:val="22"/>
        </w:rPr>
        <w:t>ich</w:t>
      </w:r>
      <w:r w:rsidRPr="007740AD">
        <w:rPr>
          <w:rFonts w:cstheme="majorHAnsi"/>
          <w:color w:val="000000" w:themeColor="text1"/>
          <w:sz w:val="22"/>
          <w:szCs w:val="22"/>
        </w:rPr>
        <w:t xml:space="preserve"> makes a plethora of stuff we use today like band</w:t>
      </w:r>
      <w:r w:rsidR="002A5AF7">
        <w:rPr>
          <w:rFonts w:cstheme="majorHAnsi"/>
          <w:color w:val="000000" w:themeColor="text1"/>
          <w:sz w:val="22"/>
          <w:szCs w:val="22"/>
        </w:rPr>
        <w:t>-</w:t>
      </w:r>
      <w:r w:rsidRPr="007740AD">
        <w:rPr>
          <w:rFonts w:cstheme="majorHAnsi"/>
          <w:color w:val="000000" w:themeColor="text1"/>
          <w:sz w:val="22"/>
          <w:szCs w:val="22"/>
        </w:rPr>
        <w:t>aids.</w:t>
      </w:r>
      <w:r w:rsidR="00895FFB" w:rsidRPr="007740AD">
        <w:rPr>
          <w:rFonts w:cstheme="majorHAnsi"/>
          <w:color w:val="000000" w:themeColor="text1"/>
          <w:sz w:val="22"/>
          <w:szCs w:val="22"/>
        </w:rPr>
        <w:tab/>
      </w:r>
    </w:p>
    <w:p w14:paraId="632BE5E5" w14:textId="6CCAA13C" w:rsidR="00657614" w:rsidRPr="007740AD" w:rsidRDefault="00957A38" w:rsidP="00657614">
      <w:pPr>
        <w:spacing w:line="480" w:lineRule="auto"/>
        <w:jc w:val="center"/>
        <w:rPr>
          <w:rFonts w:cstheme="majorHAnsi"/>
          <w:b/>
          <w:bCs/>
          <w:color w:val="000000" w:themeColor="text1"/>
          <w:sz w:val="22"/>
          <w:szCs w:val="22"/>
          <w:u w:val="single"/>
        </w:rPr>
      </w:pPr>
      <w:r w:rsidRPr="007740AD">
        <w:rPr>
          <w:rFonts w:cstheme="majorHAnsi"/>
          <w:b/>
          <w:bCs/>
          <w:color w:val="000000" w:themeColor="text1"/>
          <w:sz w:val="22"/>
          <w:szCs w:val="22"/>
          <w:u w:val="single"/>
        </w:rPr>
        <w:t xml:space="preserve">OVERALL ECONOMIC CONDITIONS </w:t>
      </w:r>
      <w:r w:rsidR="003D0FEC" w:rsidRPr="007740AD">
        <w:rPr>
          <w:rFonts w:cstheme="majorHAnsi"/>
          <w:b/>
          <w:bCs/>
          <w:color w:val="000000" w:themeColor="text1"/>
          <w:sz w:val="22"/>
          <w:szCs w:val="22"/>
          <w:u w:val="single"/>
        </w:rPr>
        <w:t>FROM 2009-2018</w:t>
      </w:r>
    </w:p>
    <w:p w14:paraId="05430F53" w14:textId="6882A70D" w:rsidR="00F150DC" w:rsidRPr="007740AD" w:rsidRDefault="00895FFB" w:rsidP="00D3317F">
      <w:pPr>
        <w:spacing w:line="480" w:lineRule="auto"/>
        <w:rPr>
          <w:rFonts w:cstheme="majorHAnsi"/>
          <w:color w:val="000000" w:themeColor="text1"/>
          <w:sz w:val="22"/>
          <w:szCs w:val="22"/>
        </w:rPr>
      </w:pPr>
      <w:r w:rsidRPr="007740AD">
        <w:rPr>
          <w:rFonts w:cstheme="majorHAnsi"/>
          <w:color w:val="000000" w:themeColor="text1"/>
          <w:sz w:val="22"/>
          <w:szCs w:val="22"/>
        </w:rPr>
        <w:t>Overall</w:t>
      </w:r>
      <w:r w:rsidR="005E135B" w:rsidRPr="007740AD">
        <w:rPr>
          <w:rFonts w:cstheme="majorHAnsi"/>
          <w:color w:val="000000" w:themeColor="text1"/>
          <w:sz w:val="22"/>
          <w:szCs w:val="22"/>
        </w:rPr>
        <w:t>,</w:t>
      </w:r>
      <w:r w:rsidR="008965DD" w:rsidRPr="007740AD">
        <w:rPr>
          <w:rFonts w:cstheme="majorHAnsi"/>
          <w:color w:val="000000" w:themeColor="text1"/>
          <w:sz w:val="22"/>
          <w:szCs w:val="22"/>
        </w:rPr>
        <w:t xml:space="preserve"> economic conditions increased in the Minneapolis-St. Paul-Bloomington, MN-WI MSA</w:t>
      </w:r>
      <w:r w:rsidR="0091789B" w:rsidRPr="007740AD">
        <w:rPr>
          <w:rFonts w:cstheme="majorHAnsi"/>
          <w:color w:val="000000" w:themeColor="text1"/>
          <w:sz w:val="22"/>
          <w:szCs w:val="22"/>
        </w:rPr>
        <w:t xml:space="preserve"> since 2009</w:t>
      </w:r>
      <w:r w:rsidR="008965DD" w:rsidRPr="007740AD">
        <w:rPr>
          <w:rFonts w:cstheme="majorHAnsi"/>
          <w:color w:val="000000" w:themeColor="text1"/>
          <w:sz w:val="22"/>
          <w:szCs w:val="22"/>
        </w:rPr>
        <w:t xml:space="preserve">. </w:t>
      </w:r>
      <w:r w:rsidR="00277CCB" w:rsidRPr="007740AD">
        <w:rPr>
          <w:rFonts w:cstheme="majorHAnsi"/>
          <w:color w:val="000000" w:themeColor="text1"/>
          <w:sz w:val="22"/>
          <w:szCs w:val="22"/>
        </w:rPr>
        <w:t>Real GDP</w:t>
      </w:r>
      <w:r w:rsidR="009A0BE0">
        <w:rPr>
          <w:rFonts w:cstheme="majorHAnsi"/>
          <w:color w:val="000000" w:themeColor="text1"/>
          <w:sz w:val="22"/>
          <w:szCs w:val="22"/>
        </w:rPr>
        <w:t xml:space="preserve"> (total economic output)</w:t>
      </w:r>
      <w:r w:rsidR="00277CCB" w:rsidRPr="007740AD">
        <w:rPr>
          <w:rFonts w:cstheme="majorHAnsi"/>
          <w:color w:val="000000" w:themeColor="text1"/>
          <w:sz w:val="22"/>
          <w:szCs w:val="22"/>
        </w:rPr>
        <w:t xml:space="preserve"> and per capita GDP</w:t>
      </w:r>
      <w:r w:rsidR="0009197D" w:rsidRPr="007740AD">
        <w:rPr>
          <w:rFonts w:cstheme="majorHAnsi"/>
          <w:color w:val="000000" w:themeColor="text1"/>
          <w:sz w:val="22"/>
          <w:szCs w:val="22"/>
        </w:rPr>
        <w:t xml:space="preserve"> both increased substantially</w:t>
      </w:r>
      <w:r w:rsidR="00620EC3" w:rsidRPr="007740AD">
        <w:rPr>
          <w:rFonts w:cstheme="majorHAnsi"/>
          <w:color w:val="000000" w:themeColor="text1"/>
          <w:sz w:val="22"/>
          <w:szCs w:val="22"/>
        </w:rPr>
        <w:t xml:space="preserve"> from 2009 to 2018</w:t>
      </w:r>
      <w:r w:rsidR="000E1E84" w:rsidRPr="007740AD">
        <w:rPr>
          <w:rFonts w:cstheme="majorHAnsi"/>
          <w:color w:val="000000" w:themeColor="text1"/>
          <w:sz w:val="22"/>
          <w:szCs w:val="22"/>
        </w:rPr>
        <w:t xml:space="preserve"> in the MSA.</w:t>
      </w:r>
    </w:p>
    <w:p w14:paraId="702089B2" w14:textId="6C42CDB5" w:rsidR="00D3317F" w:rsidRPr="007740AD" w:rsidRDefault="00F150DC" w:rsidP="00D3317F">
      <w:pPr>
        <w:spacing w:line="480" w:lineRule="auto"/>
        <w:rPr>
          <w:rFonts w:cstheme="majorHAnsi"/>
          <w:color w:val="000000" w:themeColor="text1"/>
          <w:sz w:val="22"/>
          <w:szCs w:val="22"/>
        </w:rPr>
      </w:pPr>
      <w:r w:rsidRPr="007740AD">
        <w:rPr>
          <w:noProof/>
          <w:sz w:val="22"/>
          <w:szCs w:val="22"/>
        </w:rPr>
        <w:drawing>
          <wp:inline distT="0" distB="0" distL="0" distR="0" wp14:anchorId="0C779CAE" wp14:editId="1AFD5EC0">
            <wp:extent cx="27908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B96ACF-F0DD-8040-B0EE-42F4D0B39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9197D" w:rsidRPr="007740AD">
        <w:rPr>
          <w:rFonts w:cstheme="majorHAnsi"/>
          <w:color w:val="000000" w:themeColor="text1"/>
          <w:sz w:val="22"/>
          <w:szCs w:val="22"/>
        </w:rPr>
        <w:t xml:space="preserve"> </w:t>
      </w:r>
      <w:r w:rsidR="00277CCB" w:rsidRPr="007740AD">
        <w:rPr>
          <w:rFonts w:cstheme="majorHAnsi"/>
          <w:color w:val="000000" w:themeColor="text1"/>
          <w:sz w:val="22"/>
          <w:szCs w:val="22"/>
        </w:rPr>
        <w:t xml:space="preserve"> </w:t>
      </w:r>
      <w:r w:rsidR="00EB007D" w:rsidRPr="007740AD">
        <w:rPr>
          <w:noProof/>
          <w:sz w:val="22"/>
          <w:szCs w:val="22"/>
        </w:rPr>
        <w:drawing>
          <wp:inline distT="0" distB="0" distL="0" distR="0" wp14:anchorId="59DA9462" wp14:editId="0293C432">
            <wp:extent cx="25812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9E47E47-C0F0-B54C-BD71-C802EFF0E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12AD3F" w14:textId="28A13133" w:rsidR="00BC2226" w:rsidRPr="007740AD" w:rsidRDefault="00F16C82" w:rsidP="00F16C82">
      <w:pPr>
        <w:spacing w:line="480" w:lineRule="auto"/>
        <w:jc w:val="center"/>
        <w:rPr>
          <w:rFonts w:eastAsia="Times New Roman" w:cs="Times New Roman"/>
          <w:b/>
          <w:bCs/>
          <w:color w:val="000000" w:themeColor="text1"/>
          <w:sz w:val="22"/>
          <w:szCs w:val="22"/>
        </w:rPr>
      </w:pPr>
      <w:r w:rsidRPr="007740AD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 xml:space="preserve">(Data from the </w:t>
      </w:r>
      <w:r w:rsidR="00827CBA" w:rsidRPr="007740AD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Bureau of Economic</w:t>
      </w:r>
      <w:r w:rsidR="00EF6868" w:rsidRPr="007740AD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Analysis</w:t>
      </w:r>
      <w:r w:rsidRPr="007740AD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)</w:t>
      </w:r>
    </w:p>
    <w:p w14:paraId="2BC0A7B8" w14:textId="5A3C31CB" w:rsidR="008D3776" w:rsidRDefault="001F564B" w:rsidP="008D377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86BD6">
        <w:rPr>
          <w:sz w:val="22"/>
          <w:szCs w:val="22"/>
        </w:rPr>
        <w:t xml:space="preserve">The major </w:t>
      </w:r>
      <w:r w:rsidR="00E14F20">
        <w:rPr>
          <w:sz w:val="22"/>
          <w:szCs w:val="22"/>
        </w:rPr>
        <w:t>i</w:t>
      </w:r>
      <w:r w:rsidR="00886BD6">
        <w:rPr>
          <w:sz w:val="22"/>
          <w:szCs w:val="22"/>
        </w:rPr>
        <w:t xml:space="preserve">ndustries that led to the highest GDP growth </w:t>
      </w:r>
      <w:r w:rsidR="00627597" w:rsidRPr="007740AD">
        <w:rPr>
          <w:sz w:val="22"/>
          <w:szCs w:val="22"/>
        </w:rPr>
        <w:t>in the MSA</w:t>
      </w:r>
      <w:r w:rsidR="00886BD6" w:rsidRPr="007740AD">
        <w:rPr>
          <w:sz w:val="22"/>
          <w:szCs w:val="22"/>
        </w:rPr>
        <w:t xml:space="preserve"> </w:t>
      </w:r>
      <w:r w:rsidR="00886BD6">
        <w:rPr>
          <w:sz w:val="22"/>
          <w:szCs w:val="22"/>
        </w:rPr>
        <w:t xml:space="preserve">were the </w:t>
      </w:r>
      <w:r w:rsidR="004423F5" w:rsidRPr="004423F5">
        <w:rPr>
          <w:sz w:val="22"/>
          <w:szCs w:val="22"/>
        </w:rPr>
        <w:t>Finance, insurance, real estate, rental, and leasing</w:t>
      </w:r>
      <w:r w:rsidR="00E14F20">
        <w:rPr>
          <w:sz w:val="22"/>
          <w:szCs w:val="22"/>
        </w:rPr>
        <w:t xml:space="preserve"> (FIRE)</w:t>
      </w:r>
      <w:r w:rsidR="004423F5">
        <w:rPr>
          <w:sz w:val="22"/>
          <w:szCs w:val="22"/>
        </w:rPr>
        <w:t xml:space="preserve"> industry</w:t>
      </w:r>
      <w:r w:rsidR="00C50F90">
        <w:rPr>
          <w:sz w:val="22"/>
          <w:szCs w:val="22"/>
        </w:rPr>
        <w:t xml:space="preserve">, </w:t>
      </w:r>
      <w:r w:rsidR="00D86D78">
        <w:rPr>
          <w:sz w:val="22"/>
          <w:szCs w:val="22"/>
        </w:rPr>
        <w:t xml:space="preserve">the </w:t>
      </w:r>
      <w:r w:rsidR="00D86D78" w:rsidRPr="00D86D78">
        <w:rPr>
          <w:sz w:val="22"/>
          <w:szCs w:val="22"/>
        </w:rPr>
        <w:t>Manufacturing</w:t>
      </w:r>
      <w:r w:rsidR="00D86D78">
        <w:rPr>
          <w:sz w:val="22"/>
          <w:szCs w:val="22"/>
        </w:rPr>
        <w:t xml:space="preserve"> industry, and</w:t>
      </w:r>
      <w:r w:rsidR="00ED5AC5">
        <w:rPr>
          <w:sz w:val="22"/>
          <w:szCs w:val="22"/>
        </w:rPr>
        <w:t xml:space="preserve"> the </w:t>
      </w:r>
      <w:r w:rsidR="00ED5AC5" w:rsidRPr="00ED5AC5">
        <w:rPr>
          <w:sz w:val="22"/>
          <w:szCs w:val="22"/>
        </w:rPr>
        <w:t xml:space="preserve">Professional and </w:t>
      </w:r>
      <w:r w:rsidR="00B82AD3">
        <w:rPr>
          <w:sz w:val="22"/>
          <w:szCs w:val="22"/>
        </w:rPr>
        <w:t>B</w:t>
      </w:r>
      <w:r w:rsidR="00ED5AC5" w:rsidRPr="00ED5AC5">
        <w:rPr>
          <w:sz w:val="22"/>
          <w:szCs w:val="22"/>
        </w:rPr>
        <w:t>usiness services</w:t>
      </w:r>
      <w:r w:rsidR="00ED5AC5">
        <w:rPr>
          <w:sz w:val="22"/>
          <w:szCs w:val="22"/>
        </w:rPr>
        <w:t xml:space="preserve"> industry</w:t>
      </w:r>
      <w:r w:rsidR="0020144F">
        <w:rPr>
          <w:sz w:val="22"/>
          <w:szCs w:val="22"/>
        </w:rPr>
        <w:t xml:space="preserve">. </w:t>
      </w:r>
      <w:r w:rsidR="004423F5">
        <w:rPr>
          <w:sz w:val="22"/>
          <w:szCs w:val="22"/>
        </w:rPr>
        <w:t xml:space="preserve"> </w:t>
      </w:r>
      <w:r w:rsidR="000D2EC4" w:rsidRPr="007740AD">
        <w:rPr>
          <w:sz w:val="22"/>
          <w:szCs w:val="22"/>
        </w:rPr>
        <w:t xml:space="preserve">The transportation, information, </w:t>
      </w:r>
      <w:r w:rsidR="002A5AF7">
        <w:rPr>
          <w:sz w:val="22"/>
          <w:szCs w:val="22"/>
        </w:rPr>
        <w:t xml:space="preserve">and </w:t>
      </w:r>
      <w:r w:rsidR="000D2EC4" w:rsidRPr="007740AD">
        <w:rPr>
          <w:sz w:val="22"/>
          <w:szCs w:val="22"/>
        </w:rPr>
        <w:t xml:space="preserve">wholesale trade </w:t>
      </w:r>
      <w:r w:rsidR="007D74DC" w:rsidRPr="007740AD">
        <w:rPr>
          <w:sz w:val="22"/>
          <w:szCs w:val="22"/>
        </w:rPr>
        <w:t>was</w:t>
      </w:r>
      <w:r w:rsidR="000D2EC4" w:rsidRPr="007740AD">
        <w:rPr>
          <w:sz w:val="22"/>
          <w:szCs w:val="22"/>
        </w:rPr>
        <w:t xml:space="preserve"> previously not their</w:t>
      </w:r>
      <w:r w:rsidR="002A5AF7">
        <w:rPr>
          <w:sz w:val="22"/>
          <w:szCs w:val="22"/>
        </w:rPr>
        <w:t xml:space="preserve"> own</w:t>
      </w:r>
      <w:r w:rsidR="000D2EC4" w:rsidRPr="007740AD">
        <w:rPr>
          <w:sz w:val="22"/>
          <w:szCs w:val="22"/>
        </w:rPr>
        <w:t xml:space="preserve"> </w:t>
      </w:r>
      <w:r w:rsidR="004730B5" w:rsidRPr="007740AD">
        <w:rPr>
          <w:sz w:val="22"/>
          <w:szCs w:val="22"/>
        </w:rPr>
        <w:t xml:space="preserve">industry in </w:t>
      </w:r>
      <w:r w:rsidR="007D74DC" w:rsidRPr="007740AD">
        <w:rPr>
          <w:sz w:val="22"/>
          <w:szCs w:val="22"/>
        </w:rPr>
        <w:t>2010 and</w:t>
      </w:r>
      <w:r w:rsidR="004730B5" w:rsidRPr="007740AD">
        <w:rPr>
          <w:sz w:val="22"/>
          <w:szCs w:val="22"/>
        </w:rPr>
        <w:t xml:space="preserve"> were categorized into their own industry in between the period.</w:t>
      </w:r>
      <w:r w:rsidR="001E64B5" w:rsidRPr="007740AD">
        <w:rPr>
          <w:sz w:val="22"/>
          <w:szCs w:val="22"/>
        </w:rPr>
        <w:t xml:space="preserve"> All industries that were recorded in 2009</w:t>
      </w:r>
      <w:r w:rsidR="00D83DE2" w:rsidRPr="007740AD">
        <w:rPr>
          <w:sz w:val="22"/>
          <w:szCs w:val="22"/>
        </w:rPr>
        <w:t>, had their Real GDP increase by 2018.</w:t>
      </w:r>
      <w:r w:rsidR="004730B5" w:rsidRPr="007740AD">
        <w:rPr>
          <w:sz w:val="22"/>
          <w:szCs w:val="22"/>
        </w:rPr>
        <w:t xml:space="preserve"> </w:t>
      </w:r>
    </w:p>
    <w:p w14:paraId="43683F68" w14:textId="3F6FF538" w:rsidR="00173BB3" w:rsidRDefault="00173BB3" w:rsidP="008D3776">
      <w:pPr>
        <w:spacing w:line="480" w:lineRule="auto"/>
        <w:rPr>
          <w:sz w:val="22"/>
          <w:szCs w:val="22"/>
        </w:rPr>
      </w:pPr>
      <w:r w:rsidRPr="007740AD">
        <w:rPr>
          <w:noProof/>
          <w:sz w:val="22"/>
          <w:szCs w:val="22"/>
        </w:rPr>
        <w:drawing>
          <wp:inline distT="0" distB="0" distL="0" distR="0" wp14:anchorId="785E9DBD" wp14:editId="701D8BA4">
            <wp:extent cx="6315075" cy="24193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20F63E-FBB3-254B-8DBA-35656A64E7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1F2C9A" w14:textId="63421371" w:rsidR="006A4CF6" w:rsidRPr="007740AD" w:rsidRDefault="00023514" w:rsidP="006A4CF6">
      <w:pPr>
        <w:spacing w:line="480" w:lineRule="auto"/>
        <w:jc w:val="center"/>
        <w:rPr>
          <w:b/>
          <w:bCs/>
          <w:sz w:val="22"/>
          <w:szCs w:val="22"/>
        </w:rPr>
      </w:pPr>
      <w:r w:rsidRPr="007740AD">
        <w:rPr>
          <w:b/>
          <w:bCs/>
          <w:sz w:val="22"/>
          <w:szCs w:val="22"/>
        </w:rPr>
        <w:t>(</w:t>
      </w:r>
      <w:r w:rsidR="00280D76" w:rsidRPr="007740AD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Data from the Bureau of Economic Analysis)</w:t>
      </w:r>
    </w:p>
    <w:p w14:paraId="23197983" w14:textId="77777777" w:rsidR="00485461" w:rsidRPr="007740AD" w:rsidRDefault="00485461" w:rsidP="00D22E02">
      <w:pPr>
        <w:spacing w:line="480" w:lineRule="auto"/>
        <w:rPr>
          <w:rFonts w:cstheme="minorHAnsi"/>
          <w:color w:val="000000" w:themeColor="text1"/>
          <w:sz w:val="22"/>
          <w:szCs w:val="22"/>
        </w:rPr>
      </w:pPr>
    </w:p>
    <w:p w14:paraId="725D1744" w14:textId="2376E41A" w:rsidR="00B62D67" w:rsidRPr="007740AD" w:rsidRDefault="0070438D" w:rsidP="00D22E02">
      <w:pPr>
        <w:spacing w:line="480" w:lineRule="auto"/>
        <w:rPr>
          <w:rFonts w:cstheme="minorHAnsi"/>
          <w:color w:val="000000" w:themeColor="text1"/>
          <w:sz w:val="22"/>
          <w:szCs w:val="22"/>
        </w:rPr>
      </w:pPr>
      <w:r w:rsidRPr="007740AD">
        <w:rPr>
          <w:rFonts w:cstheme="minorHAnsi"/>
          <w:color w:val="000000" w:themeColor="text1"/>
          <w:sz w:val="22"/>
          <w:szCs w:val="22"/>
        </w:rPr>
        <w:t>T</w:t>
      </w:r>
      <w:r w:rsidR="00BB4A0D" w:rsidRPr="007740AD">
        <w:rPr>
          <w:rFonts w:cstheme="minorHAnsi"/>
          <w:color w:val="000000" w:themeColor="text1"/>
          <w:sz w:val="22"/>
          <w:szCs w:val="22"/>
        </w:rPr>
        <w:t>he Minneapolis-St. Paul-Bloomington MN-WI MS</w:t>
      </w:r>
      <w:r w:rsidRPr="007740AD">
        <w:rPr>
          <w:rFonts w:cstheme="minorHAnsi"/>
          <w:color w:val="000000" w:themeColor="text1"/>
          <w:sz w:val="22"/>
          <w:szCs w:val="22"/>
        </w:rPr>
        <w:t xml:space="preserve">A gained over 200,000 jobs </w:t>
      </w:r>
      <w:r w:rsidR="002D31FB" w:rsidRPr="007740AD">
        <w:rPr>
          <w:rFonts w:cstheme="minorHAnsi"/>
          <w:color w:val="000000" w:themeColor="text1"/>
          <w:sz w:val="22"/>
          <w:szCs w:val="22"/>
        </w:rPr>
        <w:t>from 2010 to 2018. However,</w:t>
      </w:r>
      <w:r w:rsidRPr="007740AD">
        <w:rPr>
          <w:rFonts w:cstheme="minorHAnsi"/>
          <w:color w:val="000000" w:themeColor="text1"/>
          <w:sz w:val="22"/>
          <w:szCs w:val="22"/>
        </w:rPr>
        <w:t xml:space="preserve"> </w:t>
      </w:r>
      <w:r w:rsidR="002D31FB" w:rsidRPr="007740AD">
        <w:rPr>
          <w:rFonts w:cstheme="minorHAnsi"/>
          <w:color w:val="000000" w:themeColor="text1"/>
          <w:sz w:val="22"/>
          <w:szCs w:val="22"/>
        </w:rPr>
        <w:t>a</w:t>
      </w:r>
      <w:r w:rsidR="001E2CE6" w:rsidRPr="007740AD">
        <w:rPr>
          <w:rFonts w:cstheme="minorHAnsi"/>
          <w:color w:val="000000" w:themeColor="text1"/>
          <w:sz w:val="22"/>
          <w:szCs w:val="22"/>
        </w:rPr>
        <w:t>ll major industries gained jobs besides the</w:t>
      </w:r>
      <w:r w:rsidR="009D028D" w:rsidRPr="007740AD">
        <w:rPr>
          <w:rFonts w:cstheme="minorHAnsi"/>
          <w:color w:val="000000" w:themeColor="text1"/>
          <w:sz w:val="22"/>
          <w:szCs w:val="22"/>
        </w:rPr>
        <w:t xml:space="preserve"> Healthcare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9D028D" w:rsidRPr="007740AD">
        <w:rPr>
          <w:rFonts w:cstheme="minorHAnsi"/>
          <w:color w:val="000000" w:themeColor="text1"/>
          <w:sz w:val="22"/>
          <w:szCs w:val="22"/>
        </w:rPr>
        <w:t>upport occupations</w:t>
      </w:r>
      <w:r w:rsidR="00DF4B97" w:rsidRPr="007740AD">
        <w:rPr>
          <w:rFonts w:cstheme="minorHAnsi"/>
          <w:color w:val="000000" w:themeColor="text1"/>
          <w:sz w:val="22"/>
          <w:szCs w:val="22"/>
        </w:rPr>
        <w:t xml:space="preserve"> sector</w:t>
      </w:r>
      <w:r w:rsidR="009D028D" w:rsidRPr="007740AD">
        <w:rPr>
          <w:rFonts w:cstheme="minorHAnsi"/>
          <w:color w:val="000000" w:themeColor="text1"/>
          <w:sz w:val="22"/>
          <w:szCs w:val="22"/>
        </w:rPr>
        <w:t xml:space="preserve">, Life,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P</w:t>
      </w:r>
      <w:r w:rsidR="009D028D" w:rsidRPr="007740AD">
        <w:rPr>
          <w:rFonts w:cstheme="minorHAnsi"/>
          <w:color w:val="000000" w:themeColor="text1"/>
          <w:sz w:val="22"/>
          <w:szCs w:val="22"/>
        </w:rPr>
        <w:t xml:space="preserve">hysical, and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9D028D" w:rsidRPr="007740AD">
        <w:rPr>
          <w:rFonts w:cstheme="minorHAnsi"/>
          <w:color w:val="000000" w:themeColor="text1"/>
          <w:sz w:val="22"/>
          <w:szCs w:val="22"/>
        </w:rPr>
        <w:t xml:space="preserve">ocial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9D028D" w:rsidRPr="007740AD">
        <w:rPr>
          <w:rFonts w:cstheme="minorHAnsi"/>
          <w:color w:val="000000" w:themeColor="text1"/>
          <w:sz w:val="22"/>
          <w:szCs w:val="22"/>
        </w:rPr>
        <w:t xml:space="preserve">cience occupations sector, and the </w:t>
      </w:r>
      <w:r w:rsidR="007D74DC" w:rsidRPr="007740AD">
        <w:rPr>
          <w:rFonts w:cstheme="minorHAnsi"/>
          <w:color w:val="000000" w:themeColor="text1"/>
          <w:sz w:val="22"/>
          <w:szCs w:val="22"/>
        </w:rPr>
        <w:t xml:space="preserve">Office and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A</w:t>
      </w:r>
      <w:r w:rsidR="007D74DC" w:rsidRPr="007740AD">
        <w:rPr>
          <w:rFonts w:cstheme="minorHAnsi"/>
          <w:color w:val="000000" w:themeColor="text1"/>
          <w:sz w:val="22"/>
          <w:szCs w:val="22"/>
        </w:rPr>
        <w:t xml:space="preserve">dministrative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7D74DC" w:rsidRPr="007740AD">
        <w:rPr>
          <w:rFonts w:cstheme="minorHAnsi"/>
          <w:color w:val="000000" w:themeColor="text1"/>
          <w:sz w:val="22"/>
          <w:szCs w:val="22"/>
        </w:rPr>
        <w:t>upport occupations sectors.</w:t>
      </w:r>
      <w:r w:rsidR="00CE1C3D" w:rsidRPr="007740AD">
        <w:rPr>
          <w:rFonts w:cstheme="minorHAnsi"/>
          <w:color w:val="000000" w:themeColor="text1"/>
          <w:sz w:val="22"/>
          <w:szCs w:val="22"/>
        </w:rPr>
        <w:t xml:space="preserve"> Leading sectors by employment gain by percentage </w:t>
      </w:r>
      <w:r w:rsidR="002D3946" w:rsidRPr="007740AD">
        <w:rPr>
          <w:rFonts w:cstheme="minorHAnsi"/>
          <w:color w:val="000000" w:themeColor="text1"/>
          <w:sz w:val="22"/>
          <w:szCs w:val="22"/>
        </w:rPr>
        <w:t xml:space="preserve">were the Personal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C</w:t>
      </w:r>
      <w:r w:rsidR="002D3946" w:rsidRPr="007740AD">
        <w:rPr>
          <w:rFonts w:cstheme="minorHAnsi"/>
          <w:color w:val="000000" w:themeColor="text1"/>
          <w:sz w:val="22"/>
          <w:szCs w:val="22"/>
        </w:rPr>
        <w:t xml:space="preserve">are and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2D3946" w:rsidRPr="007740AD">
        <w:rPr>
          <w:rFonts w:cstheme="minorHAnsi"/>
          <w:color w:val="000000" w:themeColor="text1"/>
          <w:sz w:val="22"/>
          <w:szCs w:val="22"/>
        </w:rPr>
        <w:t xml:space="preserve">ervice occupations sector and the </w:t>
      </w:r>
      <w:r w:rsidR="00C25CAB" w:rsidRPr="007740AD">
        <w:rPr>
          <w:rFonts w:cstheme="minorHAnsi"/>
          <w:color w:val="000000" w:themeColor="text1"/>
          <w:sz w:val="22"/>
          <w:szCs w:val="22"/>
        </w:rPr>
        <w:t xml:space="preserve">Community and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C25CAB" w:rsidRPr="007740AD">
        <w:rPr>
          <w:rFonts w:cstheme="minorHAnsi"/>
          <w:color w:val="000000" w:themeColor="text1"/>
          <w:sz w:val="22"/>
          <w:szCs w:val="22"/>
        </w:rPr>
        <w:t xml:space="preserve">ocial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C25CAB" w:rsidRPr="007740AD">
        <w:rPr>
          <w:rFonts w:cstheme="minorHAnsi"/>
          <w:color w:val="000000" w:themeColor="text1"/>
          <w:sz w:val="22"/>
          <w:szCs w:val="22"/>
        </w:rPr>
        <w:t xml:space="preserve">ervices occupations sector. The sector that gained the most net jobs was also the Personal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C</w:t>
      </w:r>
      <w:r w:rsidR="00C25CAB" w:rsidRPr="007740AD">
        <w:rPr>
          <w:rFonts w:cstheme="minorHAnsi"/>
          <w:color w:val="000000" w:themeColor="text1"/>
          <w:sz w:val="22"/>
          <w:szCs w:val="22"/>
        </w:rPr>
        <w:t xml:space="preserve">are and </w:t>
      </w:r>
      <w:r w:rsidR="00DF4B97" w:rsidRPr="007740AD">
        <w:rPr>
          <w:rFonts w:cstheme="minorHAnsi"/>
          <w:color w:val="000000" w:themeColor="text1"/>
          <w:sz w:val="22"/>
          <w:szCs w:val="22"/>
        </w:rPr>
        <w:t>S</w:t>
      </w:r>
      <w:r w:rsidR="00C25CAB" w:rsidRPr="007740AD">
        <w:rPr>
          <w:rFonts w:cstheme="minorHAnsi"/>
          <w:color w:val="000000" w:themeColor="text1"/>
          <w:sz w:val="22"/>
          <w:szCs w:val="22"/>
        </w:rPr>
        <w:t>ervice occupations sector.</w:t>
      </w:r>
      <w:r w:rsidR="003E6090" w:rsidRPr="007740AD">
        <w:rPr>
          <w:rFonts w:cstheme="minorHAnsi"/>
          <w:color w:val="000000" w:themeColor="text1"/>
          <w:sz w:val="22"/>
          <w:szCs w:val="22"/>
        </w:rPr>
        <w:t xml:space="preserve"> (Chart on Page </w:t>
      </w:r>
      <w:r w:rsidR="00627597" w:rsidRPr="007740AD">
        <w:rPr>
          <w:rFonts w:cstheme="minorHAnsi"/>
          <w:color w:val="000000" w:themeColor="text1"/>
          <w:sz w:val="22"/>
          <w:szCs w:val="22"/>
        </w:rPr>
        <w:t>4</w:t>
      </w:r>
      <w:r w:rsidR="003E6090" w:rsidRPr="007740AD">
        <w:rPr>
          <w:rFonts w:cstheme="minorHAnsi"/>
          <w:color w:val="000000" w:themeColor="text1"/>
          <w:sz w:val="22"/>
          <w:szCs w:val="22"/>
        </w:rPr>
        <w:t>)</w:t>
      </w:r>
    </w:p>
    <w:p w14:paraId="0D6187FC" w14:textId="77777777" w:rsidR="00B62D67" w:rsidRPr="007740AD" w:rsidRDefault="00B62D67" w:rsidP="00D22E02">
      <w:pPr>
        <w:spacing w:line="480" w:lineRule="auto"/>
        <w:rPr>
          <w:rFonts w:cstheme="minorHAnsi"/>
          <w:color w:val="000000" w:themeColor="text1"/>
          <w:sz w:val="22"/>
          <w:szCs w:val="22"/>
        </w:rPr>
      </w:pPr>
    </w:p>
    <w:p w14:paraId="37E23957" w14:textId="77777777" w:rsidR="000B6364" w:rsidRPr="007740AD" w:rsidRDefault="000B6364" w:rsidP="00D22E02">
      <w:pPr>
        <w:spacing w:line="480" w:lineRule="auto"/>
        <w:rPr>
          <w:rFonts w:cstheme="minorHAnsi"/>
          <w:sz w:val="22"/>
          <w:szCs w:val="22"/>
        </w:rPr>
      </w:pPr>
    </w:p>
    <w:p w14:paraId="3370072E" w14:textId="293EA4EF" w:rsidR="000B6364" w:rsidRPr="007740AD" w:rsidRDefault="00C548CD" w:rsidP="00D22E02">
      <w:pPr>
        <w:spacing w:line="480" w:lineRule="auto"/>
        <w:rPr>
          <w:rFonts w:cstheme="minorHAnsi"/>
          <w:sz w:val="22"/>
          <w:szCs w:val="22"/>
        </w:rPr>
      </w:pPr>
      <w:r w:rsidRPr="007740AD">
        <w:rPr>
          <w:noProof/>
          <w:sz w:val="22"/>
          <w:szCs w:val="22"/>
        </w:rPr>
        <w:lastRenderedPageBreak/>
        <w:drawing>
          <wp:inline distT="0" distB="0" distL="0" distR="0" wp14:anchorId="67B0D830" wp14:editId="264F0597">
            <wp:extent cx="5905500" cy="24193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BB3831D-609B-49DD-B388-BD2A519FFA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4A3D3D" w14:textId="3A42762F" w:rsidR="00BB36D1" w:rsidRPr="007740AD" w:rsidRDefault="00BB36D1" w:rsidP="00BB36D1">
      <w:pPr>
        <w:spacing w:line="480" w:lineRule="auto"/>
        <w:jc w:val="center"/>
        <w:rPr>
          <w:rFonts w:cstheme="minorHAnsi"/>
          <w:b/>
          <w:bCs/>
          <w:sz w:val="22"/>
          <w:szCs w:val="22"/>
        </w:rPr>
      </w:pPr>
      <w:r w:rsidRPr="007740AD">
        <w:rPr>
          <w:rFonts w:cstheme="minorHAnsi"/>
          <w:b/>
          <w:bCs/>
          <w:sz w:val="22"/>
          <w:szCs w:val="22"/>
        </w:rPr>
        <w:t xml:space="preserve">(Data from the </w:t>
      </w:r>
      <w:r w:rsidRPr="007740AD">
        <w:rPr>
          <w:rFonts w:cstheme="minorHAnsi"/>
          <w:b/>
          <w:bCs/>
          <w:sz w:val="22"/>
          <w:szCs w:val="22"/>
          <w:shd w:val="clear" w:color="auto" w:fill="F2F2F2"/>
        </w:rPr>
        <w:t>Bureau of Labor Statistics</w:t>
      </w:r>
      <w:r w:rsidR="001F6A30" w:rsidRPr="007740AD">
        <w:rPr>
          <w:rFonts w:cstheme="minorHAnsi"/>
          <w:b/>
          <w:bCs/>
          <w:sz w:val="22"/>
          <w:szCs w:val="22"/>
          <w:shd w:val="clear" w:color="auto" w:fill="F2F2F2"/>
        </w:rPr>
        <w:t>)</w:t>
      </w:r>
    </w:p>
    <w:p w14:paraId="0EBA7DC0" w14:textId="77777777" w:rsidR="00485461" w:rsidRPr="007740AD" w:rsidRDefault="00485461" w:rsidP="00D22E02">
      <w:pPr>
        <w:spacing w:line="480" w:lineRule="auto"/>
        <w:rPr>
          <w:rFonts w:cstheme="minorHAnsi"/>
          <w:sz w:val="22"/>
          <w:szCs w:val="22"/>
        </w:rPr>
      </w:pPr>
    </w:p>
    <w:p w14:paraId="70D774B8" w14:textId="002CD731" w:rsidR="00B4497A" w:rsidRPr="007740AD" w:rsidRDefault="007D74DC" w:rsidP="00D22E02">
      <w:pPr>
        <w:spacing w:line="480" w:lineRule="auto"/>
        <w:rPr>
          <w:rFonts w:cstheme="minorHAnsi"/>
          <w:sz w:val="22"/>
          <w:szCs w:val="22"/>
        </w:rPr>
      </w:pPr>
      <w:r w:rsidRPr="007740AD">
        <w:rPr>
          <w:rFonts w:cstheme="minorHAnsi"/>
          <w:sz w:val="22"/>
          <w:szCs w:val="22"/>
        </w:rPr>
        <w:t>These</w:t>
      </w:r>
      <w:r w:rsidR="004322AD" w:rsidRPr="007740AD">
        <w:rPr>
          <w:rFonts w:cstheme="minorHAnsi"/>
          <w:sz w:val="22"/>
          <w:szCs w:val="22"/>
        </w:rPr>
        <w:t xml:space="preserve"> economic conditions show that the </w:t>
      </w:r>
      <w:r w:rsidR="004322AD" w:rsidRPr="007740AD">
        <w:rPr>
          <w:rFonts w:cstheme="minorHAnsi"/>
          <w:color w:val="000000" w:themeColor="text1"/>
          <w:sz w:val="22"/>
          <w:szCs w:val="22"/>
        </w:rPr>
        <w:t>Minneapolis-St. Paul-Bloomington MN-WI MSA</w:t>
      </w:r>
      <w:r w:rsidR="0057185C" w:rsidRPr="007740AD">
        <w:rPr>
          <w:rFonts w:cstheme="minorHAnsi"/>
          <w:color w:val="000000" w:themeColor="text1"/>
          <w:sz w:val="22"/>
          <w:szCs w:val="22"/>
        </w:rPr>
        <w:t>, as a whole</w:t>
      </w:r>
      <w:r w:rsidR="00D0736B">
        <w:rPr>
          <w:rFonts w:cstheme="minorHAnsi"/>
          <w:color w:val="000000" w:themeColor="text1"/>
          <w:sz w:val="22"/>
          <w:szCs w:val="22"/>
        </w:rPr>
        <w:t>,</w:t>
      </w:r>
      <w:r w:rsidR="004322AD" w:rsidRPr="007740AD">
        <w:rPr>
          <w:rFonts w:cstheme="minorHAnsi"/>
          <w:color w:val="000000" w:themeColor="text1"/>
          <w:sz w:val="22"/>
          <w:szCs w:val="22"/>
        </w:rPr>
        <w:t xml:space="preserve"> recovered from the 2008 Recession quite considerably</w:t>
      </w:r>
      <w:r w:rsidR="00BB6802" w:rsidRPr="007740AD">
        <w:rPr>
          <w:rFonts w:cstheme="minorHAnsi"/>
          <w:color w:val="000000" w:themeColor="text1"/>
          <w:sz w:val="22"/>
          <w:szCs w:val="22"/>
        </w:rPr>
        <w:t xml:space="preserve">. </w:t>
      </w:r>
      <w:r w:rsidR="009353FC" w:rsidRPr="007740AD">
        <w:rPr>
          <w:rFonts w:cstheme="minorHAnsi"/>
          <w:color w:val="000000" w:themeColor="text1"/>
          <w:sz w:val="22"/>
          <w:szCs w:val="22"/>
        </w:rPr>
        <w:t>The data here w</w:t>
      </w:r>
      <w:r w:rsidR="00FD16FE" w:rsidRPr="007740AD">
        <w:rPr>
          <w:rFonts w:cstheme="minorHAnsi"/>
          <w:color w:val="000000" w:themeColor="text1"/>
          <w:sz w:val="22"/>
          <w:szCs w:val="22"/>
        </w:rPr>
        <w:t>as</w:t>
      </w:r>
      <w:r w:rsidR="009353FC" w:rsidRPr="007740AD">
        <w:rPr>
          <w:rFonts w:cstheme="minorHAnsi"/>
          <w:color w:val="000000" w:themeColor="text1"/>
          <w:sz w:val="22"/>
          <w:szCs w:val="22"/>
        </w:rPr>
        <w:t xml:space="preserve"> from the Bureau of Economic Analysis </w:t>
      </w:r>
      <w:r w:rsidR="00D5321E" w:rsidRPr="007740AD">
        <w:rPr>
          <w:rFonts w:cstheme="minorHAnsi"/>
          <w:color w:val="000000" w:themeColor="text1"/>
          <w:sz w:val="22"/>
          <w:szCs w:val="22"/>
        </w:rPr>
        <w:t xml:space="preserve">and the Bureau of Labor Statistics </w:t>
      </w:r>
      <w:r w:rsidR="002205F5" w:rsidRPr="007740AD">
        <w:rPr>
          <w:rFonts w:cstheme="minorHAnsi"/>
          <w:color w:val="000000" w:themeColor="text1"/>
          <w:sz w:val="22"/>
          <w:szCs w:val="22"/>
        </w:rPr>
        <w:t>and showed that the Minneapolis-St. Paul-Bloomington MN-WI MSA increased both its Real GDP and Per Capita GDP substantially</w:t>
      </w:r>
      <w:r w:rsidR="003F0E36" w:rsidRPr="007740AD">
        <w:rPr>
          <w:rFonts w:cstheme="minorHAnsi"/>
          <w:color w:val="000000" w:themeColor="text1"/>
          <w:sz w:val="22"/>
          <w:szCs w:val="22"/>
        </w:rPr>
        <w:t xml:space="preserve">. </w:t>
      </w:r>
      <w:r w:rsidR="001A4FB6" w:rsidRPr="007740AD">
        <w:rPr>
          <w:rFonts w:cstheme="minorHAnsi"/>
          <w:color w:val="000000" w:themeColor="text1"/>
          <w:sz w:val="22"/>
          <w:szCs w:val="22"/>
        </w:rPr>
        <w:t>Every single major industry also had an expansion of GDP growth as well.</w:t>
      </w:r>
      <w:r w:rsidR="002205F5" w:rsidRPr="007740AD">
        <w:rPr>
          <w:rFonts w:cstheme="minorHAnsi"/>
          <w:color w:val="000000" w:themeColor="text1"/>
          <w:sz w:val="22"/>
          <w:szCs w:val="22"/>
        </w:rPr>
        <w:t xml:space="preserve"> </w:t>
      </w:r>
      <w:r w:rsidR="001A4FB6" w:rsidRPr="007740AD">
        <w:rPr>
          <w:rFonts w:cstheme="minorHAnsi"/>
          <w:color w:val="000000" w:themeColor="text1"/>
          <w:sz w:val="22"/>
          <w:szCs w:val="22"/>
        </w:rPr>
        <w:t xml:space="preserve">The MSA also </w:t>
      </w:r>
      <w:r w:rsidR="002205F5" w:rsidRPr="007740AD">
        <w:rPr>
          <w:rFonts w:cstheme="minorHAnsi"/>
          <w:color w:val="000000" w:themeColor="text1"/>
          <w:sz w:val="22"/>
          <w:szCs w:val="22"/>
        </w:rPr>
        <w:t xml:space="preserve">gained hundreds of thousands of jobs, all </w:t>
      </w:r>
      <w:r w:rsidR="00D0736B">
        <w:rPr>
          <w:rFonts w:cstheme="minorHAnsi"/>
          <w:color w:val="000000" w:themeColor="text1"/>
          <w:sz w:val="22"/>
          <w:szCs w:val="22"/>
        </w:rPr>
        <w:t xml:space="preserve">of </w:t>
      </w:r>
      <w:r w:rsidR="002205F5" w:rsidRPr="007740AD">
        <w:rPr>
          <w:rFonts w:cstheme="minorHAnsi"/>
          <w:color w:val="000000" w:themeColor="text1"/>
          <w:sz w:val="22"/>
          <w:szCs w:val="22"/>
        </w:rPr>
        <w:t xml:space="preserve">which are great indicators of recovery and </w:t>
      </w:r>
      <w:r w:rsidR="00903112" w:rsidRPr="007740AD">
        <w:rPr>
          <w:rFonts w:cstheme="minorHAnsi"/>
          <w:color w:val="000000" w:themeColor="text1"/>
          <w:sz w:val="22"/>
          <w:szCs w:val="22"/>
        </w:rPr>
        <w:t xml:space="preserve">then an </w:t>
      </w:r>
      <w:r w:rsidR="002205F5" w:rsidRPr="007740AD">
        <w:rPr>
          <w:rFonts w:cstheme="minorHAnsi"/>
          <w:color w:val="000000" w:themeColor="text1"/>
          <w:sz w:val="22"/>
          <w:szCs w:val="22"/>
        </w:rPr>
        <w:t>expansion</w:t>
      </w:r>
      <w:r w:rsidR="00903112" w:rsidRPr="007740AD">
        <w:rPr>
          <w:rFonts w:cstheme="minorHAnsi"/>
          <w:color w:val="000000" w:themeColor="text1"/>
          <w:sz w:val="22"/>
          <w:szCs w:val="22"/>
        </w:rPr>
        <w:t xml:space="preserve"> of economic growth</w:t>
      </w:r>
      <w:r w:rsidR="002205F5" w:rsidRPr="007740AD">
        <w:rPr>
          <w:rFonts w:cstheme="minorHAnsi"/>
          <w:color w:val="000000" w:themeColor="text1"/>
          <w:sz w:val="22"/>
          <w:szCs w:val="22"/>
        </w:rPr>
        <w:t xml:space="preserve"> from the 2008 Great Recession</w:t>
      </w:r>
      <w:r w:rsidR="00FD16FE" w:rsidRPr="007740AD">
        <w:rPr>
          <w:rFonts w:cstheme="minorHAnsi"/>
          <w:color w:val="000000" w:themeColor="text1"/>
          <w:sz w:val="22"/>
          <w:szCs w:val="22"/>
        </w:rPr>
        <w:t xml:space="preserve"> in the region.</w:t>
      </w:r>
      <w:r w:rsidR="00814813" w:rsidRPr="007740AD">
        <w:rPr>
          <w:rFonts w:cstheme="minorHAnsi"/>
          <w:color w:val="000000" w:themeColor="text1"/>
          <w:sz w:val="22"/>
          <w:szCs w:val="22"/>
        </w:rPr>
        <w:t xml:space="preserve"> </w:t>
      </w:r>
      <w:r w:rsidR="00A97A87">
        <w:rPr>
          <w:rFonts w:cstheme="minorHAnsi"/>
          <w:color w:val="000000" w:themeColor="text1"/>
          <w:sz w:val="22"/>
          <w:szCs w:val="22"/>
        </w:rPr>
        <w:t xml:space="preserve"> </w:t>
      </w:r>
      <w:r w:rsidR="002A5AF7">
        <w:rPr>
          <w:rFonts w:cstheme="minorHAnsi"/>
          <w:color w:val="000000" w:themeColor="text1"/>
          <w:sz w:val="22"/>
          <w:szCs w:val="22"/>
        </w:rPr>
        <w:t>Regarding</w:t>
      </w:r>
      <w:r w:rsidR="00A06CF4">
        <w:rPr>
          <w:rFonts w:cstheme="minorHAnsi"/>
          <w:color w:val="000000" w:themeColor="text1"/>
          <w:sz w:val="22"/>
          <w:szCs w:val="22"/>
        </w:rPr>
        <w:t xml:space="preserve"> Economic Development: “</w:t>
      </w:r>
      <w:r w:rsidR="00A06CF4">
        <w:rPr>
          <w:rStyle w:val="textlayer--absolute"/>
          <w:sz w:val="22"/>
          <w:szCs w:val="22"/>
          <w:shd w:val="clear" w:color="auto" w:fill="F2F2F2"/>
        </w:rPr>
        <w:t xml:space="preserve">It is quantitative with respect to the measured benefits it creates through increasing wealth and income levels, the availability of goods and services, improving financial security, and so-on. And it is also qualitative in creating greater social/financial equity, in achieving sustainable development, and in creating a </w:t>
      </w:r>
      <w:r w:rsidR="00276C1D">
        <w:rPr>
          <w:rStyle w:val="textlayer--absolute"/>
          <w:sz w:val="22"/>
          <w:szCs w:val="22"/>
          <w:shd w:val="clear" w:color="auto" w:fill="F2F2F2"/>
        </w:rPr>
        <w:t>spread in the range</w:t>
      </w:r>
      <w:r w:rsidR="00A06CF4">
        <w:rPr>
          <w:rStyle w:val="textlayer--absolute"/>
          <w:sz w:val="22"/>
          <w:szCs w:val="22"/>
          <w:shd w:val="clear" w:color="auto" w:fill="F2F2F2"/>
        </w:rPr>
        <w:t xml:space="preserve"> of employment and </w:t>
      </w:r>
      <w:r w:rsidR="00276C1D">
        <w:rPr>
          <w:rStyle w:val="textlayer--absolute"/>
          <w:sz w:val="22"/>
          <w:szCs w:val="22"/>
          <w:shd w:val="clear" w:color="auto" w:fill="F2F2F2"/>
        </w:rPr>
        <w:t>gaining improvements</w:t>
      </w:r>
      <w:r w:rsidR="00A06CF4">
        <w:rPr>
          <w:rStyle w:val="textlayer--absolute"/>
          <w:sz w:val="22"/>
          <w:szCs w:val="22"/>
          <w:shd w:val="clear" w:color="auto" w:fill="F2F2F2"/>
        </w:rPr>
        <w:t xml:space="preserve"> in the quality of life in a region.”</w:t>
      </w:r>
      <w:r w:rsidR="00276C1D">
        <w:rPr>
          <w:rStyle w:val="textlayer--absolute"/>
          <w:sz w:val="22"/>
          <w:szCs w:val="22"/>
          <w:shd w:val="clear" w:color="auto" w:fill="F2F2F2"/>
        </w:rPr>
        <w:t xml:space="preserve"> (Stimson,2002)</w:t>
      </w:r>
    </w:p>
    <w:p w14:paraId="13D9A835" w14:textId="77777777" w:rsidR="001B06A3" w:rsidRPr="007740AD" w:rsidRDefault="001B06A3" w:rsidP="00D22E02">
      <w:pPr>
        <w:spacing w:line="480" w:lineRule="auto"/>
        <w:rPr>
          <w:rFonts w:cstheme="minorHAnsi"/>
          <w:sz w:val="22"/>
          <w:szCs w:val="22"/>
        </w:rPr>
      </w:pPr>
    </w:p>
    <w:p w14:paraId="204C5ADA" w14:textId="77777777" w:rsidR="001B06A3" w:rsidRPr="007740AD" w:rsidRDefault="001B06A3" w:rsidP="00D22E02">
      <w:pPr>
        <w:spacing w:line="480" w:lineRule="auto"/>
        <w:rPr>
          <w:rFonts w:cstheme="minorHAnsi"/>
          <w:sz w:val="22"/>
          <w:szCs w:val="22"/>
        </w:rPr>
      </w:pPr>
    </w:p>
    <w:p w14:paraId="170027E6" w14:textId="77777777" w:rsidR="001B06A3" w:rsidRPr="007740AD" w:rsidRDefault="001B06A3" w:rsidP="00D22E02">
      <w:pPr>
        <w:spacing w:line="480" w:lineRule="auto"/>
        <w:rPr>
          <w:rFonts w:cstheme="minorHAnsi"/>
          <w:sz w:val="22"/>
          <w:szCs w:val="22"/>
        </w:rPr>
      </w:pPr>
    </w:p>
    <w:p w14:paraId="44EE8F5D" w14:textId="77777777" w:rsidR="001B06A3" w:rsidRPr="007740AD" w:rsidRDefault="001B06A3" w:rsidP="00D22E02">
      <w:pPr>
        <w:spacing w:line="480" w:lineRule="auto"/>
        <w:rPr>
          <w:rFonts w:cstheme="minorHAnsi"/>
          <w:sz w:val="22"/>
          <w:szCs w:val="22"/>
        </w:rPr>
      </w:pPr>
    </w:p>
    <w:p w14:paraId="2EF7EF55" w14:textId="77777777" w:rsidR="005309D0" w:rsidRPr="007740AD" w:rsidRDefault="005309D0" w:rsidP="00D22E02">
      <w:pPr>
        <w:spacing w:line="480" w:lineRule="auto"/>
        <w:rPr>
          <w:rFonts w:cstheme="minorHAnsi"/>
          <w:sz w:val="22"/>
          <w:szCs w:val="22"/>
        </w:rPr>
      </w:pPr>
    </w:p>
    <w:p w14:paraId="27917C91" w14:textId="1B6D8B23" w:rsidR="00657614" w:rsidRPr="007740AD" w:rsidRDefault="00657614" w:rsidP="00657614">
      <w:pPr>
        <w:spacing w:line="480" w:lineRule="auto"/>
        <w:jc w:val="center"/>
        <w:rPr>
          <w:rFonts w:cstheme="minorHAnsi"/>
          <w:b/>
          <w:bCs/>
          <w:sz w:val="22"/>
          <w:szCs w:val="22"/>
          <w:u w:val="single"/>
        </w:rPr>
      </w:pPr>
      <w:r w:rsidRPr="007740AD">
        <w:rPr>
          <w:rFonts w:cstheme="minorHAnsi"/>
          <w:b/>
          <w:bCs/>
          <w:sz w:val="22"/>
          <w:szCs w:val="22"/>
          <w:u w:val="single"/>
        </w:rPr>
        <w:t>INCOME AND EMPLOYMENT</w:t>
      </w:r>
    </w:p>
    <w:p w14:paraId="484FA00F" w14:textId="69F35D17" w:rsidR="00074166" w:rsidRPr="007740AD" w:rsidRDefault="00C34D2C" w:rsidP="00D22E02">
      <w:pPr>
        <w:spacing w:line="480" w:lineRule="auto"/>
        <w:rPr>
          <w:rFonts w:cstheme="minorHAnsi"/>
          <w:sz w:val="22"/>
          <w:szCs w:val="22"/>
        </w:rPr>
      </w:pPr>
      <w:r w:rsidRPr="007740AD">
        <w:rPr>
          <w:rFonts w:cstheme="minorHAnsi"/>
          <w:sz w:val="22"/>
          <w:szCs w:val="22"/>
        </w:rPr>
        <w:t>Real Median income</w:t>
      </w:r>
      <w:r w:rsidR="0002510C" w:rsidRPr="007740AD">
        <w:rPr>
          <w:rFonts w:cstheme="minorHAnsi"/>
          <w:sz w:val="22"/>
          <w:szCs w:val="22"/>
        </w:rPr>
        <w:t xml:space="preserve"> is a better measure of showing </w:t>
      </w:r>
      <w:r w:rsidR="00697473" w:rsidRPr="007740AD">
        <w:rPr>
          <w:rFonts w:cstheme="minorHAnsi"/>
          <w:sz w:val="22"/>
          <w:szCs w:val="22"/>
        </w:rPr>
        <w:t xml:space="preserve">income per </w:t>
      </w:r>
      <w:r w:rsidR="00316D68">
        <w:rPr>
          <w:rFonts w:cstheme="minorHAnsi"/>
          <w:sz w:val="22"/>
          <w:szCs w:val="22"/>
        </w:rPr>
        <w:t>person</w:t>
      </w:r>
      <w:r w:rsidR="00697473" w:rsidRPr="007740AD">
        <w:rPr>
          <w:rFonts w:cstheme="minorHAnsi"/>
          <w:sz w:val="22"/>
          <w:szCs w:val="22"/>
        </w:rPr>
        <w:t xml:space="preserve">, rather </w:t>
      </w:r>
      <w:r w:rsidRPr="007740AD">
        <w:rPr>
          <w:rFonts w:cstheme="minorHAnsi"/>
          <w:sz w:val="22"/>
          <w:szCs w:val="22"/>
        </w:rPr>
        <w:t>than per Capita GDP.</w:t>
      </w:r>
      <w:r w:rsidR="000E088C" w:rsidRPr="007740AD">
        <w:rPr>
          <w:rFonts w:cstheme="minorHAnsi"/>
          <w:sz w:val="22"/>
          <w:szCs w:val="22"/>
        </w:rPr>
        <w:t xml:space="preserve"> </w:t>
      </w:r>
      <w:r w:rsidRPr="007740AD">
        <w:rPr>
          <w:rFonts w:cstheme="minorHAnsi"/>
          <w:sz w:val="22"/>
          <w:szCs w:val="22"/>
        </w:rPr>
        <w:t>I</w:t>
      </w:r>
      <w:r w:rsidR="000E088C" w:rsidRPr="007740AD">
        <w:rPr>
          <w:rFonts w:cstheme="minorHAnsi"/>
          <w:sz w:val="22"/>
          <w:szCs w:val="22"/>
        </w:rPr>
        <w:t xml:space="preserve">n the </w:t>
      </w:r>
      <w:r w:rsidR="000E088C" w:rsidRPr="007740AD">
        <w:rPr>
          <w:rFonts w:cstheme="minorHAnsi"/>
          <w:color w:val="000000" w:themeColor="text1"/>
          <w:sz w:val="22"/>
          <w:szCs w:val="22"/>
        </w:rPr>
        <w:t>Minneapolis-St. Paul-Bloomington MN-WI MSA</w:t>
      </w:r>
      <w:r w:rsidR="00DC27BD" w:rsidRPr="007740AD">
        <w:rPr>
          <w:rFonts w:cstheme="minorHAnsi"/>
          <w:color w:val="000000" w:themeColor="text1"/>
          <w:sz w:val="22"/>
          <w:szCs w:val="22"/>
        </w:rPr>
        <w:t xml:space="preserve"> Real Median family income</w:t>
      </w:r>
      <w:r w:rsidR="000E088C" w:rsidRPr="007740AD">
        <w:rPr>
          <w:rFonts w:cstheme="minorHAnsi"/>
          <w:color w:val="000000" w:themeColor="text1"/>
          <w:sz w:val="22"/>
          <w:szCs w:val="22"/>
        </w:rPr>
        <w:t xml:space="preserve"> was higher than the United States</w:t>
      </w:r>
      <w:r w:rsidR="008A4FF6">
        <w:rPr>
          <w:rFonts w:cstheme="minorHAnsi"/>
          <w:color w:val="000000" w:themeColor="text1"/>
          <w:sz w:val="22"/>
          <w:szCs w:val="22"/>
        </w:rPr>
        <w:t>, as a whole</w:t>
      </w:r>
      <w:r w:rsidR="000E088C" w:rsidRPr="007740AD">
        <w:rPr>
          <w:rFonts w:cstheme="minorHAnsi"/>
          <w:color w:val="000000" w:themeColor="text1"/>
          <w:sz w:val="22"/>
          <w:szCs w:val="22"/>
        </w:rPr>
        <w:t xml:space="preserve"> </w:t>
      </w:r>
      <w:r w:rsidR="00DC27BD" w:rsidRPr="007740AD">
        <w:rPr>
          <w:rFonts w:cstheme="minorHAnsi"/>
          <w:color w:val="000000" w:themeColor="text1"/>
          <w:sz w:val="22"/>
          <w:szCs w:val="22"/>
        </w:rPr>
        <w:t xml:space="preserve">regardless of </w:t>
      </w:r>
      <w:r w:rsidR="00697473" w:rsidRPr="007740AD">
        <w:rPr>
          <w:rFonts w:cstheme="minorHAnsi"/>
          <w:color w:val="000000" w:themeColor="text1"/>
          <w:sz w:val="22"/>
          <w:szCs w:val="22"/>
        </w:rPr>
        <w:t>education level.</w:t>
      </w:r>
      <w:r w:rsidR="0024048E" w:rsidRPr="007740AD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28736BE1" w14:textId="77777777" w:rsidR="006E7DB7" w:rsidRPr="007740AD" w:rsidRDefault="000F7C76" w:rsidP="00D22E02">
      <w:pPr>
        <w:spacing w:line="480" w:lineRule="auto"/>
        <w:rPr>
          <w:rFonts w:cstheme="minorHAnsi"/>
          <w:sz w:val="22"/>
          <w:szCs w:val="22"/>
        </w:rPr>
      </w:pPr>
      <w:r w:rsidRPr="007740AD">
        <w:rPr>
          <w:noProof/>
          <w:sz w:val="22"/>
          <w:szCs w:val="22"/>
        </w:rPr>
        <w:drawing>
          <wp:inline distT="0" distB="0" distL="0" distR="0" wp14:anchorId="76A4A6F0" wp14:editId="66ADFBC4">
            <wp:extent cx="546735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78C9EAF-A6A1-4AB4-9FC9-088D08F47E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7740AD">
        <w:rPr>
          <w:rFonts w:cstheme="minorHAnsi"/>
          <w:sz w:val="22"/>
          <w:szCs w:val="22"/>
        </w:rPr>
        <w:t xml:space="preserve"> </w:t>
      </w:r>
    </w:p>
    <w:p w14:paraId="7FA26AC0" w14:textId="77777777" w:rsidR="000D5B41" w:rsidRPr="007740AD" w:rsidRDefault="006E7DB7" w:rsidP="006435B5">
      <w:pPr>
        <w:spacing w:line="480" w:lineRule="auto"/>
        <w:jc w:val="both"/>
        <w:rPr>
          <w:rFonts w:cstheme="minorHAnsi"/>
          <w:sz w:val="22"/>
          <w:szCs w:val="22"/>
        </w:rPr>
      </w:pPr>
      <w:r w:rsidRPr="007740AD">
        <w:rPr>
          <w:noProof/>
          <w:sz w:val="22"/>
          <w:szCs w:val="22"/>
        </w:rPr>
        <w:drawing>
          <wp:inline distT="0" distB="0" distL="0" distR="0" wp14:anchorId="654D8E19" wp14:editId="55A230EE">
            <wp:extent cx="54483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92D9D9A-2CF7-48FA-A182-090F7F6D42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7740AD">
        <w:rPr>
          <w:rFonts w:cstheme="minorHAnsi"/>
          <w:sz w:val="22"/>
          <w:szCs w:val="22"/>
        </w:rPr>
        <w:t xml:space="preserve"> </w:t>
      </w:r>
    </w:p>
    <w:p w14:paraId="3A9142CB" w14:textId="77777777" w:rsidR="006435B5" w:rsidRPr="007740AD" w:rsidRDefault="00024E64" w:rsidP="000D5B41">
      <w:pPr>
        <w:spacing w:line="480" w:lineRule="auto"/>
        <w:jc w:val="center"/>
        <w:rPr>
          <w:rFonts w:cstheme="minorHAnsi"/>
          <w:b/>
          <w:bCs/>
          <w:sz w:val="22"/>
          <w:szCs w:val="22"/>
        </w:rPr>
      </w:pPr>
      <w:r w:rsidRPr="007740AD">
        <w:rPr>
          <w:rFonts w:cstheme="minorHAnsi"/>
          <w:b/>
          <w:bCs/>
          <w:sz w:val="22"/>
          <w:szCs w:val="22"/>
        </w:rPr>
        <w:t xml:space="preserve">(Data from the </w:t>
      </w:r>
      <w:r w:rsidR="00DC27BD" w:rsidRPr="007740AD">
        <w:rPr>
          <w:rFonts w:cstheme="minorHAnsi"/>
          <w:b/>
          <w:bCs/>
          <w:sz w:val="22"/>
          <w:szCs w:val="22"/>
        </w:rPr>
        <w:t>U.S. Census Bureau)</w:t>
      </w:r>
    </w:p>
    <w:p w14:paraId="5C310290" w14:textId="77777777" w:rsidR="006435B5" w:rsidRPr="007740AD" w:rsidRDefault="006435B5" w:rsidP="000D5B41">
      <w:pPr>
        <w:spacing w:line="480" w:lineRule="auto"/>
        <w:jc w:val="center"/>
        <w:rPr>
          <w:rFonts w:cstheme="minorHAnsi"/>
          <w:sz w:val="22"/>
          <w:szCs w:val="22"/>
        </w:rPr>
      </w:pPr>
    </w:p>
    <w:p w14:paraId="0F631CA3" w14:textId="51F5A265" w:rsidR="0027175E" w:rsidRPr="007740AD" w:rsidRDefault="00D95558" w:rsidP="006435B5">
      <w:pPr>
        <w:spacing w:line="480" w:lineRule="auto"/>
        <w:rPr>
          <w:rFonts w:cstheme="minorHAnsi"/>
          <w:color w:val="000000" w:themeColor="text1"/>
          <w:sz w:val="22"/>
          <w:szCs w:val="22"/>
        </w:rPr>
      </w:pPr>
      <w:r w:rsidRPr="007740AD">
        <w:rPr>
          <w:rFonts w:cstheme="minorHAnsi"/>
          <w:sz w:val="22"/>
          <w:szCs w:val="22"/>
        </w:rPr>
        <w:lastRenderedPageBreak/>
        <w:t xml:space="preserve">The Gini Index </w:t>
      </w:r>
      <w:r w:rsidR="002A5AF7">
        <w:rPr>
          <w:rFonts w:cstheme="minorHAnsi"/>
          <w:sz w:val="22"/>
          <w:szCs w:val="22"/>
        </w:rPr>
        <w:t xml:space="preserve">is </w:t>
      </w:r>
      <w:r w:rsidRPr="007740AD">
        <w:rPr>
          <w:rFonts w:cstheme="minorHAnsi"/>
          <w:sz w:val="22"/>
          <w:szCs w:val="22"/>
        </w:rPr>
        <w:t xml:space="preserve">a </w:t>
      </w:r>
      <w:r w:rsidRPr="008A4FF6">
        <w:rPr>
          <w:rFonts w:cstheme="minorHAnsi"/>
          <w:sz w:val="22"/>
          <w:szCs w:val="22"/>
          <w:shd w:val="clear" w:color="auto" w:fill="FFFFFF"/>
        </w:rPr>
        <w:t>statistical dispersion intended to represent the income or wealth distribution of a nation</w:t>
      </w:r>
      <w:r w:rsidR="00600FF3" w:rsidRPr="008A4FF6">
        <w:rPr>
          <w:rFonts w:cstheme="minorHAnsi"/>
          <w:sz w:val="22"/>
          <w:szCs w:val="22"/>
          <w:shd w:val="clear" w:color="auto" w:fill="FFFFFF"/>
        </w:rPr>
        <w:t>’</w:t>
      </w:r>
      <w:r w:rsidRPr="008A4FF6">
        <w:rPr>
          <w:rFonts w:cstheme="minorHAnsi"/>
          <w:sz w:val="22"/>
          <w:szCs w:val="22"/>
          <w:shd w:val="clear" w:color="auto" w:fill="FFFFFF"/>
        </w:rPr>
        <w:t>s residents and is the most commonly used measurement of inequality</w:t>
      </w:r>
      <w:r w:rsidRPr="007740AD">
        <w:rPr>
          <w:rFonts w:cstheme="minorHAnsi"/>
          <w:sz w:val="22"/>
          <w:szCs w:val="22"/>
        </w:rPr>
        <w:t xml:space="preserve">. The </w:t>
      </w:r>
      <w:r w:rsidRPr="007740AD">
        <w:rPr>
          <w:rFonts w:cstheme="minorHAnsi"/>
          <w:color w:val="000000" w:themeColor="text1"/>
          <w:sz w:val="22"/>
          <w:szCs w:val="22"/>
        </w:rPr>
        <w:t>Minneapolis-St. Paul-Bloomington MN-WI MSA had</w:t>
      </w:r>
      <w:r w:rsidR="00404B92" w:rsidRPr="007740AD">
        <w:rPr>
          <w:rFonts w:cstheme="minorHAnsi"/>
          <w:color w:val="000000" w:themeColor="text1"/>
          <w:sz w:val="22"/>
          <w:szCs w:val="22"/>
        </w:rPr>
        <w:t xml:space="preserve"> a lower Gini Index score than the United States did as a whole from the years 2006-2010 and </w:t>
      </w:r>
      <w:r w:rsidR="00EC2430" w:rsidRPr="007740AD">
        <w:rPr>
          <w:rFonts w:cstheme="minorHAnsi"/>
          <w:color w:val="000000" w:themeColor="text1"/>
          <w:sz w:val="22"/>
          <w:szCs w:val="22"/>
        </w:rPr>
        <w:t xml:space="preserve">2014-2018. Which means income in the Minneapolis-St. Paul-Bloomington MN-WI MSA is more evenly divided </w:t>
      </w:r>
      <w:r w:rsidR="005E0407" w:rsidRPr="007740AD">
        <w:rPr>
          <w:rFonts w:cstheme="minorHAnsi"/>
          <w:color w:val="000000" w:themeColor="text1"/>
          <w:sz w:val="22"/>
          <w:szCs w:val="22"/>
        </w:rPr>
        <w:t>in the MSA</w:t>
      </w:r>
      <w:r w:rsidR="00532BFD" w:rsidRPr="007740AD">
        <w:rPr>
          <w:rFonts w:cstheme="minorHAnsi"/>
          <w:color w:val="000000" w:themeColor="text1"/>
          <w:sz w:val="22"/>
          <w:szCs w:val="22"/>
        </w:rPr>
        <w:t xml:space="preserve"> among residents</w:t>
      </w:r>
      <w:r w:rsidR="005E0407" w:rsidRPr="007740AD">
        <w:rPr>
          <w:rFonts w:cstheme="minorHAnsi"/>
          <w:color w:val="000000" w:themeColor="text1"/>
          <w:sz w:val="22"/>
          <w:szCs w:val="22"/>
        </w:rPr>
        <w:t xml:space="preserve"> </w:t>
      </w:r>
      <w:r w:rsidR="0027175E" w:rsidRPr="007740AD">
        <w:rPr>
          <w:rFonts w:cstheme="minorHAnsi"/>
          <w:color w:val="000000" w:themeColor="text1"/>
          <w:sz w:val="22"/>
          <w:szCs w:val="22"/>
        </w:rPr>
        <w:t>than it is in the United States.</w:t>
      </w:r>
    </w:p>
    <w:p w14:paraId="7E926C86" w14:textId="35E16615" w:rsidR="004D560B" w:rsidRPr="007740AD" w:rsidRDefault="0027175E" w:rsidP="006435B5">
      <w:pPr>
        <w:spacing w:line="480" w:lineRule="auto"/>
        <w:rPr>
          <w:rFonts w:cstheme="minorHAnsi"/>
          <w:sz w:val="22"/>
          <w:szCs w:val="22"/>
        </w:rPr>
      </w:pPr>
      <w:r w:rsidRPr="007740AD">
        <w:rPr>
          <w:noProof/>
          <w:sz w:val="22"/>
          <w:szCs w:val="22"/>
        </w:rPr>
        <w:drawing>
          <wp:inline distT="0" distB="0" distL="0" distR="0" wp14:anchorId="3D3DCE4F" wp14:editId="51A22501">
            <wp:extent cx="558165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7F80AF2-3279-4C5E-B61D-351D3F1D26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7740AD">
        <w:rPr>
          <w:rFonts w:cstheme="minorHAnsi"/>
          <w:sz w:val="22"/>
          <w:szCs w:val="22"/>
        </w:rPr>
        <w:t xml:space="preserve"> </w:t>
      </w:r>
    </w:p>
    <w:p w14:paraId="23160574" w14:textId="7181E2BA" w:rsidR="005E135B" w:rsidRPr="007740AD" w:rsidRDefault="005E135B" w:rsidP="005E135B">
      <w:pPr>
        <w:spacing w:line="480" w:lineRule="auto"/>
        <w:jc w:val="center"/>
        <w:rPr>
          <w:rFonts w:cstheme="minorHAnsi"/>
          <w:b/>
          <w:bCs/>
          <w:sz w:val="22"/>
          <w:szCs w:val="22"/>
        </w:rPr>
      </w:pPr>
      <w:r w:rsidRPr="007740AD">
        <w:rPr>
          <w:rFonts w:cstheme="minorHAnsi"/>
          <w:b/>
          <w:bCs/>
          <w:sz w:val="22"/>
          <w:szCs w:val="22"/>
        </w:rPr>
        <w:t xml:space="preserve">(Data from the </w:t>
      </w:r>
      <w:r w:rsidR="003F3F54" w:rsidRPr="007740AD">
        <w:rPr>
          <w:rFonts w:cstheme="minorHAnsi"/>
          <w:b/>
          <w:bCs/>
          <w:sz w:val="22"/>
          <w:szCs w:val="22"/>
        </w:rPr>
        <w:t>U.S. Census Bureau)</w:t>
      </w:r>
    </w:p>
    <w:p w14:paraId="2D2E9B5F" w14:textId="774872EA" w:rsidR="007740AD" w:rsidRDefault="00A3317C" w:rsidP="008053FC">
      <w:pPr>
        <w:spacing w:line="480" w:lineRule="auto"/>
        <w:rPr>
          <w:sz w:val="22"/>
          <w:szCs w:val="22"/>
        </w:rPr>
      </w:pPr>
      <w:r w:rsidRPr="007740AD">
        <w:rPr>
          <w:rFonts w:cstheme="minorHAnsi"/>
          <w:sz w:val="22"/>
          <w:szCs w:val="22"/>
        </w:rPr>
        <w:t xml:space="preserve">Now onto </w:t>
      </w:r>
      <w:r w:rsidR="00532BFD" w:rsidRPr="007740AD">
        <w:rPr>
          <w:rFonts w:cstheme="minorHAnsi"/>
          <w:sz w:val="22"/>
          <w:szCs w:val="22"/>
        </w:rPr>
        <w:t>employment</w:t>
      </w:r>
      <w:r w:rsidR="000A7B4E" w:rsidRPr="007740AD">
        <w:rPr>
          <w:rFonts w:cstheme="minorHAnsi"/>
          <w:sz w:val="22"/>
          <w:szCs w:val="22"/>
        </w:rPr>
        <w:t>, using location quotient analysis</w:t>
      </w:r>
      <w:r w:rsidR="007E25A8" w:rsidRPr="007740AD">
        <w:rPr>
          <w:rFonts w:cstheme="minorHAnsi"/>
          <w:sz w:val="22"/>
          <w:szCs w:val="22"/>
        </w:rPr>
        <w:t xml:space="preserve">, you can determine </w:t>
      </w:r>
      <w:r w:rsidR="00024786" w:rsidRPr="007740AD">
        <w:rPr>
          <w:rFonts w:cstheme="minorHAnsi"/>
          <w:sz w:val="22"/>
          <w:szCs w:val="22"/>
        </w:rPr>
        <w:t xml:space="preserve">what occupations are </w:t>
      </w:r>
      <w:r w:rsidR="00EB3E0D" w:rsidRPr="007740AD">
        <w:rPr>
          <w:rFonts w:cstheme="minorHAnsi"/>
          <w:sz w:val="22"/>
          <w:szCs w:val="22"/>
        </w:rPr>
        <w:t xml:space="preserve">basic or </w:t>
      </w:r>
      <w:r w:rsidR="00024786" w:rsidRPr="007740AD">
        <w:rPr>
          <w:rFonts w:cstheme="minorHAnsi"/>
          <w:sz w:val="22"/>
          <w:szCs w:val="22"/>
        </w:rPr>
        <w:t xml:space="preserve">export-orientated </w:t>
      </w:r>
      <w:r w:rsidR="002A5AF7">
        <w:rPr>
          <w:rFonts w:cstheme="minorHAnsi"/>
          <w:sz w:val="22"/>
          <w:szCs w:val="22"/>
        </w:rPr>
        <w:t xml:space="preserve">occupations </w:t>
      </w:r>
      <w:r w:rsidR="00E32FD7" w:rsidRPr="007740AD">
        <w:rPr>
          <w:rFonts w:cstheme="minorHAnsi"/>
          <w:sz w:val="22"/>
          <w:szCs w:val="22"/>
        </w:rPr>
        <w:t>and</w:t>
      </w:r>
      <w:r w:rsidR="000C025A" w:rsidRPr="007740AD">
        <w:rPr>
          <w:rFonts w:cstheme="minorHAnsi"/>
          <w:sz w:val="22"/>
          <w:szCs w:val="22"/>
        </w:rPr>
        <w:t xml:space="preserve"> which are import-substitution occupations</w:t>
      </w:r>
      <w:r w:rsidR="005F13C7" w:rsidRPr="007740AD">
        <w:rPr>
          <w:rFonts w:cstheme="minorHAnsi"/>
          <w:sz w:val="22"/>
          <w:szCs w:val="22"/>
        </w:rPr>
        <w:t xml:space="preserve"> (occupations that need to</w:t>
      </w:r>
      <w:r w:rsidR="00D06957" w:rsidRPr="007740AD">
        <w:rPr>
          <w:rFonts w:cstheme="minorHAnsi"/>
          <w:sz w:val="22"/>
          <w:szCs w:val="22"/>
        </w:rPr>
        <w:t xml:space="preserve"> b</w:t>
      </w:r>
      <w:r w:rsidR="00B56B15" w:rsidRPr="007740AD">
        <w:rPr>
          <w:rFonts w:cstheme="minorHAnsi"/>
          <w:sz w:val="22"/>
          <w:szCs w:val="22"/>
        </w:rPr>
        <w:t>u</w:t>
      </w:r>
      <w:r w:rsidR="00D06957" w:rsidRPr="007740AD">
        <w:rPr>
          <w:rFonts w:cstheme="minorHAnsi"/>
          <w:sz w:val="22"/>
          <w:szCs w:val="22"/>
        </w:rPr>
        <w:t>y</w:t>
      </w:r>
      <w:r w:rsidR="005F13C7" w:rsidRPr="007740AD">
        <w:rPr>
          <w:rFonts w:cstheme="minorHAnsi"/>
          <w:sz w:val="22"/>
          <w:szCs w:val="22"/>
        </w:rPr>
        <w:t xml:space="preserve"> import</w:t>
      </w:r>
      <w:r w:rsidR="00D06957" w:rsidRPr="007740AD">
        <w:rPr>
          <w:rFonts w:cstheme="minorHAnsi"/>
          <w:sz w:val="22"/>
          <w:szCs w:val="22"/>
        </w:rPr>
        <w:t>s to meet regional demand</w:t>
      </w:r>
      <w:r w:rsidR="00B56B15" w:rsidRPr="007740AD">
        <w:rPr>
          <w:rFonts w:cstheme="minorHAnsi"/>
          <w:sz w:val="22"/>
          <w:szCs w:val="22"/>
        </w:rPr>
        <w:t>)</w:t>
      </w:r>
      <w:r w:rsidR="000C025A" w:rsidRPr="007740AD">
        <w:rPr>
          <w:rFonts w:cstheme="minorHAnsi"/>
          <w:sz w:val="22"/>
          <w:szCs w:val="22"/>
        </w:rPr>
        <w:t>. The</w:t>
      </w:r>
      <w:r w:rsidR="00EB3E0D" w:rsidRPr="007740AD">
        <w:rPr>
          <w:rFonts w:cstheme="minorHAnsi"/>
          <w:sz w:val="22"/>
          <w:szCs w:val="22"/>
        </w:rPr>
        <w:t xml:space="preserve"> basic or</w:t>
      </w:r>
      <w:r w:rsidR="000C025A" w:rsidRPr="007740AD">
        <w:rPr>
          <w:rFonts w:cstheme="minorHAnsi"/>
          <w:sz w:val="22"/>
          <w:szCs w:val="22"/>
        </w:rPr>
        <w:t xml:space="preserve"> export-orientated occupations include the </w:t>
      </w:r>
      <w:r w:rsidR="00B33491" w:rsidRPr="007740AD">
        <w:rPr>
          <w:rFonts w:cstheme="minorHAnsi"/>
          <w:sz w:val="22"/>
          <w:szCs w:val="22"/>
        </w:rPr>
        <w:t xml:space="preserve">Management occupations sector, the </w:t>
      </w:r>
      <w:r w:rsidR="00071F13" w:rsidRPr="007740AD">
        <w:rPr>
          <w:rFonts w:cstheme="minorHAnsi"/>
          <w:sz w:val="22"/>
          <w:szCs w:val="22"/>
        </w:rPr>
        <w:t xml:space="preserve">Business and financial operations occupations, Computer and mathematical science occupations sector, the </w:t>
      </w:r>
      <w:r w:rsidR="00207BF5" w:rsidRPr="007740AD">
        <w:rPr>
          <w:rFonts w:cstheme="minorHAnsi"/>
          <w:sz w:val="22"/>
          <w:szCs w:val="22"/>
        </w:rPr>
        <w:t xml:space="preserve">Architecture and engineering occupations sector, the Life, physical, and social science occupations sector, the </w:t>
      </w:r>
      <w:r w:rsidR="008F1443" w:rsidRPr="007740AD">
        <w:rPr>
          <w:rFonts w:cstheme="minorHAnsi"/>
          <w:sz w:val="22"/>
          <w:szCs w:val="22"/>
        </w:rPr>
        <w:t>Community and social services occupations sector, the Legal occupations sector, the</w:t>
      </w:r>
      <w:r w:rsidR="00EE7C02" w:rsidRPr="007740AD">
        <w:rPr>
          <w:rFonts w:cstheme="minorHAnsi"/>
          <w:sz w:val="22"/>
          <w:szCs w:val="22"/>
        </w:rPr>
        <w:t xml:space="preserve"> Arts, design, entertainment, sports, and media occupations sector, the Personal care and service occupations and the </w:t>
      </w:r>
      <w:r w:rsidR="006D246E" w:rsidRPr="007740AD">
        <w:rPr>
          <w:rFonts w:cstheme="minorHAnsi"/>
          <w:sz w:val="22"/>
          <w:szCs w:val="22"/>
        </w:rPr>
        <w:t>Production occupations sector, all which had a location quotient of greater than 1.</w:t>
      </w:r>
      <w:r w:rsidR="005C62DC" w:rsidRPr="007740AD">
        <w:rPr>
          <w:rFonts w:cstheme="minorHAnsi"/>
          <w:sz w:val="22"/>
          <w:szCs w:val="22"/>
        </w:rPr>
        <w:t xml:space="preserve"> The import-substitution occupations were the </w:t>
      </w:r>
      <w:r w:rsidR="0093325A" w:rsidRPr="007740AD">
        <w:rPr>
          <w:rFonts w:cstheme="minorHAnsi"/>
          <w:sz w:val="22"/>
          <w:szCs w:val="22"/>
        </w:rPr>
        <w:t xml:space="preserve">Education, training, and library occupations sector, the Healthcare practitioner and technical occupations sector, the Healthcare </w:t>
      </w:r>
      <w:r w:rsidR="0093325A" w:rsidRPr="007740AD">
        <w:rPr>
          <w:rFonts w:cstheme="minorHAnsi"/>
          <w:sz w:val="22"/>
          <w:szCs w:val="22"/>
        </w:rPr>
        <w:lastRenderedPageBreak/>
        <w:t xml:space="preserve">support occupations, the </w:t>
      </w:r>
      <w:r w:rsidR="007909FD" w:rsidRPr="007740AD">
        <w:rPr>
          <w:rFonts w:cstheme="minorHAnsi"/>
          <w:sz w:val="22"/>
          <w:szCs w:val="22"/>
        </w:rPr>
        <w:t xml:space="preserve">Protective service occupations sector, the Food preparation and serving related occupations sector, the Building and grounds cleaning and maintenance occupations sector, the </w:t>
      </w:r>
      <w:r w:rsidR="003E7343" w:rsidRPr="007740AD">
        <w:rPr>
          <w:rFonts w:cstheme="minorHAnsi"/>
          <w:sz w:val="22"/>
          <w:szCs w:val="22"/>
        </w:rPr>
        <w:t xml:space="preserve">Sales and related occupations sector, the Office and administrative support occupations, the Farming, fishing, and forestry occupations, the </w:t>
      </w:r>
      <w:r w:rsidR="000864EB" w:rsidRPr="007740AD">
        <w:rPr>
          <w:rFonts w:cstheme="minorHAnsi"/>
          <w:sz w:val="22"/>
          <w:szCs w:val="22"/>
        </w:rPr>
        <w:t xml:space="preserve">Construction and extraction occupations sector, the Installation, maintenance, and repair occupations and the </w:t>
      </w:r>
      <w:r w:rsidR="00F34F5D" w:rsidRPr="007740AD">
        <w:rPr>
          <w:rFonts w:cstheme="minorHAnsi"/>
          <w:sz w:val="22"/>
          <w:szCs w:val="22"/>
        </w:rPr>
        <w:t xml:space="preserve">Transportation and material moving occupations. All of these sectors had a location quotient of under 1 which means they have to buy imports to keep up with regional demand. </w:t>
      </w:r>
      <w:r w:rsidR="003F3F54" w:rsidRPr="007740AD">
        <w:rPr>
          <w:rFonts w:cstheme="minorHAnsi"/>
          <w:sz w:val="22"/>
          <w:szCs w:val="22"/>
        </w:rPr>
        <w:t xml:space="preserve">All data </w:t>
      </w:r>
      <w:r w:rsidR="006958AE" w:rsidRPr="007740AD">
        <w:rPr>
          <w:rFonts w:cstheme="minorHAnsi"/>
          <w:sz w:val="22"/>
          <w:szCs w:val="22"/>
        </w:rPr>
        <w:t xml:space="preserve">is from the </w:t>
      </w:r>
      <w:r w:rsidR="008762D0" w:rsidRPr="007740AD">
        <w:rPr>
          <w:rFonts w:cstheme="minorHAnsi"/>
          <w:b/>
          <w:bCs/>
          <w:sz w:val="22"/>
          <w:szCs w:val="22"/>
        </w:rPr>
        <w:t>Bureau of Labor Statistics</w:t>
      </w:r>
      <w:r w:rsidR="008762D0" w:rsidRPr="007740AD">
        <w:rPr>
          <w:rFonts w:cstheme="minorHAnsi"/>
          <w:sz w:val="22"/>
          <w:szCs w:val="22"/>
        </w:rPr>
        <w:t>.</w:t>
      </w:r>
      <w:r w:rsidR="004B088B" w:rsidRPr="007740AD">
        <w:rPr>
          <w:rFonts w:cstheme="minorHAnsi"/>
          <w:sz w:val="22"/>
          <w:szCs w:val="22"/>
        </w:rPr>
        <w:t xml:space="preserve"> </w:t>
      </w:r>
      <w:r w:rsidR="008B7B41" w:rsidRPr="007740AD">
        <w:rPr>
          <w:rFonts w:cstheme="minorHAnsi"/>
          <w:sz w:val="22"/>
          <w:szCs w:val="22"/>
        </w:rPr>
        <w:tab/>
      </w:r>
      <w:r w:rsidR="008B7B41" w:rsidRPr="007740AD">
        <w:rPr>
          <w:rFonts w:cstheme="minorHAnsi"/>
          <w:sz w:val="22"/>
          <w:szCs w:val="22"/>
        </w:rPr>
        <w:tab/>
      </w:r>
      <w:r w:rsidR="00AD228E">
        <w:rPr>
          <w:rFonts w:cstheme="minorHAnsi"/>
          <w:sz w:val="22"/>
          <w:szCs w:val="22"/>
        </w:rPr>
        <w:tab/>
      </w:r>
      <w:r w:rsidR="00AD228E">
        <w:rPr>
          <w:rFonts w:cstheme="minorHAnsi"/>
          <w:sz w:val="22"/>
          <w:szCs w:val="22"/>
        </w:rPr>
        <w:tab/>
      </w:r>
      <w:r w:rsidR="00AD228E">
        <w:rPr>
          <w:rFonts w:cstheme="minorHAnsi"/>
          <w:sz w:val="22"/>
          <w:szCs w:val="22"/>
        </w:rPr>
        <w:tab/>
      </w:r>
      <w:r w:rsidR="00FE4900">
        <w:rPr>
          <w:rFonts w:cstheme="minorHAnsi"/>
          <w:sz w:val="22"/>
          <w:szCs w:val="22"/>
        </w:rPr>
        <w:t xml:space="preserve">A </w:t>
      </w:r>
      <w:r w:rsidR="004B088B" w:rsidRPr="007740AD">
        <w:rPr>
          <w:rFonts w:cstheme="minorHAnsi"/>
          <w:b/>
          <w:bCs/>
          <w:sz w:val="22"/>
          <w:szCs w:val="22"/>
        </w:rPr>
        <w:t>Shift</w:t>
      </w:r>
      <w:r w:rsidR="00FE4900" w:rsidRPr="00654BFA">
        <w:rPr>
          <w:rFonts w:cstheme="minorHAnsi"/>
          <w:b/>
          <w:bCs/>
          <w:sz w:val="22"/>
          <w:szCs w:val="22"/>
        </w:rPr>
        <w:t>-</w:t>
      </w:r>
      <w:r w:rsidR="004B088B" w:rsidRPr="007740AD">
        <w:rPr>
          <w:rFonts w:cstheme="minorHAnsi"/>
          <w:b/>
          <w:bCs/>
          <w:sz w:val="22"/>
          <w:szCs w:val="22"/>
        </w:rPr>
        <w:t xml:space="preserve">Share </w:t>
      </w:r>
      <w:r w:rsidR="00FE4900" w:rsidRPr="00654BFA">
        <w:rPr>
          <w:rFonts w:cstheme="minorHAnsi"/>
          <w:b/>
          <w:bCs/>
          <w:sz w:val="22"/>
          <w:szCs w:val="22"/>
        </w:rPr>
        <w:t>Analysis</w:t>
      </w:r>
      <w:r w:rsidR="00FE4900">
        <w:rPr>
          <w:rFonts w:cstheme="minorHAnsi"/>
          <w:sz w:val="22"/>
          <w:szCs w:val="22"/>
        </w:rPr>
        <w:t xml:space="preserve"> </w:t>
      </w:r>
      <w:r w:rsidR="00311B0E">
        <w:rPr>
          <w:rFonts w:cstheme="minorHAnsi"/>
          <w:sz w:val="22"/>
          <w:szCs w:val="22"/>
        </w:rPr>
        <w:t>determines what p</w:t>
      </w:r>
      <w:r w:rsidR="006A2C63">
        <w:rPr>
          <w:rFonts w:cstheme="minorHAnsi"/>
          <w:sz w:val="22"/>
          <w:szCs w:val="22"/>
        </w:rPr>
        <w:t xml:space="preserve">ortions of </w:t>
      </w:r>
      <w:r w:rsidR="00395027">
        <w:rPr>
          <w:rFonts w:cstheme="minorHAnsi"/>
          <w:sz w:val="22"/>
          <w:szCs w:val="22"/>
        </w:rPr>
        <w:t xml:space="preserve">regional economic </w:t>
      </w:r>
      <w:r w:rsidR="009D72F8">
        <w:rPr>
          <w:rFonts w:cstheme="minorHAnsi"/>
          <w:sz w:val="22"/>
          <w:szCs w:val="22"/>
        </w:rPr>
        <w:t>growth or decline</w:t>
      </w:r>
      <w:r w:rsidR="004B088B" w:rsidRPr="007740AD">
        <w:rPr>
          <w:rFonts w:cstheme="minorHAnsi"/>
          <w:sz w:val="22"/>
          <w:szCs w:val="22"/>
        </w:rPr>
        <w:t xml:space="preserve"> can </w:t>
      </w:r>
      <w:r w:rsidR="00307953">
        <w:rPr>
          <w:rFonts w:cstheme="minorHAnsi"/>
          <w:sz w:val="22"/>
          <w:szCs w:val="22"/>
        </w:rPr>
        <w:t>be attributed to national,</w:t>
      </w:r>
      <w:r w:rsidR="001B4A70">
        <w:rPr>
          <w:rFonts w:cstheme="minorHAnsi"/>
          <w:sz w:val="22"/>
          <w:szCs w:val="22"/>
        </w:rPr>
        <w:t xml:space="preserve"> economic industry/occupational mix</w:t>
      </w:r>
      <w:r w:rsidR="002A5AF7">
        <w:rPr>
          <w:rFonts w:cstheme="minorHAnsi"/>
          <w:sz w:val="22"/>
          <w:szCs w:val="22"/>
        </w:rPr>
        <w:t>,</w:t>
      </w:r>
      <w:r w:rsidR="001B4A70">
        <w:rPr>
          <w:rFonts w:cstheme="minorHAnsi"/>
          <w:sz w:val="22"/>
          <w:szCs w:val="22"/>
        </w:rPr>
        <w:t xml:space="preserve"> or regional factors. </w:t>
      </w:r>
      <w:r w:rsidR="00C9224A" w:rsidRPr="007740AD">
        <w:rPr>
          <w:rFonts w:cstheme="minorHAnsi"/>
          <w:sz w:val="22"/>
          <w:szCs w:val="22"/>
        </w:rPr>
        <w:t xml:space="preserve"> </w:t>
      </w:r>
      <w:r w:rsidR="008053FC" w:rsidRPr="007740AD">
        <w:rPr>
          <w:rFonts w:cstheme="minorHAnsi"/>
          <w:sz w:val="22"/>
          <w:szCs w:val="22"/>
        </w:rPr>
        <w:t>In terms of job growth, the Minneapolis-St. Paul-Bloomington MN-WI MSA grew</w:t>
      </w:r>
      <w:r w:rsidR="008B7B41" w:rsidRPr="007740AD">
        <w:rPr>
          <w:rFonts w:cstheme="minorHAnsi"/>
          <w:sz w:val="22"/>
          <w:szCs w:val="22"/>
        </w:rPr>
        <w:t xml:space="preserve"> from 2009 to 2018</w:t>
      </w:r>
      <w:r w:rsidR="008053FC" w:rsidRPr="007740AD">
        <w:rPr>
          <w:rFonts w:cstheme="minorHAnsi"/>
          <w:sz w:val="22"/>
          <w:szCs w:val="22"/>
        </w:rPr>
        <w:t xml:space="preserve">. In 17/20 of </w:t>
      </w:r>
      <w:r w:rsidR="002A5AF7">
        <w:rPr>
          <w:rFonts w:cstheme="minorHAnsi"/>
          <w:sz w:val="22"/>
          <w:szCs w:val="22"/>
        </w:rPr>
        <w:t xml:space="preserve">the </w:t>
      </w:r>
      <w:r w:rsidR="008053FC" w:rsidRPr="007740AD">
        <w:rPr>
          <w:rFonts w:cstheme="minorHAnsi"/>
          <w:sz w:val="22"/>
          <w:szCs w:val="22"/>
        </w:rPr>
        <w:t>occupation sectors</w:t>
      </w:r>
      <w:r w:rsidR="002A5AF7">
        <w:rPr>
          <w:rFonts w:cstheme="minorHAnsi"/>
          <w:sz w:val="22"/>
          <w:szCs w:val="22"/>
        </w:rPr>
        <w:t>,</w:t>
      </w:r>
      <w:r w:rsidR="008053FC" w:rsidRPr="007740AD">
        <w:rPr>
          <w:rFonts w:cstheme="minorHAnsi"/>
          <w:sz w:val="22"/>
          <w:szCs w:val="22"/>
        </w:rPr>
        <w:t xml:space="preserve"> job growth was positive. The three </w:t>
      </w:r>
      <w:r w:rsidR="002A5AF7">
        <w:rPr>
          <w:rFonts w:cstheme="minorHAnsi"/>
          <w:sz w:val="22"/>
          <w:szCs w:val="22"/>
        </w:rPr>
        <w:t>negative sectors</w:t>
      </w:r>
      <w:r w:rsidR="008053FC" w:rsidRPr="007740AD">
        <w:rPr>
          <w:rFonts w:cstheme="minorHAnsi"/>
          <w:sz w:val="22"/>
          <w:szCs w:val="22"/>
        </w:rPr>
        <w:t xml:space="preserve"> were the Protective service occupations sector, the Life, physical, and social science occupations sector</w:t>
      </w:r>
      <w:r w:rsidR="002A5AF7">
        <w:rPr>
          <w:rFonts w:cstheme="minorHAnsi"/>
          <w:sz w:val="22"/>
          <w:szCs w:val="22"/>
        </w:rPr>
        <w:t>,</w:t>
      </w:r>
      <w:r w:rsidR="008053FC" w:rsidRPr="007740AD">
        <w:rPr>
          <w:rFonts w:cstheme="minorHAnsi"/>
          <w:sz w:val="22"/>
          <w:szCs w:val="22"/>
        </w:rPr>
        <w:t xml:space="preserve"> and the Office and administrative support occupations sector. The negative job growth in these three sectors w</w:t>
      </w:r>
      <w:r w:rsidR="002A5AF7">
        <w:rPr>
          <w:rFonts w:cstheme="minorHAnsi"/>
          <w:sz w:val="22"/>
          <w:szCs w:val="22"/>
        </w:rPr>
        <w:t>as</w:t>
      </w:r>
      <w:r w:rsidR="008053FC" w:rsidRPr="007740AD">
        <w:rPr>
          <w:rFonts w:cstheme="minorHAnsi"/>
          <w:sz w:val="22"/>
          <w:szCs w:val="22"/>
        </w:rPr>
        <w:t xml:space="preserve"> due to a loss in occupational mix. One sector did not lose or gain any jobs that w</w:t>
      </w:r>
      <w:r w:rsidR="002A5AF7">
        <w:rPr>
          <w:rFonts w:cstheme="minorHAnsi"/>
          <w:sz w:val="22"/>
          <w:szCs w:val="22"/>
        </w:rPr>
        <w:t>ere</w:t>
      </w:r>
      <w:r w:rsidR="008053FC" w:rsidRPr="007740AD">
        <w:rPr>
          <w:rFonts w:cstheme="minorHAnsi"/>
          <w:sz w:val="22"/>
          <w:szCs w:val="22"/>
        </w:rPr>
        <w:t xml:space="preserve"> the Sales and related occupations sector. For nine sectors including the Business and financial operations occupations, most of the job growth was due to </w:t>
      </w:r>
      <w:r w:rsidR="002A5AF7">
        <w:rPr>
          <w:rFonts w:cstheme="minorHAnsi"/>
          <w:sz w:val="22"/>
          <w:szCs w:val="22"/>
        </w:rPr>
        <w:t xml:space="preserve">the </w:t>
      </w:r>
      <w:r w:rsidR="008053FC" w:rsidRPr="007740AD">
        <w:rPr>
          <w:rFonts w:cstheme="minorHAnsi"/>
          <w:sz w:val="22"/>
          <w:szCs w:val="22"/>
        </w:rPr>
        <w:t xml:space="preserve">national share indicator, which means the sector gained most of their jobs from national trends. </w:t>
      </w:r>
      <w:r w:rsidR="0064488F" w:rsidRPr="007740AD">
        <w:rPr>
          <w:rFonts w:cstheme="minorHAnsi"/>
          <w:sz w:val="22"/>
          <w:szCs w:val="22"/>
        </w:rPr>
        <w:t>O</w:t>
      </w:r>
      <w:r w:rsidR="008053FC" w:rsidRPr="007740AD">
        <w:rPr>
          <w:rFonts w:cstheme="minorHAnsi"/>
          <w:sz w:val="22"/>
          <w:szCs w:val="22"/>
        </w:rPr>
        <w:t xml:space="preserve">ther sectors like the </w:t>
      </w:r>
      <w:proofErr w:type="gramStart"/>
      <w:r w:rsidR="008053FC" w:rsidRPr="007740AD">
        <w:rPr>
          <w:rFonts w:cstheme="minorHAnsi"/>
          <w:sz w:val="22"/>
          <w:szCs w:val="22"/>
        </w:rPr>
        <w:t>Personal</w:t>
      </w:r>
      <w:proofErr w:type="gramEnd"/>
      <w:r w:rsidR="008053FC" w:rsidRPr="007740AD">
        <w:rPr>
          <w:rFonts w:cstheme="minorHAnsi"/>
          <w:sz w:val="22"/>
          <w:szCs w:val="22"/>
        </w:rPr>
        <w:t xml:space="preserve"> care and service occupations sector saw job growth from the occupational mix indicator</w:t>
      </w:r>
      <w:r w:rsidR="0064488F" w:rsidRPr="007740AD">
        <w:rPr>
          <w:rFonts w:cstheme="minorHAnsi"/>
          <w:sz w:val="22"/>
          <w:szCs w:val="22"/>
        </w:rPr>
        <w:t xml:space="preserve">, which means </w:t>
      </w:r>
      <w:r w:rsidR="007740AD" w:rsidRPr="007740AD">
        <w:rPr>
          <w:rFonts w:cstheme="minorHAnsi"/>
          <w:sz w:val="22"/>
          <w:szCs w:val="22"/>
        </w:rPr>
        <w:t>that.</w:t>
      </w:r>
      <w:r w:rsidR="008053FC" w:rsidRPr="007740AD">
        <w:rPr>
          <w:rFonts w:cstheme="minorHAnsi"/>
          <w:sz w:val="22"/>
          <w:szCs w:val="22"/>
        </w:rPr>
        <w:t xml:space="preserve"> Not one sector saw most of its job growth from the regional share indicator in the MSA</w:t>
      </w:r>
      <w:r w:rsidR="008053FC" w:rsidRPr="007740AD">
        <w:rPr>
          <w:sz w:val="22"/>
          <w:szCs w:val="22"/>
        </w:rPr>
        <w:t>.</w:t>
      </w:r>
      <w:r w:rsidR="00654BFA">
        <w:rPr>
          <w:sz w:val="22"/>
          <w:szCs w:val="22"/>
        </w:rPr>
        <w:t xml:space="preserve"> All data was collected from the U.S. Census Bureau</w:t>
      </w:r>
    </w:p>
    <w:p w14:paraId="48FD7423" w14:textId="0B6404C0" w:rsidR="007740AD" w:rsidRPr="007740AD" w:rsidRDefault="007740AD" w:rsidP="008053FC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Income and Employment were higher than United States averages in the MSA, which once again shows a strong recovery for the MSA. The Gini Index, which measures income inequality is also lower in the MSA th</w:t>
      </w:r>
      <w:r w:rsidR="002A5AF7">
        <w:rPr>
          <w:sz w:val="22"/>
          <w:szCs w:val="22"/>
        </w:rPr>
        <w:t>a</w:t>
      </w:r>
      <w:r>
        <w:rPr>
          <w:sz w:val="22"/>
          <w:szCs w:val="22"/>
        </w:rPr>
        <w:t xml:space="preserve">n it is in the United States. Rising income inequality has become a major problem for the United States since the 2008 Great Recession. The MSA appears to have a better grasp </w:t>
      </w:r>
      <w:r w:rsidR="00EF2D25">
        <w:rPr>
          <w:sz w:val="22"/>
          <w:szCs w:val="22"/>
        </w:rPr>
        <w:t>on the issue</w:t>
      </w:r>
      <w:r w:rsidR="0005175D">
        <w:rPr>
          <w:sz w:val="22"/>
          <w:szCs w:val="22"/>
        </w:rPr>
        <w:t>s. Only three major occupational sectors recorded a loss o</w:t>
      </w:r>
      <w:r w:rsidR="002A5AF7">
        <w:rPr>
          <w:sz w:val="22"/>
          <w:szCs w:val="22"/>
        </w:rPr>
        <w:t>f</w:t>
      </w:r>
      <w:r w:rsidR="0005175D">
        <w:rPr>
          <w:sz w:val="22"/>
          <w:szCs w:val="22"/>
        </w:rPr>
        <w:t xml:space="preserve"> jobs in the MSA as well from 2009-</w:t>
      </w:r>
      <w:r w:rsidR="00714829">
        <w:rPr>
          <w:sz w:val="22"/>
          <w:szCs w:val="22"/>
        </w:rPr>
        <w:t>2018.</w:t>
      </w:r>
    </w:p>
    <w:p w14:paraId="1B25E637" w14:textId="181B5EAD" w:rsidR="004B5C31" w:rsidRPr="007740AD" w:rsidRDefault="00FE7BBF" w:rsidP="002A5AF7">
      <w:pPr>
        <w:spacing w:line="480" w:lineRule="auto"/>
        <w:jc w:val="center"/>
        <w:rPr>
          <w:b/>
          <w:bCs/>
          <w:sz w:val="22"/>
          <w:szCs w:val="22"/>
          <w:u w:val="single"/>
        </w:rPr>
      </w:pPr>
      <w:r w:rsidRPr="007740AD">
        <w:rPr>
          <w:b/>
          <w:bCs/>
          <w:sz w:val="22"/>
          <w:szCs w:val="22"/>
          <w:u w:val="single"/>
        </w:rPr>
        <w:lastRenderedPageBreak/>
        <w:t>Network Analysis</w:t>
      </w:r>
    </w:p>
    <w:p w14:paraId="15EA82CD" w14:textId="1716F672" w:rsidR="008D3776" w:rsidRDefault="005506C7" w:rsidP="00D22E02">
      <w:pPr>
        <w:spacing w:line="480" w:lineRule="auto"/>
        <w:rPr>
          <w:sz w:val="22"/>
          <w:szCs w:val="22"/>
        </w:rPr>
      </w:pPr>
      <w:r w:rsidRPr="007740AD">
        <w:rPr>
          <w:sz w:val="22"/>
          <w:szCs w:val="22"/>
        </w:rPr>
        <w:t xml:space="preserve">The MSA’s </w:t>
      </w:r>
      <w:r w:rsidR="00A66CCD" w:rsidRPr="007740AD">
        <w:rPr>
          <w:sz w:val="22"/>
          <w:szCs w:val="22"/>
        </w:rPr>
        <w:t>leading</w:t>
      </w:r>
      <w:r w:rsidRPr="007740AD">
        <w:rPr>
          <w:sz w:val="22"/>
          <w:szCs w:val="22"/>
        </w:rPr>
        <w:t xml:space="preserve"> employers</w:t>
      </w:r>
      <w:r w:rsidR="001678D4" w:rsidRPr="007740AD">
        <w:rPr>
          <w:sz w:val="22"/>
          <w:szCs w:val="22"/>
        </w:rPr>
        <w:t xml:space="preserve">, </w:t>
      </w:r>
      <w:r w:rsidR="00BD7F2D" w:rsidRPr="007740AD">
        <w:rPr>
          <w:sz w:val="22"/>
          <w:szCs w:val="22"/>
        </w:rPr>
        <w:t xml:space="preserve">the Manufacturing sector, the </w:t>
      </w:r>
      <w:r w:rsidR="0043696D" w:rsidRPr="007740AD">
        <w:rPr>
          <w:sz w:val="22"/>
          <w:szCs w:val="22"/>
        </w:rPr>
        <w:t>Education and Health Services</w:t>
      </w:r>
      <w:r w:rsidR="00463DD5" w:rsidRPr="007740AD">
        <w:rPr>
          <w:sz w:val="22"/>
          <w:szCs w:val="22"/>
        </w:rPr>
        <w:t xml:space="preserve">, the Financial Activities </w:t>
      </w:r>
      <w:r w:rsidR="009A293F" w:rsidRPr="007740AD">
        <w:rPr>
          <w:sz w:val="22"/>
          <w:szCs w:val="22"/>
        </w:rPr>
        <w:t>sector,</w:t>
      </w:r>
      <w:r w:rsidR="0043696D" w:rsidRPr="007740AD">
        <w:rPr>
          <w:sz w:val="22"/>
          <w:szCs w:val="22"/>
        </w:rPr>
        <w:t xml:space="preserve"> and the Professional and Business Activities sector</w:t>
      </w:r>
      <w:r w:rsidR="00D9353C" w:rsidRPr="007740AD">
        <w:rPr>
          <w:sz w:val="22"/>
          <w:szCs w:val="22"/>
        </w:rPr>
        <w:t>, do make up the</w:t>
      </w:r>
      <w:r w:rsidR="00463DD5" w:rsidRPr="007740AD">
        <w:rPr>
          <w:sz w:val="22"/>
          <w:szCs w:val="22"/>
        </w:rPr>
        <w:t xml:space="preserve"> majority of people who are on the Minnesota </w:t>
      </w:r>
      <w:r w:rsidR="00F07427" w:rsidRPr="007740AD">
        <w:rPr>
          <w:sz w:val="22"/>
          <w:szCs w:val="22"/>
        </w:rPr>
        <w:t>Chamber of Commerce’s Board</w:t>
      </w:r>
      <w:r w:rsidR="00F70E3D" w:rsidRPr="007740AD">
        <w:rPr>
          <w:sz w:val="22"/>
          <w:szCs w:val="22"/>
        </w:rPr>
        <w:t>.</w:t>
      </w:r>
      <w:r w:rsidR="00F70868">
        <w:rPr>
          <w:sz w:val="22"/>
          <w:szCs w:val="22"/>
        </w:rPr>
        <w:t xml:space="preserve"> </w:t>
      </w:r>
      <w:r w:rsidR="006D63A6">
        <w:rPr>
          <w:sz w:val="22"/>
          <w:szCs w:val="22"/>
        </w:rPr>
        <w:t>(See Charts on Page</w:t>
      </w:r>
      <w:r w:rsidR="002A5AF7">
        <w:rPr>
          <w:sz w:val="22"/>
          <w:szCs w:val="22"/>
        </w:rPr>
        <w:t>s</w:t>
      </w:r>
      <w:r w:rsidR="006D63A6">
        <w:rPr>
          <w:sz w:val="22"/>
          <w:szCs w:val="22"/>
        </w:rPr>
        <w:t xml:space="preserve"> 8 &amp; 9)</w:t>
      </w:r>
      <w:r w:rsidR="00B50D51">
        <w:rPr>
          <w:sz w:val="22"/>
          <w:szCs w:val="22"/>
        </w:rPr>
        <w:tab/>
      </w:r>
      <w:r w:rsidR="0009214C">
        <w:rPr>
          <w:sz w:val="22"/>
          <w:szCs w:val="22"/>
        </w:rPr>
        <w:t>This is common for many large cities</w:t>
      </w:r>
      <w:r w:rsidR="00E719E0">
        <w:rPr>
          <w:sz w:val="22"/>
          <w:szCs w:val="22"/>
        </w:rPr>
        <w:t>/regions</w:t>
      </w:r>
      <w:r w:rsidR="0009214C">
        <w:rPr>
          <w:sz w:val="22"/>
          <w:szCs w:val="22"/>
        </w:rPr>
        <w:t xml:space="preserve"> to have most of their</w:t>
      </w:r>
      <w:r w:rsidR="00E719E0">
        <w:rPr>
          <w:sz w:val="22"/>
          <w:szCs w:val="22"/>
        </w:rPr>
        <w:t xml:space="preserve"> chamber of commerce</w:t>
      </w:r>
      <w:r w:rsidR="00FB2B03">
        <w:rPr>
          <w:sz w:val="22"/>
          <w:szCs w:val="22"/>
        </w:rPr>
        <w:t xml:space="preserve"> board members</w:t>
      </w:r>
      <w:r w:rsidR="00E719E0">
        <w:rPr>
          <w:sz w:val="22"/>
          <w:szCs w:val="22"/>
        </w:rPr>
        <w:t xml:space="preserve"> to be</w:t>
      </w:r>
      <w:r w:rsidR="00FB2B03">
        <w:rPr>
          <w:sz w:val="22"/>
          <w:szCs w:val="22"/>
        </w:rPr>
        <w:t xml:space="preserve"> equal or approximate </w:t>
      </w:r>
      <w:r w:rsidR="00E350EF">
        <w:rPr>
          <w:sz w:val="22"/>
          <w:szCs w:val="22"/>
        </w:rPr>
        <w:t xml:space="preserve">to </w:t>
      </w:r>
      <w:r w:rsidR="00724CDA">
        <w:rPr>
          <w:sz w:val="22"/>
          <w:szCs w:val="22"/>
        </w:rPr>
        <w:t>the number of people employ</w:t>
      </w:r>
      <w:r w:rsidR="006147B2">
        <w:rPr>
          <w:sz w:val="22"/>
          <w:szCs w:val="22"/>
        </w:rPr>
        <w:t>ed</w:t>
      </w:r>
      <w:r w:rsidR="00724CDA">
        <w:rPr>
          <w:sz w:val="22"/>
          <w:szCs w:val="22"/>
        </w:rPr>
        <w:t xml:space="preserve"> in an occupational sector. </w:t>
      </w:r>
      <w:r w:rsidR="008561A8">
        <w:rPr>
          <w:sz w:val="22"/>
          <w:szCs w:val="22"/>
        </w:rPr>
        <w:t>(</w:t>
      </w:r>
      <w:proofErr w:type="gramStart"/>
      <w:r w:rsidR="008561A8">
        <w:rPr>
          <w:sz w:val="22"/>
          <w:szCs w:val="22"/>
        </w:rPr>
        <w:t>de</w:t>
      </w:r>
      <w:proofErr w:type="gramEnd"/>
      <w:r w:rsidR="008561A8">
        <w:rPr>
          <w:sz w:val="22"/>
          <w:szCs w:val="22"/>
        </w:rPr>
        <w:t xml:space="preserve"> Socio, 2010)</w:t>
      </w:r>
    </w:p>
    <w:p w14:paraId="3EA77946" w14:textId="77777777" w:rsidR="00FB2B03" w:rsidRPr="007740AD" w:rsidRDefault="00FB2B03" w:rsidP="00024786">
      <w:pPr>
        <w:spacing w:line="480" w:lineRule="auto"/>
        <w:rPr>
          <w:sz w:val="22"/>
          <w:szCs w:val="22"/>
        </w:rPr>
      </w:pPr>
    </w:p>
    <w:p w14:paraId="0952464A" w14:textId="5DB1F569" w:rsidR="00F838B9" w:rsidRDefault="00F838B9" w:rsidP="00024786">
      <w:pPr>
        <w:spacing w:line="480" w:lineRule="auto"/>
        <w:rPr>
          <w:rFonts w:cstheme="minorHAnsi"/>
          <w:sz w:val="22"/>
          <w:szCs w:val="22"/>
        </w:rPr>
      </w:pPr>
      <w:r w:rsidRPr="007740AD">
        <w:rPr>
          <w:noProof/>
          <w:sz w:val="22"/>
          <w:szCs w:val="22"/>
        </w:rPr>
        <w:drawing>
          <wp:inline distT="0" distB="0" distL="0" distR="0" wp14:anchorId="301720C2" wp14:editId="763E3D40">
            <wp:extent cx="576262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C9B754A-7FA5-4D16-8266-79336023B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8F5B35" w14:textId="27D35118" w:rsidR="007E19DD" w:rsidRPr="007740AD" w:rsidRDefault="009A3C80" w:rsidP="00024786">
      <w:pPr>
        <w:spacing w:line="480" w:lineRule="auto"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DADC2F" wp14:editId="59A540EE">
            <wp:extent cx="5781675" cy="2743200"/>
            <wp:effectExtent l="0" t="0" r="952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617F4BF-1CEA-4305-888D-8E39CE03E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1BDC22" w14:textId="4081AAA4" w:rsidR="008D3776" w:rsidRPr="007740AD" w:rsidRDefault="00600FF3" w:rsidP="00562867">
      <w:pPr>
        <w:jc w:val="center"/>
        <w:rPr>
          <w:b/>
          <w:bCs/>
          <w:sz w:val="22"/>
          <w:szCs w:val="22"/>
        </w:rPr>
      </w:pPr>
      <w:r w:rsidRPr="007740AD">
        <w:rPr>
          <w:b/>
          <w:bCs/>
          <w:sz w:val="22"/>
          <w:szCs w:val="22"/>
        </w:rPr>
        <w:t>(Data from the Minnesota Chamber of Commerce)</w:t>
      </w:r>
    </w:p>
    <w:p w14:paraId="2C7DBA1F" w14:textId="44E043C9" w:rsidR="00AB111C" w:rsidRPr="007740AD" w:rsidRDefault="00AB111C" w:rsidP="008D3776">
      <w:pPr>
        <w:jc w:val="right"/>
        <w:rPr>
          <w:sz w:val="22"/>
          <w:szCs w:val="22"/>
        </w:rPr>
      </w:pPr>
    </w:p>
    <w:p w14:paraId="6A954DE8" w14:textId="252E9090" w:rsidR="00F838B9" w:rsidRPr="007740AD" w:rsidRDefault="00B1190F" w:rsidP="00F838B9">
      <w:pPr>
        <w:jc w:val="center"/>
        <w:rPr>
          <w:b/>
          <w:bCs/>
          <w:sz w:val="22"/>
          <w:szCs w:val="22"/>
          <w:u w:val="single"/>
        </w:rPr>
      </w:pPr>
      <w:r w:rsidRPr="007740AD">
        <w:rPr>
          <w:b/>
          <w:bCs/>
          <w:sz w:val="22"/>
          <w:szCs w:val="22"/>
          <w:u w:val="single"/>
        </w:rPr>
        <w:t>Human Capital</w:t>
      </w:r>
    </w:p>
    <w:p w14:paraId="066C9D7D" w14:textId="0FE2683B" w:rsidR="00B1190F" w:rsidRPr="007740AD" w:rsidRDefault="00B1190F" w:rsidP="00B1190F">
      <w:pPr>
        <w:rPr>
          <w:b/>
          <w:bCs/>
          <w:sz w:val="22"/>
          <w:szCs w:val="22"/>
          <w:u w:val="single"/>
        </w:rPr>
      </w:pPr>
    </w:p>
    <w:p w14:paraId="3E33B1A1" w14:textId="3D33AC60" w:rsidR="0048360F" w:rsidRPr="00E55626" w:rsidRDefault="00B1190F" w:rsidP="00A2056F">
      <w:pPr>
        <w:spacing w:line="480" w:lineRule="auto"/>
        <w:rPr>
          <w:rFonts w:cstheme="minorHAnsi"/>
          <w:sz w:val="22"/>
          <w:szCs w:val="22"/>
        </w:rPr>
      </w:pPr>
      <w:r w:rsidRPr="007740AD">
        <w:rPr>
          <w:rFonts w:cstheme="minorHAnsi"/>
          <w:sz w:val="22"/>
          <w:szCs w:val="22"/>
        </w:rPr>
        <w:t>Educational Attainment in the Minneapolis-St. Paul-Bloomington MN-WI MSA</w:t>
      </w:r>
      <w:r w:rsidR="009265F1" w:rsidRPr="007740AD">
        <w:rPr>
          <w:rFonts w:cstheme="minorHAnsi"/>
          <w:sz w:val="22"/>
          <w:szCs w:val="22"/>
        </w:rPr>
        <w:t xml:space="preserve"> </w:t>
      </w:r>
      <w:r w:rsidR="003B1513" w:rsidRPr="007740AD">
        <w:rPr>
          <w:rFonts w:cstheme="minorHAnsi"/>
          <w:sz w:val="22"/>
          <w:szCs w:val="22"/>
        </w:rPr>
        <w:t xml:space="preserve">showed that the MSA had more </w:t>
      </w:r>
      <w:r w:rsidR="00A2056F" w:rsidRPr="007740AD">
        <w:rPr>
          <w:rFonts w:cstheme="minorHAnsi"/>
          <w:sz w:val="22"/>
          <w:szCs w:val="22"/>
        </w:rPr>
        <w:t>residents who</w:t>
      </w:r>
      <w:r w:rsidR="003B1513" w:rsidRPr="007740AD">
        <w:rPr>
          <w:rFonts w:cstheme="minorHAnsi"/>
          <w:sz w:val="22"/>
          <w:szCs w:val="22"/>
        </w:rPr>
        <w:t xml:space="preserve"> ha</w:t>
      </w:r>
      <w:r w:rsidR="00A2056F" w:rsidRPr="007740AD">
        <w:rPr>
          <w:rFonts w:cstheme="minorHAnsi"/>
          <w:sz w:val="22"/>
          <w:szCs w:val="22"/>
        </w:rPr>
        <w:t>ve</w:t>
      </w:r>
      <w:r w:rsidR="003B1513" w:rsidRPr="007740AD">
        <w:rPr>
          <w:rFonts w:cstheme="minorHAnsi"/>
          <w:sz w:val="22"/>
          <w:szCs w:val="22"/>
        </w:rPr>
        <w:t xml:space="preserve"> obtained </w:t>
      </w:r>
      <w:r w:rsidR="00A2056F" w:rsidRPr="007740AD">
        <w:rPr>
          <w:rFonts w:cstheme="minorHAnsi"/>
          <w:sz w:val="22"/>
          <w:szCs w:val="22"/>
        </w:rPr>
        <w:t xml:space="preserve">an associate degree or higher than United States residents have as a whole. </w:t>
      </w:r>
      <w:r w:rsidR="00A20414" w:rsidRPr="007740AD">
        <w:rPr>
          <w:rFonts w:cstheme="minorHAnsi"/>
          <w:sz w:val="22"/>
          <w:szCs w:val="22"/>
        </w:rPr>
        <w:t>Also,</w:t>
      </w:r>
      <w:r w:rsidR="00A2056F" w:rsidRPr="007740AD">
        <w:rPr>
          <w:rFonts w:cstheme="minorHAnsi"/>
          <w:sz w:val="22"/>
          <w:szCs w:val="22"/>
        </w:rPr>
        <w:t xml:space="preserve"> the MSA has </w:t>
      </w:r>
      <w:r w:rsidR="009656FE">
        <w:rPr>
          <w:rFonts w:cstheme="minorHAnsi"/>
          <w:sz w:val="22"/>
          <w:szCs w:val="22"/>
        </w:rPr>
        <w:t>fewer</w:t>
      </w:r>
      <w:r w:rsidR="00A2056F" w:rsidRPr="007740AD">
        <w:rPr>
          <w:rFonts w:cstheme="minorHAnsi"/>
          <w:sz w:val="22"/>
          <w:szCs w:val="22"/>
        </w:rPr>
        <w:t xml:space="preserve"> residents that</w:t>
      </w:r>
      <w:r w:rsidR="009656FE">
        <w:rPr>
          <w:rFonts w:cstheme="minorHAnsi"/>
          <w:sz w:val="22"/>
          <w:szCs w:val="22"/>
        </w:rPr>
        <w:t xml:space="preserve"> had a </w:t>
      </w:r>
      <w:r w:rsidR="00BC7E44" w:rsidRPr="007740AD">
        <w:rPr>
          <w:rFonts w:cstheme="minorHAnsi"/>
          <w:sz w:val="22"/>
          <w:szCs w:val="22"/>
        </w:rPr>
        <w:t>final level of education</w:t>
      </w:r>
      <w:r w:rsidR="009656FE">
        <w:rPr>
          <w:rFonts w:cstheme="minorHAnsi"/>
          <w:sz w:val="22"/>
          <w:szCs w:val="22"/>
        </w:rPr>
        <w:t xml:space="preserve"> who </w:t>
      </w:r>
      <w:r w:rsidR="00213149" w:rsidRPr="007740AD">
        <w:rPr>
          <w:rFonts w:cstheme="minorHAnsi"/>
          <w:sz w:val="22"/>
          <w:szCs w:val="22"/>
        </w:rPr>
        <w:t>had</w:t>
      </w:r>
      <w:r w:rsidR="00A2056F" w:rsidRPr="007740AD">
        <w:rPr>
          <w:rFonts w:cstheme="minorHAnsi"/>
          <w:sz w:val="22"/>
          <w:szCs w:val="22"/>
        </w:rPr>
        <w:t xml:space="preserve"> completed some college</w:t>
      </w:r>
      <w:r w:rsidR="000346A9" w:rsidRPr="007740AD">
        <w:rPr>
          <w:rFonts w:cstheme="minorHAnsi"/>
          <w:sz w:val="22"/>
          <w:szCs w:val="22"/>
        </w:rPr>
        <w:t>, but with no degree</w:t>
      </w:r>
      <w:r w:rsidR="00BC7E44" w:rsidRPr="007740AD">
        <w:rPr>
          <w:rFonts w:cstheme="minorHAnsi"/>
          <w:sz w:val="22"/>
          <w:szCs w:val="22"/>
        </w:rPr>
        <w:t xml:space="preserve">, </w:t>
      </w:r>
      <w:r w:rsidR="004D215E" w:rsidRPr="007740AD">
        <w:rPr>
          <w:rFonts w:cstheme="minorHAnsi"/>
          <w:sz w:val="22"/>
          <w:szCs w:val="22"/>
        </w:rPr>
        <w:t xml:space="preserve">high school graduate (includes equivalency), </w:t>
      </w:r>
      <w:r w:rsidR="00860F3E" w:rsidRPr="007740AD">
        <w:rPr>
          <w:rFonts w:cstheme="minorHAnsi"/>
          <w:sz w:val="22"/>
          <w:szCs w:val="22"/>
        </w:rPr>
        <w:t>9</w:t>
      </w:r>
      <w:r w:rsidR="00860F3E" w:rsidRPr="007740AD">
        <w:rPr>
          <w:rFonts w:cstheme="minorHAnsi"/>
          <w:sz w:val="22"/>
          <w:szCs w:val="22"/>
          <w:vertAlign w:val="superscript"/>
        </w:rPr>
        <w:t>th</w:t>
      </w:r>
      <w:r w:rsidR="00860F3E" w:rsidRPr="007740AD">
        <w:rPr>
          <w:rFonts w:cstheme="minorHAnsi"/>
          <w:sz w:val="22"/>
          <w:szCs w:val="22"/>
        </w:rPr>
        <w:t xml:space="preserve"> to 12</w:t>
      </w:r>
      <w:r w:rsidR="00860F3E" w:rsidRPr="007740AD">
        <w:rPr>
          <w:rFonts w:cstheme="minorHAnsi"/>
          <w:sz w:val="22"/>
          <w:szCs w:val="22"/>
          <w:vertAlign w:val="superscript"/>
        </w:rPr>
        <w:t>th</w:t>
      </w:r>
      <w:r w:rsidR="00860F3E" w:rsidRPr="007740AD">
        <w:rPr>
          <w:rFonts w:cstheme="minorHAnsi"/>
          <w:sz w:val="22"/>
          <w:szCs w:val="22"/>
        </w:rPr>
        <w:t xml:space="preserve"> grade with no diploma, and less than a 9</w:t>
      </w:r>
      <w:r w:rsidR="00860F3E" w:rsidRPr="007740AD">
        <w:rPr>
          <w:rFonts w:cstheme="minorHAnsi"/>
          <w:sz w:val="22"/>
          <w:szCs w:val="22"/>
          <w:vertAlign w:val="superscript"/>
        </w:rPr>
        <w:t>th</w:t>
      </w:r>
      <w:r w:rsidR="009656FE">
        <w:rPr>
          <w:rFonts w:cstheme="minorHAnsi"/>
          <w:sz w:val="22"/>
          <w:szCs w:val="22"/>
        </w:rPr>
        <w:t>-</w:t>
      </w:r>
      <w:r w:rsidR="00860F3E" w:rsidRPr="007740AD">
        <w:rPr>
          <w:rFonts w:cstheme="minorHAnsi"/>
          <w:sz w:val="22"/>
          <w:szCs w:val="22"/>
        </w:rPr>
        <w:t xml:space="preserve">grade level </w:t>
      </w:r>
      <w:r w:rsidR="00876E9D" w:rsidRPr="007740AD">
        <w:rPr>
          <w:rFonts w:cstheme="minorHAnsi"/>
          <w:sz w:val="22"/>
          <w:szCs w:val="22"/>
        </w:rPr>
        <w:t xml:space="preserve">than the United States residents did as a whole. </w:t>
      </w:r>
      <w:r w:rsidR="00004EFD" w:rsidRPr="007740AD">
        <w:rPr>
          <w:rFonts w:cstheme="minorHAnsi"/>
          <w:sz w:val="22"/>
          <w:szCs w:val="22"/>
        </w:rPr>
        <w:t>However, the Minneapolis-St. Paul-Bloomington MN-WI MSA</w:t>
      </w:r>
      <w:r w:rsidR="008D6270" w:rsidRPr="007740AD">
        <w:rPr>
          <w:rFonts w:cstheme="minorHAnsi"/>
          <w:sz w:val="22"/>
          <w:szCs w:val="22"/>
        </w:rPr>
        <w:t xml:space="preserve"> does</w:t>
      </w:r>
      <w:r w:rsidR="00004EFD" w:rsidRPr="007740AD">
        <w:rPr>
          <w:rFonts w:cstheme="minorHAnsi"/>
          <w:sz w:val="22"/>
          <w:szCs w:val="22"/>
        </w:rPr>
        <w:t xml:space="preserve"> </w:t>
      </w:r>
      <w:r w:rsidR="002A5EAD" w:rsidRPr="007740AD">
        <w:rPr>
          <w:rFonts w:cstheme="minorHAnsi"/>
          <w:sz w:val="22"/>
          <w:szCs w:val="22"/>
        </w:rPr>
        <w:t xml:space="preserve">have </w:t>
      </w:r>
      <w:r w:rsidR="002D1DDE" w:rsidRPr="007740AD">
        <w:rPr>
          <w:rFonts w:cstheme="minorHAnsi"/>
          <w:sz w:val="22"/>
          <w:szCs w:val="22"/>
        </w:rPr>
        <w:t xml:space="preserve">more whites obtaining </w:t>
      </w:r>
      <w:r w:rsidR="00B12EDE" w:rsidRPr="007740AD">
        <w:rPr>
          <w:rFonts w:cstheme="minorHAnsi"/>
          <w:sz w:val="22"/>
          <w:szCs w:val="22"/>
        </w:rPr>
        <w:t xml:space="preserve">high school </w:t>
      </w:r>
      <w:r w:rsidR="002D1DDE" w:rsidRPr="007740AD">
        <w:rPr>
          <w:rFonts w:cstheme="minorHAnsi"/>
          <w:sz w:val="22"/>
          <w:szCs w:val="22"/>
        </w:rPr>
        <w:t xml:space="preserve">diplomas and </w:t>
      </w:r>
      <w:r w:rsidR="00A20414" w:rsidRPr="007740AD">
        <w:rPr>
          <w:rFonts w:cstheme="minorHAnsi"/>
          <w:sz w:val="22"/>
          <w:szCs w:val="22"/>
        </w:rPr>
        <w:t>bachelor’s</w:t>
      </w:r>
      <w:r w:rsidR="002D1DDE" w:rsidRPr="007740AD">
        <w:rPr>
          <w:rFonts w:cstheme="minorHAnsi"/>
          <w:sz w:val="22"/>
          <w:szCs w:val="22"/>
        </w:rPr>
        <w:t xml:space="preserve"> degrees than blacks do </w:t>
      </w:r>
      <w:r w:rsidR="00B12EDE" w:rsidRPr="007740AD">
        <w:rPr>
          <w:rFonts w:cstheme="minorHAnsi"/>
          <w:sz w:val="22"/>
          <w:szCs w:val="22"/>
        </w:rPr>
        <w:t xml:space="preserve">compare to the </w:t>
      </w:r>
      <w:r w:rsidR="002D1DDE" w:rsidRPr="007740AD">
        <w:rPr>
          <w:rFonts w:cstheme="minorHAnsi"/>
          <w:sz w:val="22"/>
          <w:szCs w:val="22"/>
        </w:rPr>
        <w:t xml:space="preserve">United States as a whole, by quite a </w:t>
      </w:r>
      <w:r w:rsidR="00B12EDE" w:rsidRPr="007740AD">
        <w:rPr>
          <w:rFonts w:cstheme="minorHAnsi"/>
          <w:sz w:val="22"/>
          <w:szCs w:val="22"/>
        </w:rPr>
        <w:t>substantial margin, which is a s</w:t>
      </w:r>
      <w:r w:rsidR="004A3885" w:rsidRPr="007740AD">
        <w:rPr>
          <w:rFonts w:cstheme="minorHAnsi"/>
          <w:sz w:val="22"/>
          <w:szCs w:val="22"/>
        </w:rPr>
        <w:t>ource of inequality in the region</w:t>
      </w:r>
      <w:r w:rsidR="00C94FDC" w:rsidRPr="007740AD">
        <w:rPr>
          <w:rFonts w:cstheme="minorHAnsi"/>
          <w:sz w:val="22"/>
          <w:szCs w:val="22"/>
        </w:rPr>
        <w:t>.</w:t>
      </w:r>
      <w:r w:rsidR="006B6EB8">
        <w:rPr>
          <w:rFonts w:cstheme="minorHAnsi"/>
          <w:sz w:val="22"/>
          <w:szCs w:val="22"/>
        </w:rPr>
        <w:t xml:space="preserve"> </w:t>
      </w:r>
      <w:r w:rsidR="00841194">
        <w:rPr>
          <w:rFonts w:cstheme="minorHAnsi"/>
          <w:sz w:val="22"/>
          <w:szCs w:val="22"/>
        </w:rPr>
        <w:t>(</w:t>
      </w:r>
      <w:r w:rsidR="00841194" w:rsidRPr="007740AD">
        <w:rPr>
          <w:rFonts w:cstheme="minorHAnsi"/>
          <w:sz w:val="22"/>
          <w:szCs w:val="22"/>
        </w:rPr>
        <w:t xml:space="preserve">See Charts </w:t>
      </w:r>
      <w:r w:rsidR="00A06CF4">
        <w:rPr>
          <w:rFonts w:cstheme="minorHAnsi"/>
          <w:sz w:val="22"/>
          <w:szCs w:val="22"/>
        </w:rPr>
        <w:t>on</w:t>
      </w:r>
      <w:r w:rsidR="00841194">
        <w:rPr>
          <w:rFonts w:cstheme="minorHAnsi"/>
          <w:sz w:val="22"/>
          <w:szCs w:val="22"/>
        </w:rPr>
        <w:t xml:space="preserve"> </w:t>
      </w:r>
      <w:r w:rsidR="00A06CF4">
        <w:rPr>
          <w:rFonts w:cstheme="minorHAnsi"/>
          <w:sz w:val="22"/>
          <w:szCs w:val="22"/>
        </w:rPr>
        <w:t>pg.</w:t>
      </w:r>
      <w:r w:rsidR="00841194">
        <w:rPr>
          <w:rFonts w:cstheme="minorHAnsi"/>
          <w:sz w:val="22"/>
          <w:szCs w:val="22"/>
        </w:rPr>
        <w:t>10)</w:t>
      </w:r>
      <w:r w:rsidR="00C16AB3">
        <w:rPr>
          <w:rFonts w:cstheme="minorHAnsi"/>
          <w:sz w:val="22"/>
          <w:szCs w:val="22"/>
        </w:rPr>
        <w:t xml:space="preserve"> </w:t>
      </w:r>
      <w:r w:rsidR="00841194">
        <w:rPr>
          <w:rFonts w:cstheme="minorHAnsi"/>
          <w:sz w:val="22"/>
          <w:szCs w:val="22"/>
        </w:rPr>
        <w:tab/>
      </w:r>
      <w:r w:rsidR="009656FE">
        <w:rPr>
          <w:rFonts w:cstheme="minorHAnsi"/>
          <w:sz w:val="22"/>
          <w:szCs w:val="22"/>
        </w:rPr>
        <w:tab/>
      </w:r>
      <w:r w:rsidR="009656FE">
        <w:rPr>
          <w:rFonts w:cstheme="minorHAnsi"/>
          <w:sz w:val="22"/>
          <w:szCs w:val="22"/>
        </w:rPr>
        <w:tab/>
      </w:r>
      <w:r w:rsidR="009656FE">
        <w:rPr>
          <w:rFonts w:cstheme="minorHAnsi"/>
          <w:sz w:val="22"/>
          <w:szCs w:val="22"/>
        </w:rPr>
        <w:tab/>
      </w:r>
      <w:r w:rsidR="00C16AB3">
        <w:rPr>
          <w:rFonts w:cstheme="minorHAnsi"/>
          <w:sz w:val="22"/>
          <w:szCs w:val="22"/>
        </w:rPr>
        <w:t xml:space="preserve">Economic growth </w:t>
      </w:r>
      <w:r w:rsidR="00441702">
        <w:rPr>
          <w:rFonts w:cstheme="minorHAnsi"/>
          <w:sz w:val="22"/>
          <w:szCs w:val="22"/>
        </w:rPr>
        <w:t xml:space="preserve">has typically </w:t>
      </w:r>
      <w:r w:rsidR="00B71240">
        <w:rPr>
          <w:rFonts w:cstheme="minorHAnsi"/>
          <w:sz w:val="22"/>
          <w:szCs w:val="22"/>
        </w:rPr>
        <w:t>occurred</w:t>
      </w:r>
      <w:r w:rsidR="00441702">
        <w:rPr>
          <w:rFonts w:cstheme="minorHAnsi"/>
          <w:sz w:val="22"/>
          <w:szCs w:val="22"/>
        </w:rPr>
        <w:t xml:space="preserve"> when there </w:t>
      </w:r>
      <w:r w:rsidR="00240324">
        <w:rPr>
          <w:rFonts w:cstheme="minorHAnsi"/>
          <w:sz w:val="22"/>
          <w:szCs w:val="22"/>
        </w:rPr>
        <w:t>are</w:t>
      </w:r>
      <w:r w:rsidR="00441702">
        <w:rPr>
          <w:rFonts w:cstheme="minorHAnsi"/>
          <w:sz w:val="22"/>
          <w:szCs w:val="22"/>
        </w:rPr>
        <w:t xml:space="preserve"> higher levels of human capital.</w:t>
      </w:r>
      <w:r w:rsidR="00B71240">
        <w:rPr>
          <w:rFonts w:cstheme="minorHAnsi"/>
          <w:sz w:val="22"/>
          <w:szCs w:val="22"/>
        </w:rPr>
        <w:t xml:space="preserve"> Although the studies are limited to the past few decades,</w:t>
      </w:r>
      <w:r w:rsidR="00240324">
        <w:rPr>
          <w:rFonts w:cstheme="minorHAnsi"/>
          <w:sz w:val="22"/>
          <w:szCs w:val="22"/>
        </w:rPr>
        <w:t xml:space="preserve"> even developing countries with higher levels of </w:t>
      </w:r>
      <w:r w:rsidR="00841194">
        <w:rPr>
          <w:rFonts w:cstheme="minorHAnsi"/>
          <w:sz w:val="22"/>
          <w:szCs w:val="22"/>
        </w:rPr>
        <w:t xml:space="preserve">human capital are starting to catch up </w:t>
      </w:r>
      <w:r w:rsidR="002A5AF7">
        <w:rPr>
          <w:rFonts w:cstheme="minorHAnsi"/>
          <w:sz w:val="22"/>
          <w:szCs w:val="22"/>
        </w:rPr>
        <w:t xml:space="preserve">with </w:t>
      </w:r>
      <w:r w:rsidR="00841194">
        <w:rPr>
          <w:rFonts w:cstheme="minorHAnsi"/>
          <w:sz w:val="22"/>
          <w:szCs w:val="22"/>
        </w:rPr>
        <w:t>the rest of the world.</w:t>
      </w:r>
      <w:r w:rsidR="00B71240">
        <w:rPr>
          <w:rFonts w:cstheme="minorHAnsi"/>
          <w:sz w:val="22"/>
          <w:szCs w:val="22"/>
        </w:rPr>
        <w:t xml:space="preserve"> </w:t>
      </w:r>
      <w:r w:rsidR="00C94FDC" w:rsidRPr="007740AD">
        <w:rPr>
          <w:rFonts w:cstheme="minorHAnsi"/>
          <w:sz w:val="22"/>
          <w:szCs w:val="22"/>
        </w:rPr>
        <w:t xml:space="preserve"> </w:t>
      </w:r>
      <w:r w:rsidR="00E55626">
        <w:rPr>
          <w:rFonts w:cstheme="minorHAnsi"/>
          <w:sz w:val="22"/>
          <w:szCs w:val="22"/>
        </w:rPr>
        <w:t>(Fag</w:t>
      </w:r>
      <w:r w:rsidR="00F30952">
        <w:rPr>
          <w:rFonts w:cstheme="minorHAnsi"/>
          <w:sz w:val="22"/>
          <w:szCs w:val="22"/>
        </w:rPr>
        <w:t>gian</w:t>
      </w:r>
      <w:r w:rsidR="00E55626">
        <w:rPr>
          <w:rFonts w:cstheme="minorHAnsi"/>
          <w:sz w:val="22"/>
          <w:szCs w:val="22"/>
        </w:rPr>
        <w:t xml:space="preserve"> and</w:t>
      </w:r>
      <w:r w:rsidR="00F30952">
        <w:rPr>
          <w:rFonts w:cstheme="minorHAnsi"/>
          <w:sz w:val="22"/>
          <w:szCs w:val="22"/>
        </w:rPr>
        <w:t xml:space="preserve"> </w:t>
      </w:r>
      <w:r w:rsidR="00264E54">
        <w:rPr>
          <w:rFonts w:cstheme="minorHAnsi"/>
          <w:sz w:val="22"/>
          <w:szCs w:val="22"/>
        </w:rPr>
        <w:t>McCann, 2009)</w:t>
      </w:r>
      <w:r w:rsidR="00E55626">
        <w:rPr>
          <w:rFonts w:cstheme="minorHAnsi"/>
          <w:sz w:val="22"/>
          <w:szCs w:val="22"/>
        </w:rPr>
        <w:t xml:space="preserve"> </w:t>
      </w:r>
    </w:p>
    <w:p w14:paraId="0B301F18" w14:textId="1AD55003" w:rsidR="00AB111C" w:rsidRPr="007740AD" w:rsidRDefault="0048360F" w:rsidP="00B1190F">
      <w:pPr>
        <w:rPr>
          <w:sz w:val="22"/>
          <w:szCs w:val="22"/>
        </w:rPr>
      </w:pPr>
      <w:r w:rsidRPr="007740AD">
        <w:rPr>
          <w:noProof/>
          <w:sz w:val="22"/>
          <w:szCs w:val="22"/>
        </w:rPr>
        <w:lastRenderedPageBreak/>
        <w:drawing>
          <wp:inline distT="0" distB="0" distL="0" distR="0" wp14:anchorId="046B410F" wp14:editId="092D2F70">
            <wp:extent cx="5962650" cy="2766695"/>
            <wp:effectExtent l="0" t="0" r="0" b="146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1A47857-0B48-4707-832D-E25B950D2A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B1190F" w:rsidRPr="007740AD">
        <w:rPr>
          <w:rFonts w:cstheme="minorHAnsi"/>
          <w:sz w:val="22"/>
          <w:szCs w:val="22"/>
        </w:rPr>
        <w:t xml:space="preserve"> </w:t>
      </w:r>
    </w:p>
    <w:p w14:paraId="4BD0C463" w14:textId="230AEE72" w:rsidR="00AB111C" w:rsidRPr="007740AD" w:rsidRDefault="00AB111C" w:rsidP="008D3776">
      <w:pPr>
        <w:jc w:val="right"/>
        <w:rPr>
          <w:sz w:val="22"/>
          <w:szCs w:val="22"/>
        </w:rPr>
      </w:pPr>
    </w:p>
    <w:p w14:paraId="756A5524" w14:textId="0B513C18" w:rsidR="00AB111C" w:rsidRPr="007740AD" w:rsidRDefault="00AB111C" w:rsidP="008D3776">
      <w:pPr>
        <w:jc w:val="right"/>
        <w:rPr>
          <w:sz w:val="22"/>
          <w:szCs w:val="22"/>
        </w:rPr>
      </w:pPr>
    </w:p>
    <w:p w14:paraId="467B1B7E" w14:textId="791CD7AB" w:rsidR="00AB111C" w:rsidRPr="007740AD" w:rsidRDefault="00C94FDC" w:rsidP="008D3776">
      <w:pPr>
        <w:jc w:val="right"/>
        <w:rPr>
          <w:sz w:val="22"/>
          <w:szCs w:val="22"/>
        </w:rPr>
      </w:pPr>
      <w:r w:rsidRPr="007740AD">
        <w:rPr>
          <w:noProof/>
          <w:sz w:val="22"/>
          <w:szCs w:val="22"/>
        </w:rPr>
        <w:drawing>
          <wp:inline distT="0" distB="0" distL="0" distR="0" wp14:anchorId="494BB0B0" wp14:editId="6AF9B366">
            <wp:extent cx="5934075" cy="274320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D20E97C-0F32-40AB-8ED1-CE1A77EE87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28AC476" w14:textId="6AC7F66C" w:rsidR="00A04A53" w:rsidRPr="007740AD" w:rsidRDefault="00600FF3" w:rsidP="00600FF3">
      <w:pPr>
        <w:jc w:val="center"/>
        <w:rPr>
          <w:sz w:val="22"/>
          <w:szCs w:val="22"/>
        </w:rPr>
      </w:pPr>
      <w:r w:rsidRPr="007740AD">
        <w:rPr>
          <w:b/>
          <w:bCs/>
          <w:sz w:val="22"/>
          <w:szCs w:val="22"/>
        </w:rPr>
        <w:t xml:space="preserve">(Data from </w:t>
      </w:r>
      <w:r w:rsidR="00E50178" w:rsidRPr="007740AD">
        <w:rPr>
          <w:b/>
          <w:bCs/>
          <w:sz w:val="22"/>
          <w:szCs w:val="22"/>
        </w:rPr>
        <w:t>U.S. Census Bureau</w:t>
      </w:r>
      <w:r w:rsidR="00E50178" w:rsidRPr="007740AD">
        <w:rPr>
          <w:sz w:val="22"/>
          <w:szCs w:val="22"/>
        </w:rPr>
        <w:t>)</w:t>
      </w:r>
    </w:p>
    <w:p w14:paraId="108C3E94" w14:textId="6F495ED9" w:rsidR="00A04A53" w:rsidRPr="007740AD" w:rsidRDefault="00A04A53" w:rsidP="008D3776">
      <w:pPr>
        <w:jc w:val="right"/>
        <w:rPr>
          <w:sz w:val="22"/>
          <w:szCs w:val="22"/>
        </w:rPr>
      </w:pPr>
    </w:p>
    <w:p w14:paraId="6CC8A12E" w14:textId="63B23306" w:rsidR="00A04A53" w:rsidRPr="007740AD" w:rsidRDefault="00F70E3D" w:rsidP="00A04A53">
      <w:pPr>
        <w:jc w:val="center"/>
        <w:rPr>
          <w:b/>
          <w:bCs/>
          <w:sz w:val="22"/>
          <w:szCs w:val="22"/>
          <w:u w:val="single"/>
        </w:rPr>
      </w:pPr>
      <w:r w:rsidRPr="007740AD">
        <w:rPr>
          <w:b/>
          <w:bCs/>
          <w:sz w:val="22"/>
          <w:szCs w:val="22"/>
          <w:u w:val="single"/>
        </w:rPr>
        <w:t>Innovation</w:t>
      </w:r>
    </w:p>
    <w:p w14:paraId="465C4CB7" w14:textId="5DF7D2A8" w:rsidR="00F70E3D" w:rsidRPr="007740AD" w:rsidRDefault="00F70E3D" w:rsidP="00A04A53">
      <w:pPr>
        <w:jc w:val="center"/>
        <w:rPr>
          <w:b/>
          <w:bCs/>
          <w:sz w:val="22"/>
          <w:szCs w:val="22"/>
          <w:u w:val="single"/>
        </w:rPr>
      </w:pPr>
    </w:p>
    <w:p w14:paraId="2098FB31" w14:textId="07BCF739" w:rsidR="009C1847" w:rsidRPr="007740AD" w:rsidRDefault="005159EE" w:rsidP="009C1847">
      <w:pPr>
        <w:spacing w:line="480" w:lineRule="auto"/>
        <w:rPr>
          <w:noProof/>
          <w:sz w:val="22"/>
          <w:szCs w:val="22"/>
        </w:rPr>
      </w:pPr>
      <w:r w:rsidRPr="007740AD">
        <w:rPr>
          <w:sz w:val="22"/>
          <w:szCs w:val="22"/>
        </w:rPr>
        <w:t xml:space="preserve">The Minneapolis-St. Paul-Bloomington, MN-WI MSA had </w:t>
      </w:r>
      <w:r w:rsidR="002A5AF7">
        <w:rPr>
          <w:sz w:val="22"/>
          <w:szCs w:val="22"/>
        </w:rPr>
        <w:t xml:space="preserve">a </w:t>
      </w:r>
      <w:r w:rsidRPr="007740AD">
        <w:rPr>
          <w:sz w:val="22"/>
          <w:szCs w:val="22"/>
        </w:rPr>
        <w:t>patent density trend that increased from every 1 patent for every 1,186 residents in 2010 compared to 1 patent for every 1029 residents in 2015. The Minneapolis-St. Paul-Bloomington, MN-WI MSA compared well compared to the United States overall when it comes to patent density, in 2015, for every patent there w</w:t>
      </w:r>
      <w:r w:rsidR="002A5AF7">
        <w:rPr>
          <w:sz w:val="22"/>
          <w:szCs w:val="22"/>
        </w:rPr>
        <w:t>ere</w:t>
      </w:r>
      <w:r w:rsidRPr="007740AD">
        <w:rPr>
          <w:sz w:val="22"/>
          <w:szCs w:val="22"/>
        </w:rPr>
        <w:t xml:space="preserve"> 2033 residents in the United States compared to Minneapolis-St. Paul-Bloomington, MN-WI MSA in 2015, where for every </w:t>
      </w:r>
      <w:r w:rsidRPr="007740AD">
        <w:rPr>
          <w:sz w:val="22"/>
          <w:szCs w:val="22"/>
        </w:rPr>
        <w:lastRenderedPageBreak/>
        <w:t>patent there w</w:t>
      </w:r>
      <w:r w:rsidR="002A5AF7">
        <w:rPr>
          <w:sz w:val="22"/>
          <w:szCs w:val="22"/>
        </w:rPr>
        <w:t>ere</w:t>
      </w:r>
      <w:r w:rsidRPr="007740AD">
        <w:rPr>
          <w:sz w:val="22"/>
          <w:szCs w:val="22"/>
        </w:rPr>
        <w:t xml:space="preserve"> 1029 residents</w:t>
      </w:r>
      <w:r w:rsidR="009C77C2">
        <w:rPr>
          <w:sz w:val="22"/>
          <w:szCs w:val="22"/>
        </w:rPr>
        <w:t>. A link to high patent density may be the</w:t>
      </w:r>
      <w:r w:rsidR="00012421">
        <w:rPr>
          <w:sz w:val="22"/>
          <w:szCs w:val="22"/>
        </w:rPr>
        <w:t xml:space="preserve"> effect of a high education attainment rate.</w:t>
      </w:r>
      <w:r w:rsidR="00773C4B">
        <w:rPr>
          <w:sz w:val="22"/>
          <w:szCs w:val="22"/>
        </w:rPr>
        <w:t>1</w:t>
      </w:r>
      <w:r w:rsidRPr="007740AD">
        <w:rPr>
          <w:noProof/>
          <w:sz w:val="22"/>
          <w:szCs w:val="22"/>
        </w:rPr>
        <w:t xml:space="preserve"> </w:t>
      </w:r>
      <w:r w:rsidR="009C1847" w:rsidRPr="007740AD">
        <w:rPr>
          <w:noProof/>
          <w:sz w:val="22"/>
          <w:szCs w:val="22"/>
        </w:rPr>
        <w:drawing>
          <wp:inline distT="0" distB="0" distL="0" distR="0" wp14:anchorId="4A7A8E7A" wp14:editId="38FBF8CC">
            <wp:extent cx="569595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C4AC9F2-37F3-4F7A-B960-5D217B27E6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1732660" w14:textId="30FB7219" w:rsidR="00454945" w:rsidRPr="007740AD" w:rsidRDefault="00454945" w:rsidP="00454945">
      <w:pPr>
        <w:spacing w:line="480" w:lineRule="auto"/>
        <w:jc w:val="center"/>
        <w:rPr>
          <w:b/>
          <w:bCs/>
          <w:noProof/>
          <w:sz w:val="22"/>
          <w:szCs w:val="22"/>
        </w:rPr>
      </w:pPr>
      <w:r w:rsidRPr="007740AD">
        <w:rPr>
          <w:b/>
          <w:bCs/>
          <w:noProof/>
          <w:sz w:val="22"/>
          <w:szCs w:val="22"/>
        </w:rPr>
        <w:t xml:space="preserve">(Data from </w:t>
      </w:r>
      <w:r w:rsidR="00574384" w:rsidRPr="007740AD">
        <w:rPr>
          <w:b/>
          <w:bCs/>
          <w:color w:val="000000"/>
          <w:sz w:val="22"/>
          <w:szCs w:val="22"/>
        </w:rPr>
        <w:t>U.S. PATENT AND TRADEMARK OFFICE)</w:t>
      </w:r>
    </w:p>
    <w:p w14:paraId="7D673712" w14:textId="7D530011" w:rsidR="006C5E99" w:rsidRPr="007740AD" w:rsidRDefault="00F676EE" w:rsidP="00F676EE">
      <w:pPr>
        <w:spacing w:line="480" w:lineRule="auto"/>
        <w:jc w:val="center"/>
        <w:rPr>
          <w:rFonts w:cstheme="minorHAnsi"/>
          <w:b/>
          <w:bCs/>
          <w:sz w:val="22"/>
          <w:szCs w:val="22"/>
          <w:u w:val="single"/>
        </w:rPr>
      </w:pPr>
      <w:r w:rsidRPr="007740AD">
        <w:rPr>
          <w:rFonts w:cstheme="minorHAnsi"/>
          <w:b/>
          <w:bCs/>
          <w:sz w:val="22"/>
          <w:szCs w:val="22"/>
          <w:u w:val="single"/>
        </w:rPr>
        <w:t>Diversity</w:t>
      </w:r>
    </w:p>
    <w:p w14:paraId="745957B2" w14:textId="0477EDB2" w:rsidR="00A7286A" w:rsidRPr="007740AD" w:rsidRDefault="00151693" w:rsidP="00A7286A">
      <w:pPr>
        <w:spacing w:line="480" w:lineRule="auto"/>
        <w:rPr>
          <w:sz w:val="22"/>
          <w:szCs w:val="22"/>
        </w:rPr>
      </w:pPr>
      <w:r w:rsidRPr="007740AD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The index of dissimilarity is a demographic measure of the evenness with which two groups are distributed across component geographic areas that make up a larger area. </w:t>
      </w:r>
      <w:r w:rsidR="00A7286A" w:rsidRPr="007740AD">
        <w:rPr>
          <w:sz w:val="22"/>
          <w:szCs w:val="22"/>
        </w:rPr>
        <w:t>The Dissimilarity Index grew for 3/6 of the racial pa</w:t>
      </w:r>
      <w:r w:rsidR="002A5AF7">
        <w:rPr>
          <w:sz w:val="22"/>
          <w:szCs w:val="22"/>
        </w:rPr>
        <w:t>i</w:t>
      </w:r>
      <w:r w:rsidR="00A7286A" w:rsidRPr="007740AD">
        <w:rPr>
          <w:sz w:val="22"/>
          <w:szCs w:val="22"/>
        </w:rPr>
        <w:t>rings in Hennepin County, Minnesota,</w:t>
      </w:r>
      <w:r w:rsidR="00F2554B">
        <w:rPr>
          <w:sz w:val="22"/>
          <w:szCs w:val="22"/>
        </w:rPr>
        <w:t xml:space="preserve"> (the county for Minneapolis)</w:t>
      </w:r>
      <w:r w:rsidR="00A7286A" w:rsidRPr="007740AD">
        <w:rPr>
          <w:sz w:val="22"/>
          <w:szCs w:val="22"/>
        </w:rPr>
        <w:t xml:space="preserve"> from 2010 to 2018, but by not much. One pairing the White-Asian pairing remained the same at .5. </w:t>
      </w:r>
      <w:r w:rsidR="009656FE">
        <w:rPr>
          <w:sz w:val="22"/>
          <w:szCs w:val="22"/>
        </w:rPr>
        <w:t>This</w:t>
      </w:r>
      <w:r w:rsidR="00A7286A" w:rsidRPr="007740AD">
        <w:rPr>
          <w:sz w:val="22"/>
          <w:szCs w:val="22"/>
        </w:rPr>
        <w:t xml:space="preserve"> means racial segregation increased in the county for those racial pairings in that period, which includes the White-Black pairing and the White-Hispanic pairing. The two racial pairings that decreased in the county were the Black-Hispanic pairing which decreased by .01 in the period and the Asian-Hispanic pairing which decreased by also .01. So, you could say in the period measured racial segregation did not move much in Hennepin County, Minnesota.</w:t>
      </w:r>
      <w:r w:rsidR="005E4C4E">
        <w:rPr>
          <w:sz w:val="22"/>
          <w:szCs w:val="22"/>
        </w:rPr>
        <w:t xml:space="preserve"> </w:t>
      </w:r>
      <w:r w:rsidR="00B5138D">
        <w:rPr>
          <w:sz w:val="22"/>
          <w:szCs w:val="22"/>
        </w:rPr>
        <w:t>(Char</w:t>
      </w:r>
      <w:r w:rsidR="00A06CF4">
        <w:rPr>
          <w:sz w:val="22"/>
          <w:szCs w:val="22"/>
        </w:rPr>
        <w:t>t &amp; Key on Page 12</w:t>
      </w:r>
      <w:r w:rsidR="00B5138D">
        <w:rPr>
          <w:sz w:val="22"/>
          <w:szCs w:val="22"/>
        </w:rPr>
        <w:t>)</w:t>
      </w:r>
    </w:p>
    <w:p w14:paraId="2C234E3A" w14:textId="1F7010B3" w:rsidR="00736CC7" w:rsidRPr="007740AD" w:rsidRDefault="00736CC7" w:rsidP="00A7286A">
      <w:pPr>
        <w:spacing w:line="480" w:lineRule="auto"/>
        <w:rPr>
          <w:sz w:val="22"/>
          <w:szCs w:val="22"/>
        </w:rPr>
      </w:pPr>
    </w:p>
    <w:p w14:paraId="0BB69FE2" w14:textId="62DE2810" w:rsidR="00736CC7" w:rsidRPr="007740AD" w:rsidRDefault="00736CC7">
      <w:pPr>
        <w:rPr>
          <w:sz w:val="22"/>
          <w:szCs w:val="22"/>
        </w:rPr>
      </w:pPr>
      <w:r w:rsidRPr="007740AD">
        <w:rPr>
          <w:sz w:val="22"/>
          <w:szCs w:val="22"/>
        </w:rPr>
        <w:br w:type="page"/>
      </w:r>
    </w:p>
    <w:p w14:paraId="64CD7693" w14:textId="47614188" w:rsidR="00576700" w:rsidRPr="007740AD" w:rsidRDefault="00A06CF4" w:rsidP="00576700">
      <w:pPr>
        <w:rPr>
          <w:sz w:val="22"/>
          <w:szCs w:val="22"/>
        </w:rPr>
      </w:pPr>
      <w:r w:rsidRPr="007740AD">
        <w:rPr>
          <w:rFonts w:eastAsia="Times New Roman" w:cs="Calibri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AEE40E9" wp14:editId="33FDCB00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848350" cy="2552700"/>
            <wp:effectExtent l="0" t="0" r="0" b="0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D56EDB5-4115-A942-BF0A-06D35610C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AD785" w14:textId="3D999120" w:rsidR="00576700" w:rsidRPr="007740AD" w:rsidRDefault="00576700" w:rsidP="00576700">
      <w:pPr>
        <w:rPr>
          <w:sz w:val="22"/>
          <w:szCs w:val="22"/>
        </w:rPr>
      </w:pPr>
    </w:p>
    <w:p w14:paraId="073AD54C" w14:textId="77777777" w:rsidR="00576700" w:rsidRPr="007740AD" w:rsidRDefault="00576700" w:rsidP="00576700">
      <w:pPr>
        <w:rPr>
          <w:sz w:val="22"/>
          <w:szCs w:val="22"/>
        </w:rPr>
      </w:pPr>
    </w:p>
    <w:p w14:paraId="5F834FFB" w14:textId="77777777" w:rsidR="00576700" w:rsidRPr="007740AD" w:rsidRDefault="00576700" w:rsidP="00576700">
      <w:pPr>
        <w:rPr>
          <w:sz w:val="22"/>
          <w:szCs w:val="22"/>
        </w:rPr>
      </w:pPr>
    </w:p>
    <w:p w14:paraId="12410EEA" w14:textId="109B4FE9" w:rsidR="00274B8F" w:rsidRDefault="00274B8F" w:rsidP="00A7286A">
      <w:pPr>
        <w:spacing w:line="480" w:lineRule="auto"/>
        <w:rPr>
          <w:sz w:val="22"/>
          <w:szCs w:val="22"/>
        </w:rPr>
      </w:pPr>
    </w:p>
    <w:p w14:paraId="3155504C" w14:textId="30F6455B" w:rsidR="002A0FF6" w:rsidRDefault="002A0FF6" w:rsidP="00A7286A">
      <w:pPr>
        <w:spacing w:line="480" w:lineRule="auto"/>
        <w:rPr>
          <w:sz w:val="22"/>
          <w:szCs w:val="22"/>
        </w:rPr>
      </w:pPr>
    </w:p>
    <w:p w14:paraId="72CF946A" w14:textId="207D96FA" w:rsidR="002A0FF6" w:rsidRDefault="002A0FF6" w:rsidP="00A7286A">
      <w:pPr>
        <w:spacing w:line="480" w:lineRule="auto"/>
        <w:rPr>
          <w:sz w:val="22"/>
          <w:szCs w:val="22"/>
        </w:rPr>
      </w:pPr>
    </w:p>
    <w:p w14:paraId="4B79D79D" w14:textId="77777777" w:rsidR="00A06CF4" w:rsidRDefault="00A06CF4" w:rsidP="002A0FF6">
      <w:pPr>
        <w:spacing w:line="480" w:lineRule="auto"/>
        <w:jc w:val="center"/>
        <w:rPr>
          <w:b/>
          <w:bCs/>
          <w:u w:val="single"/>
        </w:rPr>
      </w:pPr>
    </w:p>
    <w:p w14:paraId="7C7D3861" w14:textId="77777777" w:rsidR="00A06CF4" w:rsidRDefault="00A06CF4" w:rsidP="002A0FF6">
      <w:pPr>
        <w:spacing w:line="480" w:lineRule="auto"/>
        <w:jc w:val="center"/>
        <w:rPr>
          <w:b/>
          <w:bCs/>
          <w:u w:val="single"/>
        </w:rPr>
      </w:pPr>
    </w:p>
    <w:p w14:paraId="04904D0B" w14:textId="77777777" w:rsidR="00A06CF4" w:rsidRDefault="00A06CF4" w:rsidP="002A0FF6">
      <w:pPr>
        <w:spacing w:line="480" w:lineRule="auto"/>
        <w:jc w:val="center"/>
        <w:rPr>
          <w:b/>
          <w:bCs/>
          <w:u w:val="single"/>
        </w:rPr>
      </w:pPr>
    </w:p>
    <w:tbl>
      <w:tblPr>
        <w:tblpPr w:leftFromText="180" w:rightFromText="180" w:vertAnchor="text" w:horzAnchor="margin" w:tblpY="375"/>
        <w:tblW w:w="9564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  <w:gridCol w:w="1594"/>
        <w:gridCol w:w="1594"/>
      </w:tblGrid>
      <w:tr w:rsidR="00A06CF4" w:rsidRPr="001C1C94" w14:paraId="7E4B397F" w14:textId="77777777" w:rsidTr="00AD228E">
        <w:trPr>
          <w:trHeight w:val="269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E0446" w14:textId="77777777" w:rsidR="00A06CF4" w:rsidRPr="001C1C94" w:rsidRDefault="00A06CF4" w:rsidP="00A06CF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C1C9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White-Black</w:t>
            </w:r>
            <w:proofErr w:type="gramEnd"/>
            <w:r w:rsidRPr="001C1C9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(1)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6DA8D" w14:textId="77777777" w:rsidR="00A06CF4" w:rsidRPr="001C1C94" w:rsidRDefault="00A06CF4" w:rsidP="00A06CF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C1C9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White-Asian (2)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B4D5C" w14:textId="77777777" w:rsidR="00A06CF4" w:rsidRPr="001C1C94" w:rsidRDefault="00A06CF4" w:rsidP="00A06CF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C1C9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White-Hispanic (3)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378E6" w14:textId="77777777" w:rsidR="00A06CF4" w:rsidRPr="001C1C94" w:rsidRDefault="00A06CF4" w:rsidP="00A06CF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C1C9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Black-Asian (4)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1C50E" w14:textId="77777777" w:rsidR="00A06CF4" w:rsidRPr="001C1C94" w:rsidRDefault="00A06CF4" w:rsidP="00A06CF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C1C9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Black-Hispanic (5)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18F16" w14:textId="77777777" w:rsidR="00A06CF4" w:rsidRPr="001C1C94" w:rsidRDefault="00A06CF4" w:rsidP="00A06CF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C1C9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Asian-Hispanic (6)</w:t>
            </w:r>
          </w:p>
        </w:tc>
      </w:tr>
    </w:tbl>
    <w:p w14:paraId="227434D6" w14:textId="145ADBAB" w:rsidR="00A06CF4" w:rsidRDefault="00AD228E" w:rsidP="002A0FF6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Key for Dissimilarity Index</w:t>
      </w:r>
    </w:p>
    <w:p w14:paraId="4725ADC0" w14:textId="1A3CF937" w:rsidR="00A06CF4" w:rsidRDefault="00A06CF4" w:rsidP="002A0FF6">
      <w:pPr>
        <w:spacing w:line="480" w:lineRule="auto"/>
        <w:jc w:val="center"/>
        <w:rPr>
          <w:b/>
          <w:bCs/>
          <w:u w:val="single"/>
        </w:rPr>
      </w:pPr>
    </w:p>
    <w:p w14:paraId="303178F7" w14:textId="16D21D2D" w:rsidR="00C2060D" w:rsidRDefault="00C2060D" w:rsidP="002A0FF6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(Data from the U.S. Census Bureau)</w:t>
      </w:r>
    </w:p>
    <w:p w14:paraId="6968F0A9" w14:textId="77777777" w:rsidR="00A06CF4" w:rsidRDefault="00A06CF4" w:rsidP="002A0FF6">
      <w:pPr>
        <w:spacing w:line="480" w:lineRule="auto"/>
        <w:jc w:val="center"/>
        <w:rPr>
          <w:b/>
          <w:bCs/>
          <w:u w:val="single"/>
        </w:rPr>
      </w:pPr>
    </w:p>
    <w:p w14:paraId="721C371A" w14:textId="77777777" w:rsidR="00A06CF4" w:rsidRDefault="00A06CF4" w:rsidP="002A0FF6">
      <w:pPr>
        <w:spacing w:line="480" w:lineRule="auto"/>
        <w:jc w:val="center"/>
        <w:rPr>
          <w:b/>
          <w:bCs/>
          <w:u w:val="single"/>
        </w:rPr>
      </w:pPr>
    </w:p>
    <w:p w14:paraId="0D15C107" w14:textId="1DC4C8D5" w:rsidR="002A0FF6" w:rsidRDefault="002A0FF6" w:rsidP="002A0FF6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Conclusion </w:t>
      </w:r>
    </w:p>
    <w:p w14:paraId="564921DD" w14:textId="01394F00" w:rsidR="00DC1E49" w:rsidRPr="00C2060D" w:rsidRDefault="00E84910" w:rsidP="009A3C80">
      <w:pPr>
        <w:spacing w:line="480" w:lineRule="auto"/>
        <w:rPr>
          <w:rFonts w:cstheme="minorHAnsi"/>
          <w:sz w:val="22"/>
          <w:szCs w:val="22"/>
        </w:rPr>
      </w:pPr>
      <w:r>
        <w:tab/>
        <w:t xml:space="preserve">In conclusion, </w:t>
      </w:r>
      <w:r w:rsidR="00F2554B">
        <w:t>the Minneapolis</w:t>
      </w:r>
      <w:r w:rsidR="00F2554B" w:rsidRPr="007740AD">
        <w:rPr>
          <w:rFonts w:cstheme="minorHAnsi"/>
          <w:color w:val="000000" w:themeColor="text1"/>
          <w:sz w:val="22"/>
          <w:szCs w:val="22"/>
        </w:rPr>
        <w:t>-St. Paul-Bloomington MN-WI MSA</w:t>
      </w:r>
      <w:r w:rsidR="00F2554B">
        <w:rPr>
          <w:rFonts w:cstheme="minorHAnsi"/>
          <w:color w:val="000000" w:themeColor="text1"/>
          <w:sz w:val="22"/>
          <w:szCs w:val="22"/>
        </w:rPr>
        <w:t xml:space="preserve"> recovered from the </w:t>
      </w:r>
      <w:r w:rsidR="00145E28">
        <w:rPr>
          <w:rFonts w:cstheme="minorHAnsi"/>
          <w:color w:val="000000" w:themeColor="text1"/>
          <w:sz w:val="22"/>
          <w:szCs w:val="22"/>
        </w:rPr>
        <w:t xml:space="preserve">2008 Great Recession and expanded. </w:t>
      </w:r>
      <w:r w:rsidR="00F65252">
        <w:rPr>
          <w:rFonts w:cstheme="minorHAnsi"/>
          <w:color w:val="000000" w:themeColor="text1"/>
          <w:sz w:val="22"/>
          <w:szCs w:val="22"/>
        </w:rPr>
        <w:t xml:space="preserve">Overall economic conditions in the MSA including Real GDP, </w:t>
      </w:r>
      <w:r w:rsidR="009656FE">
        <w:rPr>
          <w:rFonts w:cstheme="minorHAnsi"/>
          <w:color w:val="000000" w:themeColor="text1"/>
          <w:sz w:val="22"/>
          <w:szCs w:val="22"/>
        </w:rPr>
        <w:t xml:space="preserve">and </w:t>
      </w:r>
      <w:r w:rsidR="00F65252">
        <w:rPr>
          <w:rFonts w:cstheme="minorHAnsi"/>
          <w:color w:val="000000" w:themeColor="text1"/>
          <w:sz w:val="22"/>
          <w:szCs w:val="22"/>
        </w:rPr>
        <w:t>GDP per Capita</w:t>
      </w:r>
      <w:r w:rsidR="009367E2">
        <w:rPr>
          <w:rFonts w:cstheme="minorHAnsi"/>
          <w:color w:val="000000" w:themeColor="text1"/>
          <w:sz w:val="22"/>
          <w:szCs w:val="22"/>
        </w:rPr>
        <w:t xml:space="preserve"> increased</w:t>
      </w:r>
      <w:r w:rsidR="007F7D5A">
        <w:rPr>
          <w:rFonts w:cstheme="minorHAnsi"/>
          <w:color w:val="000000" w:themeColor="text1"/>
          <w:sz w:val="22"/>
          <w:szCs w:val="22"/>
        </w:rPr>
        <w:t xml:space="preserve">. </w:t>
      </w:r>
      <w:r w:rsidR="006263E9">
        <w:rPr>
          <w:rFonts w:cstheme="minorHAnsi"/>
          <w:color w:val="000000" w:themeColor="text1"/>
          <w:sz w:val="22"/>
          <w:szCs w:val="22"/>
        </w:rPr>
        <w:t xml:space="preserve">Real Median </w:t>
      </w:r>
      <w:r w:rsidR="007F7D5A">
        <w:rPr>
          <w:rFonts w:cstheme="minorHAnsi"/>
          <w:color w:val="000000" w:themeColor="text1"/>
          <w:sz w:val="22"/>
          <w:szCs w:val="22"/>
        </w:rPr>
        <w:t>Inco</w:t>
      </w:r>
      <w:r w:rsidR="006263E9">
        <w:rPr>
          <w:rFonts w:cstheme="minorHAnsi"/>
          <w:color w:val="000000" w:themeColor="text1"/>
          <w:sz w:val="22"/>
          <w:szCs w:val="22"/>
        </w:rPr>
        <w:t>me, regardless of education level was higher for</w:t>
      </w:r>
      <w:r w:rsidR="006263E9" w:rsidRPr="006263E9">
        <w:rPr>
          <w:rFonts w:cstheme="minorHAnsi"/>
          <w:color w:val="000000" w:themeColor="text1"/>
          <w:sz w:val="22"/>
          <w:szCs w:val="22"/>
        </w:rPr>
        <w:t xml:space="preserve"> </w:t>
      </w:r>
      <w:r w:rsidR="006263E9" w:rsidRPr="007740AD">
        <w:rPr>
          <w:rFonts w:cstheme="minorHAnsi"/>
          <w:color w:val="000000" w:themeColor="text1"/>
          <w:sz w:val="22"/>
          <w:szCs w:val="22"/>
        </w:rPr>
        <w:t>Minneapolis-St. Paul-Bloomington MN-WI MSA</w:t>
      </w:r>
      <w:r w:rsidR="006263E9">
        <w:rPr>
          <w:rFonts w:cstheme="minorHAnsi"/>
          <w:color w:val="000000" w:themeColor="text1"/>
          <w:sz w:val="22"/>
          <w:szCs w:val="22"/>
        </w:rPr>
        <w:t xml:space="preserve"> residents then United States residents did as a whole. Hundreds of thousands of jobs were added since the recession,</w:t>
      </w:r>
      <w:r w:rsidR="009075DC">
        <w:rPr>
          <w:rFonts w:cstheme="minorHAnsi"/>
          <w:color w:val="000000" w:themeColor="text1"/>
          <w:sz w:val="22"/>
          <w:szCs w:val="22"/>
        </w:rPr>
        <w:t xml:space="preserve"> however, three of the twenty major occupational sectors recorded a </w:t>
      </w:r>
      <w:r w:rsidR="0022074E">
        <w:rPr>
          <w:rFonts w:cstheme="minorHAnsi"/>
          <w:color w:val="000000" w:themeColor="text1"/>
          <w:sz w:val="22"/>
          <w:szCs w:val="22"/>
        </w:rPr>
        <w:t>loss</w:t>
      </w:r>
      <w:r w:rsidR="009075DC">
        <w:rPr>
          <w:rFonts w:cstheme="minorHAnsi"/>
          <w:color w:val="000000" w:themeColor="text1"/>
          <w:sz w:val="22"/>
          <w:szCs w:val="22"/>
        </w:rPr>
        <w:t xml:space="preserve"> of jobs since the 2008 Great Recession.</w:t>
      </w:r>
      <w:r w:rsidR="007D3670">
        <w:rPr>
          <w:rFonts w:cstheme="minorHAnsi"/>
          <w:color w:val="000000" w:themeColor="text1"/>
          <w:sz w:val="22"/>
          <w:szCs w:val="22"/>
        </w:rPr>
        <w:t xml:space="preserve"> </w:t>
      </w:r>
      <w:r w:rsidR="007D3670" w:rsidRPr="00F73EAF">
        <w:rPr>
          <w:rFonts w:cstheme="minorHAnsi"/>
          <w:color w:val="000000" w:themeColor="text1"/>
          <w:sz w:val="22"/>
          <w:szCs w:val="22"/>
        </w:rPr>
        <w:t xml:space="preserve">The Gini index, a </w:t>
      </w:r>
      <w:r w:rsidR="007D3670" w:rsidRPr="00F73EAF">
        <w:rPr>
          <w:rFonts w:cstheme="minorHAnsi"/>
          <w:color w:val="000000" w:themeColor="text1"/>
          <w:sz w:val="22"/>
          <w:szCs w:val="22"/>
          <w:shd w:val="clear" w:color="auto" w:fill="FFFFFF"/>
        </w:rPr>
        <w:t>statistical dispersion intended to represent the income or wealth distribution of a nation’s residents and is the most commonly used measurement of inequality</w:t>
      </w:r>
      <w:r w:rsidR="007D3670" w:rsidRPr="00F73EAF">
        <w:rPr>
          <w:rFonts w:cstheme="minorHAnsi"/>
          <w:color w:val="000000" w:themeColor="text1"/>
          <w:sz w:val="22"/>
          <w:szCs w:val="22"/>
        </w:rPr>
        <w:t xml:space="preserve">, decreased in the MSA from 2010 to 2018, which means </w:t>
      </w:r>
      <w:r w:rsidR="007D3670">
        <w:rPr>
          <w:rFonts w:cstheme="minorHAnsi"/>
          <w:color w:val="000000" w:themeColor="text1"/>
          <w:sz w:val="22"/>
          <w:szCs w:val="22"/>
        </w:rPr>
        <w:t xml:space="preserve">income </w:t>
      </w:r>
      <w:r w:rsidR="00314E9D">
        <w:rPr>
          <w:rFonts w:cstheme="minorHAnsi"/>
          <w:color w:val="000000" w:themeColor="text1"/>
          <w:sz w:val="22"/>
          <w:szCs w:val="22"/>
        </w:rPr>
        <w:t xml:space="preserve">inequality decreased since the recession. </w:t>
      </w:r>
      <w:r w:rsidR="008F5C26">
        <w:rPr>
          <w:rFonts w:cstheme="minorHAnsi"/>
          <w:color w:val="000000" w:themeColor="text1"/>
          <w:sz w:val="22"/>
          <w:szCs w:val="22"/>
        </w:rPr>
        <w:t>Educational Attainment was higher for those residents</w:t>
      </w:r>
      <w:r w:rsidR="00682688">
        <w:rPr>
          <w:rFonts w:cstheme="minorHAnsi"/>
          <w:color w:val="000000" w:themeColor="text1"/>
          <w:sz w:val="22"/>
          <w:szCs w:val="22"/>
        </w:rPr>
        <w:t xml:space="preserve"> </w:t>
      </w:r>
      <w:r w:rsidR="00682688">
        <w:rPr>
          <w:rFonts w:cstheme="minorHAnsi"/>
          <w:color w:val="000000" w:themeColor="text1"/>
          <w:sz w:val="22"/>
          <w:szCs w:val="22"/>
        </w:rPr>
        <w:lastRenderedPageBreak/>
        <w:t>in the MSA</w:t>
      </w:r>
      <w:r w:rsidR="008F5C26">
        <w:rPr>
          <w:rFonts w:cstheme="minorHAnsi"/>
          <w:color w:val="000000" w:themeColor="text1"/>
          <w:sz w:val="22"/>
          <w:szCs w:val="22"/>
        </w:rPr>
        <w:t xml:space="preserve"> </w:t>
      </w:r>
      <w:r w:rsidR="008F5C26" w:rsidRPr="007740AD">
        <w:rPr>
          <w:rFonts w:cstheme="minorHAnsi"/>
          <w:sz w:val="22"/>
          <w:szCs w:val="22"/>
        </w:rPr>
        <w:t>who have obtained an associate degree or higher more than United States residents have</w:t>
      </w:r>
      <w:r w:rsidR="008F5C26">
        <w:rPr>
          <w:rFonts w:cstheme="minorHAnsi"/>
          <w:color w:val="000000" w:themeColor="text1"/>
          <w:sz w:val="22"/>
          <w:szCs w:val="22"/>
        </w:rPr>
        <w:t xml:space="preserve"> and as well </w:t>
      </w:r>
      <w:r w:rsidR="008F5C26" w:rsidRPr="007740AD">
        <w:rPr>
          <w:rFonts w:cstheme="minorHAnsi"/>
          <w:sz w:val="22"/>
          <w:szCs w:val="22"/>
        </w:rPr>
        <w:t xml:space="preserve">has </w:t>
      </w:r>
      <w:r w:rsidR="009656FE">
        <w:rPr>
          <w:rFonts w:cstheme="minorHAnsi"/>
          <w:sz w:val="22"/>
          <w:szCs w:val="22"/>
        </w:rPr>
        <w:t>fewer</w:t>
      </w:r>
      <w:r w:rsidR="008F5C26" w:rsidRPr="007740AD">
        <w:rPr>
          <w:rFonts w:cstheme="minorHAnsi"/>
          <w:sz w:val="22"/>
          <w:szCs w:val="22"/>
        </w:rPr>
        <w:t xml:space="preserve"> residents that’s final level of education w</w:t>
      </w:r>
      <w:r w:rsidR="009656FE">
        <w:rPr>
          <w:rFonts w:cstheme="minorHAnsi"/>
          <w:sz w:val="22"/>
          <w:szCs w:val="22"/>
        </w:rPr>
        <w:t>as</w:t>
      </w:r>
      <w:r w:rsidR="008F5C26" w:rsidRPr="007740AD">
        <w:rPr>
          <w:rFonts w:cstheme="minorHAnsi"/>
          <w:sz w:val="22"/>
          <w:szCs w:val="22"/>
        </w:rPr>
        <w:t>: have completed some college, but with no degree, high school graduate (includes equivalency), 9</w:t>
      </w:r>
      <w:r w:rsidR="008F5C26" w:rsidRPr="007740AD">
        <w:rPr>
          <w:rFonts w:cstheme="minorHAnsi"/>
          <w:sz w:val="22"/>
          <w:szCs w:val="22"/>
          <w:vertAlign w:val="superscript"/>
        </w:rPr>
        <w:t>th</w:t>
      </w:r>
      <w:r w:rsidR="008F5C26" w:rsidRPr="007740AD">
        <w:rPr>
          <w:rFonts w:cstheme="minorHAnsi"/>
          <w:sz w:val="22"/>
          <w:szCs w:val="22"/>
        </w:rPr>
        <w:t xml:space="preserve"> to 12</w:t>
      </w:r>
      <w:r w:rsidR="008F5C26" w:rsidRPr="007740AD">
        <w:rPr>
          <w:rFonts w:cstheme="minorHAnsi"/>
          <w:sz w:val="22"/>
          <w:szCs w:val="22"/>
          <w:vertAlign w:val="superscript"/>
        </w:rPr>
        <w:t>th</w:t>
      </w:r>
      <w:r w:rsidR="008F5C26" w:rsidRPr="007740AD">
        <w:rPr>
          <w:rFonts w:cstheme="minorHAnsi"/>
          <w:sz w:val="22"/>
          <w:szCs w:val="22"/>
        </w:rPr>
        <w:t xml:space="preserve"> grade with no diploma, and less than a 9</w:t>
      </w:r>
      <w:r w:rsidR="008F5C26" w:rsidRPr="007740AD">
        <w:rPr>
          <w:rFonts w:cstheme="minorHAnsi"/>
          <w:sz w:val="22"/>
          <w:szCs w:val="22"/>
          <w:vertAlign w:val="superscript"/>
        </w:rPr>
        <w:t>th</w:t>
      </w:r>
      <w:r w:rsidR="009656FE">
        <w:rPr>
          <w:rFonts w:cstheme="minorHAnsi"/>
          <w:sz w:val="22"/>
          <w:szCs w:val="22"/>
        </w:rPr>
        <w:t>-</w:t>
      </w:r>
      <w:r w:rsidR="008F5C26" w:rsidRPr="007740AD">
        <w:rPr>
          <w:rFonts w:cstheme="minorHAnsi"/>
          <w:sz w:val="22"/>
          <w:szCs w:val="22"/>
        </w:rPr>
        <w:t>grade level than the United States residents did</w:t>
      </w:r>
      <w:r w:rsidR="00F508D8">
        <w:rPr>
          <w:rFonts w:cstheme="minorHAnsi"/>
          <w:sz w:val="22"/>
          <w:szCs w:val="22"/>
        </w:rPr>
        <w:t>, which shows that the region has</w:t>
      </w:r>
      <w:r w:rsidR="00E165C7">
        <w:rPr>
          <w:rFonts w:cstheme="minorHAnsi"/>
          <w:sz w:val="22"/>
          <w:szCs w:val="22"/>
        </w:rPr>
        <w:t xml:space="preserve"> made education a priority, which can lead to higher income levels. Also, </w:t>
      </w:r>
      <w:r w:rsidR="00E165C7">
        <w:rPr>
          <w:sz w:val="22"/>
          <w:szCs w:val="22"/>
        </w:rPr>
        <w:t>t</w:t>
      </w:r>
      <w:r w:rsidR="00E165C7" w:rsidRPr="007740AD">
        <w:rPr>
          <w:sz w:val="22"/>
          <w:szCs w:val="22"/>
        </w:rPr>
        <w:t>he Minneapolis-St. Paul-Bloomington, MN-WI MSA compared well compared to the United States overall when it comes to patent density, in 2015, for every patent there w</w:t>
      </w:r>
      <w:r w:rsidR="009656FE">
        <w:rPr>
          <w:sz w:val="22"/>
          <w:szCs w:val="22"/>
        </w:rPr>
        <w:t>ere</w:t>
      </w:r>
      <w:r w:rsidR="00E165C7" w:rsidRPr="007740AD">
        <w:rPr>
          <w:sz w:val="22"/>
          <w:szCs w:val="22"/>
        </w:rPr>
        <w:t xml:space="preserve"> 2033 residents in the United States compared to Minneapolis-St. Paul-Bloomington, MN-WI MSA in 2015, where for every patent there w</w:t>
      </w:r>
      <w:r w:rsidR="009656FE">
        <w:rPr>
          <w:sz w:val="22"/>
          <w:szCs w:val="22"/>
        </w:rPr>
        <w:t>ere</w:t>
      </w:r>
      <w:r w:rsidR="00E165C7" w:rsidRPr="007740AD">
        <w:rPr>
          <w:sz w:val="22"/>
          <w:szCs w:val="22"/>
        </w:rPr>
        <w:t xml:space="preserve"> 1029 residents</w:t>
      </w:r>
      <w:r w:rsidR="00FB26A1">
        <w:rPr>
          <w:sz w:val="22"/>
          <w:szCs w:val="22"/>
        </w:rPr>
        <w:t xml:space="preserve">. A reason for the higher patent density in the MSA could be because of the higher educational attainment in the MSA compared to the United States. </w:t>
      </w:r>
      <w:r w:rsidR="00847D96">
        <w:rPr>
          <w:sz w:val="22"/>
          <w:szCs w:val="22"/>
        </w:rPr>
        <w:t xml:space="preserve"> However, there w</w:t>
      </w:r>
      <w:r w:rsidR="009656FE">
        <w:rPr>
          <w:sz w:val="22"/>
          <w:szCs w:val="22"/>
        </w:rPr>
        <w:t>ere</w:t>
      </w:r>
      <w:r w:rsidR="00847D96">
        <w:rPr>
          <w:sz w:val="22"/>
          <w:szCs w:val="22"/>
        </w:rPr>
        <w:t xml:space="preserve"> still some </w:t>
      </w:r>
      <w:r w:rsidR="007D3670">
        <w:rPr>
          <w:sz w:val="22"/>
          <w:szCs w:val="22"/>
        </w:rPr>
        <w:t xml:space="preserve">injustices that have happened since the 2008 Great Recession. The Dissimilarity Index, which measures </w:t>
      </w:r>
      <w:r w:rsidR="007D3670" w:rsidRPr="007740AD">
        <w:rPr>
          <w:rFonts w:cstheme="minorHAnsi"/>
          <w:color w:val="000000" w:themeColor="text1"/>
          <w:sz w:val="22"/>
          <w:szCs w:val="22"/>
          <w:shd w:val="clear" w:color="auto" w:fill="FFFFFF"/>
        </w:rPr>
        <w:t>the evenness with which two groups are distributed across component geographic areas that make up a larger area</w:t>
      </w:r>
      <w:r w:rsidR="007D3670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did not move much since the recession, which shows that the MSA stayed around at the same levels of segregation. As well </w:t>
      </w:r>
      <w:r w:rsidR="009656F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as </w:t>
      </w:r>
      <w:r w:rsidR="007D3670" w:rsidRPr="007740AD">
        <w:rPr>
          <w:rFonts w:cstheme="minorHAnsi"/>
          <w:sz w:val="22"/>
          <w:szCs w:val="22"/>
        </w:rPr>
        <w:t xml:space="preserve">the Minneapolis-St. Paul-Bloomington MN-WI MSA does have more whites obtaining high school diplomas and </w:t>
      </w:r>
      <w:r w:rsidR="00147C0D" w:rsidRPr="007740AD">
        <w:rPr>
          <w:rFonts w:cstheme="minorHAnsi"/>
          <w:sz w:val="22"/>
          <w:szCs w:val="22"/>
        </w:rPr>
        <w:t>bachelor’s</w:t>
      </w:r>
      <w:r w:rsidR="007D3670" w:rsidRPr="007740AD">
        <w:rPr>
          <w:rFonts w:cstheme="minorHAnsi"/>
          <w:sz w:val="22"/>
          <w:szCs w:val="22"/>
        </w:rPr>
        <w:t xml:space="preserve"> degrees than blacks do compare to the United States as a whole, by quite a substantial margin, which is a source of inequality in the region. </w:t>
      </w:r>
      <w:r w:rsidR="00E63FB4">
        <w:rPr>
          <w:rFonts w:cstheme="minorHAnsi"/>
          <w:sz w:val="22"/>
          <w:szCs w:val="22"/>
        </w:rPr>
        <w:t xml:space="preserve">All data </w:t>
      </w:r>
      <w:r w:rsidR="008C2476">
        <w:rPr>
          <w:rFonts w:cstheme="minorHAnsi"/>
          <w:sz w:val="22"/>
          <w:szCs w:val="22"/>
        </w:rPr>
        <w:t xml:space="preserve">that was presented were from the U.S. Census Bureau, the Bureau of Economic Analysis, the </w:t>
      </w:r>
      <w:r w:rsidR="008C2476" w:rsidRPr="00C2060D">
        <w:rPr>
          <w:rFonts w:cstheme="minorHAnsi"/>
          <w:sz w:val="22"/>
          <w:szCs w:val="22"/>
        </w:rPr>
        <w:t>Bur</w:t>
      </w:r>
      <w:r w:rsidR="00C2060D" w:rsidRPr="00C2060D">
        <w:rPr>
          <w:rFonts w:cstheme="minorHAnsi"/>
          <w:sz w:val="22"/>
          <w:szCs w:val="22"/>
        </w:rPr>
        <w:t>eau of Labor Statistics, the Minnesota Chamber of Commerce</w:t>
      </w:r>
      <w:r w:rsidR="009656FE">
        <w:rPr>
          <w:rFonts w:cstheme="minorHAnsi"/>
          <w:sz w:val="22"/>
          <w:szCs w:val="22"/>
        </w:rPr>
        <w:t>,</w:t>
      </w:r>
      <w:r w:rsidR="00C2060D" w:rsidRPr="00C2060D">
        <w:rPr>
          <w:rFonts w:cstheme="minorHAnsi"/>
          <w:sz w:val="22"/>
          <w:szCs w:val="22"/>
        </w:rPr>
        <w:t xml:space="preserve"> and the </w:t>
      </w:r>
      <w:r w:rsidR="00C2060D" w:rsidRPr="00C2060D">
        <w:rPr>
          <w:rFonts w:cstheme="minorHAnsi"/>
          <w:color w:val="000000"/>
          <w:sz w:val="22"/>
          <w:szCs w:val="22"/>
        </w:rPr>
        <w:t>U.S. PATENT AND TRADEMARK OFFICE.</w:t>
      </w:r>
    </w:p>
    <w:p w14:paraId="7D1A56A0" w14:textId="77777777" w:rsidR="00DC1E49" w:rsidRPr="00C2060D" w:rsidRDefault="00DC1E49">
      <w:pPr>
        <w:rPr>
          <w:rFonts w:cstheme="minorHAnsi"/>
          <w:sz w:val="22"/>
          <w:szCs w:val="22"/>
        </w:rPr>
      </w:pPr>
      <w:r w:rsidRPr="00C2060D">
        <w:rPr>
          <w:rFonts w:cstheme="minorHAnsi"/>
          <w:sz w:val="22"/>
          <w:szCs w:val="22"/>
        </w:rPr>
        <w:br w:type="page"/>
      </w:r>
    </w:p>
    <w:p w14:paraId="0E6CD31A" w14:textId="0A6E9EBF" w:rsidR="009A3C80" w:rsidRDefault="00DC1E49" w:rsidP="00DC1E49">
      <w:pPr>
        <w:spacing w:line="480" w:lineRule="auto"/>
        <w:jc w:val="center"/>
      </w:pPr>
      <w:r>
        <w:lastRenderedPageBreak/>
        <w:t xml:space="preserve">References </w:t>
      </w:r>
    </w:p>
    <w:p w14:paraId="21557BA6" w14:textId="02786617" w:rsidR="00DC1E49" w:rsidRDefault="00DC1E49" w:rsidP="00DC1E49">
      <w:pPr>
        <w:pStyle w:val="NormalWeb"/>
        <w:numPr>
          <w:ilvl w:val="0"/>
          <w:numId w:val="1"/>
        </w:numPr>
      </w:pPr>
      <w:r>
        <w:t xml:space="preserve">Socio, Mark De. “Marginalization of Sunset Firms in Regime Coalitions: A Social Network Analysis.” </w:t>
      </w:r>
      <w:r>
        <w:rPr>
          <w:i/>
          <w:iCs/>
        </w:rPr>
        <w:t>Regional Studies</w:t>
      </w:r>
      <w:r>
        <w:t>, vol. 44, no. 2, 2010. doi:10.1080/00343400903095246.</w:t>
      </w:r>
    </w:p>
    <w:p w14:paraId="355DB3A8" w14:textId="77777777" w:rsidR="00F24542" w:rsidRDefault="00F24542" w:rsidP="00F24542">
      <w:pPr>
        <w:pStyle w:val="NormalWeb"/>
        <w:numPr>
          <w:ilvl w:val="0"/>
          <w:numId w:val="1"/>
        </w:numPr>
      </w:pPr>
      <w:r>
        <w:t xml:space="preserve">Faggian, Alessandra, and Philip </w:t>
      </w:r>
      <w:proofErr w:type="spellStart"/>
      <w:r>
        <w:t>Mccann</w:t>
      </w:r>
      <w:proofErr w:type="spellEnd"/>
      <w:r>
        <w:t xml:space="preserve">. “Human Capital and Regional Development.” </w:t>
      </w:r>
      <w:r>
        <w:rPr>
          <w:i/>
          <w:iCs/>
        </w:rPr>
        <w:t>Handbook of Regional Growth and Development Theories</w:t>
      </w:r>
      <w:r>
        <w:t>, 2009. https://doi.org/10.4337/9781848445987.00015.</w:t>
      </w:r>
    </w:p>
    <w:p w14:paraId="50CCB14B" w14:textId="4CF6E568" w:rsidR="00DC1E49" w:rsidRPr="00E84910" w:rsidRDefault="00CA4FD9" w:rsidP="00E63FB4">
      <w:pPr>
        <w:pStyle w:val="NormalWeb"/>
        <w:numPr>
          <w:ilvl w:val="0"/>
          <w:numId w:val="1"/>
        </w:numPr>
      </w:pPr>
      <w:r>
        <w:t xml:space="preserve">Stimson, Robert. “Perspectives on Regional Economic Development.” </w:t>
      </w:r>
      <w:r>
        <w:rPr>
          <w:i/>
          <w:iCs/>
        </w:rPr>
        <w:t>Regional Economic Development</w:t>
      </w:r>
      <w:r>
        <w:t>, 2002, 1–51. https://doi.org/10.1007/3-540-34829-8_1.</w:t>
      </w:r>
    </w:p>
    <w:p w14:paraId="074277D7" w14:textId="77777777" w:rsidR="002A0FF6" w:rsidRPr="002A0FF6" w:rsidRDefault="002A0FF6" w:rsidP="002A0FF6">
      <w:pPr>
        <w:spacing w:line="480" w:lineRule="auto"/>
        <w:rPr>
          <w:b/>
          <w:bCs/>
          <w:u w:val="single"/>
        </w:rPr>
      </w:pPr>
    </w:p>
    <w:p w14:paraId="7436973D" w14:textId="2286342A" w:rsidR="00F676EE" w:rsidRPr="007740AD" w:rsidRDefault="00F676EE" w:rsidP="00F676EE">
      <w:pPr>
        <w:spacing w:line="480" w:lineRule="auto"/>
        <w:rPr>
          <w:rFonts w:cstheme="minorHAnsi"/>
          <w:color w:val="000000" w:themeColor="text1"/>
          <w:sz w:val="22"/>
          <w:szCs w:val="22"/>
        </w:rPr>
      </w:pPr>
    </w:p>
    <w:p w14:paraId="00C0B6AA" w14:textId="6C930FD6" w:rsidR="00BD7C07" w:rsidRPr="007740AD" w:rsidRDefault="00BD7C07" w:rsidP="00F70E3D">
      <w:pPr>
        <w:rPr>
          <w:sz w:val="22"/>
          <w:szCs w:val="22"/>
        </w:rPr>
      </w:pPr>
    </w:p>
    <w:p w14:paraId="60D37C7A" w14:textId="39550685" w:rsidR="00B040A5" w:rsidRPr="007740AD" w:rsidRDefault="00B040A5" w:rsidP="00F70E3D">
      <w:pPr>
        <w:rPr>
          <w:sz w:val="22"/>
          <w:szCs w:val="22"/>
        </w:rPr>
      </w:pPr>
    </w:p>
    <w:p w14:paraId="0DE7E334" w14:textId="1403EEED" w:rsidR="00574384" w:rsidRPr="007740AD" w:rsidRDefault="00574384" w:rsidP="00F70E3D">
      <w:pPr>
        <w:rPr>
          <w:sz w:val="22"/>
          <w:szCs w:val="22"/>
        </w:rPr>
      </w:pPr>
    </w:p>
    <w:p w14:paraId="75F1B3F0" w14:textId="54910715" w:rsidR="00574384" w:rsidRPr="007740AD" w:rsidRDefault="00574384" w:rsidP="00F70E3D">
      <w:pPr>
        <w:rPr>
          <w:sz w:val="22"/>
          <w:szCs w:val="22"/>
        </w:rPr>
      </w:pPr>
    </w:p>
    <w:p w14:paraId="5AC98512" w14:textId="0002F895" w:rsidR="00574384" w:rsidRPr="007740AD" w:rsidRDefault="00574384" w:rsidP="00F70E3D">
      <w:pPr>
        <w:rPr>
          <w:sz w:val="22"/>
          <w:szCs w:val="22"/>
        </w:rPr>
      </w:pPr>
    </w:p>
    <w:p w14:paraId="0D0714F8" w14:textId="63BC2158" w:rsidR="00574384" w:rsidRPr="007740AD" w:rsidRDefault="00574384" w:rsidP="00F70E3D">
      <w:pPr>
        <w:rPr>
          <w:sz w:val="22"/>
          <w:szCs w:val="22"/>
        </w:rPr>
      </w:pPr>
    </w:p>
    <w:p w14:paraId="43581DEF" w14:textId="268128F3" w:rsidR="00574384" w:rsidRPr="007740AD" w:rsidRDefault="00574384" w:rsidP="00F70E3D">
      <w:pPr>
        <w:rPr>
          <w:sz w:val="22"/>
          <w:szCs w:val="22"/>
        </w:rPr>
      </w:pPr>
    </w:p>
    <w:p w14:paraId="440CC4EC" w14:textId="38EB78FC" w:rsidR="00574384" w:rsidRPr="007740AD" w:rsidRDefault="00574384" w:rsidP="00F70E3D">
      <w:pPr>
        <w:rPr>
          <w:sz w:val="22"/>
          <w:szCs w:val="22"/>
        </w:rPr>
      </w:pPr>
    </w:p>
    <w:p w14:paraId="3C8D40ED" w14:textId="120094B9" w:rsidR="00574384" w:rsidRPr="007740AD" w:rsidRDefault="00574384" w:rsidP="00F70E3D">
      <w:pPr>
        <w:rPr>
          <w:sz w:val="22"/>
          <w:szCs w:val="22"/>
        </w:rPr>
      </w:pPr>
    </w:p>
    <w:p w14:paraId="3B5641C4" w14:textId="7725DDC2" w:rsidR="00574384" w:rsidRPr="007740AD" w:rsidRDefault="00574384" w:rsidP="00F70E3D">
      <w:pPr>
        <w:rPr>
          <w:sz w:val="22"/>
          <w:szCs w:val="22"/>
        </w:rPr>
      </w:pPr>
    </w:p>
    <w:p w14:paraId="02B9485A" w14:textId="19195554" w:rsidR="00574384" w:rsidRPr="007740AD" w:rsidRDefault="00574384" w:rsidP="00F70E3D">
      <w:pPr>
        <w:rPr>
          <w:sz w:val="22"/>
          <w:szCs w:val="22"/>
        </w:rPr>
      </w:pPr>
    </w:p>
    <w:p w14:paraId="7BEB2692" w14:textId="0733A295" w:rsidR="00574384" w:rsidRPr="007740AD" w:rsidRDefault="00574384" w:rsidP="00F70E3D">
      <w:pPr>
        <w:rPr>
          <w:sz w:val="22"/>
          <w:szCs w:val="22"/>
        </w:rPr>
      </w:pPr>
    </w:p>
    <w:p w14:paraId="62F0E533" w14:textId="4E95C2C6" w:rsidR="00574384" w:rsidRPr="007740AD" w:rsidRDefault="00574384" w:rsidP="00F70E3D">
      <w:pPr>
        <w:rPr>
          <w:sz w:val="22"/>
          <w:szCs w:val="22"/>
        </w:rPr>
      </w:pPr>
    </w:p>
    <w:p w14:paraId="625DF953" w14:textId="4A32C55C" w:rsidR="00574384" w:rsidRPr="007740AD" w:rsidRDefault="00574384" w:rsidP="00F70E3D">
      <w:pPr>
        <w:rPr>
          <w:sz w:val="22"/>
          <w:szCs w:val="22"/>
        </w:rPr>
      </w:pPr>
    </w:p>
    <w:p w14:paraId="18CA3CF5" w14:textId="21913103" w:rsidR="00574384" w:rsidRPr="007740AD" w:rsidRDefault="00574384" w:rsidP="00F70E3D">
      <w:pPr>
        <w:rPr>
          <w:sz w:val="22"/>
          <w:szCs w:val="22"/>
        </w:rPr>
      </w:pPr>
    </w:p>
    <w:p w14:paraId="5A1207CC" w14:textId="00C1F06F" w:rsidR="00574384" w:rsidRPr="007740AD" w:rsidRDefault="00574384" w:rsidP="00F70E3D">
      <w:pPr>
        <w:rPr>
          <w:sz w:val="22"/>
          <w:szCs w:val="22"/>
        </w:rPr>
      </w:pPr>
    </w:p>
    <w:p w14:paraId="2B318534" w14:textId="25CFDC2F" w:rsidR="00574384" w:rsidRPr="007740AD" w:rsidRDefault="00574384" w:rsidP="00F70E3D">
      <w:pPr>
        <w:rPr>
          <w:sz w:val="22"/>
          <w:szCs w:val="22"/>
        </w:rPr>
      </w:pPr>
    </w:p>
    <w:p w14:paraId="323EB035" w14:textId="29FABB22" w:rsidR="00574384" w:rsidRPr="007740AD" w:rsidRDefault="00574384" w:rsidP="00F70E3D">
      <w:pPr>
        <w:rPr>
          <w:sz w:val="22"/>
          <w:szCs w:val="22"/>
        </w:rPr>
      </w:pPr>
    </w:p>
    <w:p w14:paraId="12E9C954" w14:textId="2DDD5FAA" w:rsidR="00574384" w:rsidRPr="007740AD" w:rsidRDefault="00574384" w:rsidP="00F70E3D">
      <w:pPr>
        <w:rPr>
          <w:sz w:val="22"/>
          <w:szCs w:val="22"/>
        </w:rPr>
      </w:pPr>
    </w:p>
    <w:p w14:paraId="20ABCB2C" w14:textId="799E20F9" w:rsidR="00574384" w:rsidRPr="007740AD" w:rsidRDefault="00574384" w:rsidP="00F70E3D">
      <w:pPr>
        <w:rPr>
          <w:sz w:val="22"/>
          <w:szCs w:val="22"/>
        </w:rPr>
      </w:pPr>
    </w:p>
    <w:p w14:paraId="4263EBAD" w14:textId="0E552DC8" w:rsidR="00574384" w:rsidRPr="007740AD" w:rsidRDefault="00574384" w:rsidP="00F70E3D">
      <w:pPr>
        <w:rPr>
          <w:sz w:val="22"/>
          <w:szCs w:val="22"/>
        </w:rPr>
      </w:pPr>
    </w:p>
    <w:p w14:paraId="74CA14A4" w14:textId="0786C042" w:rsidR="00574384" w:rsidRPr="007740AD" w:rsidRDefault="00574384" w:rsidP="00F70E3D">
      <w:pPr>
        <w:rPr>
          <w:sz w:val="22"/>
          <w:szCs w:val="22"/>
        </w:rPr>
      </w:pPr>
    </w:p>
    <w:p w14:paraId="578A4E03" w14:textId="6FDF9F1B" w:rsidR="008D3776" w:rsidRPr="007740AD" w:rsidRDefault="008D3776" w:rsidP="00F70E3D">
      <w:pPr>
        <w:rPr>
          <w:sz w:val="22"/>
          <w:szCs w:val="22"/>
        </w:rPr>
      </w:pPr>
    </w:p>
    <w:sectPr w:rsidR="008D3776" w:rsidRPr="007740A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0C03" w14:textId="77777777" w:rsidR="00D82960" w:rsidRDefault="00D82960" w:rsidP="008D3776">
      <w:r>
        <w:separator/>
      </w:r>
    </w:p>
  </w:endnote>
  <w:endnote w:type="continuationSeparator" w:id="0">
    <w:p w14:paraId="57207597" w14:textId="77777777" w:rsidR="00D82960" w:rsidRDefault="00D82960" w:rsidP="008D3776">
      <w:r>
        <w:continuationSeparator/>
      </w:r>
    </w:p>
  </w:endnote>
  <w:endnote w:type="continuationNotice" w:id="1">
    <w:p w14:paraId="67D543E0" w14:textId="77777777" w:rsidR="00D82960" w:rsidRDefault="00D82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DF719" w14:textId="77777777" w:rsidR="00D82960" w:rsidRDefault="00D82960" w:rsidP="008D3776">
      <w:r>
        <w:separator/>
      </w:r>
    </w:p>
  </w:footnote>
  <w:footnote w:type="continuationSeparator" w:id="0">
    <w:p w14:paraId="6EBCFD5F" w14:textId="77777777" w:rsidR="00D82960" w:rsidRDefault="00D82960" w:rsidP="008D3776">
      <w:r>
        <w:continuationSeparator/>
      </w:r>
    </w:p>
  </w:footnote>
  <w:footnote w:type="continuationNotice" w:id="1">
    <w:p w14:paraId="38EA68C8" w14:textId="77777777" w:rsidR="00D82960" w:rsidRDefault="00D82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3C4B" w14:textId="00F902EC" w:rsidR="008D3776" w:rsidRDefault="008D3776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Brannon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652C650E" w14:textId="77777777" w:rsidR="008D3776" w:rsidRDefault="008D3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41A82"/>
    <w:multiLevelType w:val="hybridMultilevel"/>
    <w:tmpl w:val="6B0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7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zU3MrYwM7YwNDFV0lEKTi0uzszPAykwqgUAyrGyMCwAAAA="/>
  </w:docVars>
  <w:rsids>
    <w:rsidRoot w:val="008D3776"/>
    <w:rsid w:val="00004EFD"/>
    <w:rsid w:val="00012421"/>
    <w:rsid w:val="00023514"/>
    <w:rsid w:val="00024786"/>
    <w:rsid w:val="00024E64"/>
    <w:rsid w:val="0002510C"/>
    <w:rsid w:val="000346A9"/>
    <w:rsid w:val="0005175D"/>
    <w:rsid w:val="00056F6F"/>
    <w:rsid w:val="00071F13"/>
    <w:rsid w:val="00074166"/>
    <w:rsid w:val="000864EB"/>
    <w:rsid w:val="0009197D"/>
    <w:rsid w:val="0009214C"/>
    <w:rsid w:val="000941F0"/>
    <w:rsid w:val="00095F1B"/>
    <w:rsid w:val="000A767A"/>
    <w:rsid w:val="000A7B4E"/>
    <w:rsid w:val="000B2645"/>
    <w:rsid w:val="000B6364"/>
    <w:rsid w:val="000C025A"/>
    <w:rsid w:val="000D2EC4"/>
    <w:rsid w:val="000D5B41"/>
    <w:rsid w:val="000E088C"/>
    <w:rsid w:val="000E1E84"/>
    <w:rsid w:val="000F04DA"/>
    <w:rsid w:val="000F7C76"/>
    <w:rsid w:val="00145E28"/>
    <w:rsid w:val="00147C0D"/>
    <w:rsid w:val="00151693"/>
    <w:rsid w:val="00156E71"/>
    <w:rsid w:val="001678D4"/>
    <w:rsid w:val="00173BB3"/>
    <w:rsid w:val="00185645"/>
    <w:rsid w:val="00185A9D"/>
    <w:rsid w:val="001907E3"/>
    <w:rsid w:val="001A4FB6"/>
    <w:rsid w:val="001B06A3"/>
    <w:rsid w:val="001B4A70"/>
    <w:rsid w:val="001C1C94"/>
    <w:rsid w:val="001C2E15"/>
    <w:rsid w:val="001D0336"/>
    <w:rsid w:val="001D4FE3"/>
    <w:rsid w:val="001E2CE6"/>
    <w:rsid w:val="001E64B5"/>
    <w:rsid w:val="001F564B"/>
    <w:rsid w:val="001F6A30"/>
    <w:rsid w:val="001F7DC6"/>
    <w:rsid w:val="0020144F"/>
    <w:rsid w:val="00201CD2"/>
    <w:rsid w:val="00207BF5"/>
    <w:rsid w:val="00213149"/>
    <w:rsid w:val="002205F5"/>
    <w:rsid w:val="0022074E"/>
    <w:rsid w:val="00240324"/>
    <w:rsid w:val="0024048E"/>
    <w:rsid w:val="00246793"/>
    <w:rsid w:val="00253D66"/>
    <w:rsid w:val="00264E54"/>
    <w:rsid w:val="0027175E"/>
    <w:rsid w:val="00274B8F"/>
    <w:rsid w:val="00276C1D"/>
    <w:rsid w:val="00277CCB"/>
    <w:rsid w:val="00280D76"/>
    <w:rsid w:val="00293F7E"/>
    <w:rsid w:val="002A0FF6"/>
    <w:rsid w:val="002A5AF7"/>
    <w:rsid w:val="002A5EAD"/>
    <w:rsid w:val="002B09BB"/>
    <w:rsid w:val="002B6772"/>
    <w:rsid w:val="002C229E"/>
    <w:rsid w:val="002D1DDE"/>
    <w:rsid w:val="002D1EF8"/>
    <w:rsid w:val="002D31FB"/>
    <w:rsid w:val="002D3946"/>
    <w:rsid w:val="002E46C6"/>
    <w:rsid w:val="00307953"/>
    <w:rsid w:val="00307B3A"/>
    <w:rsid w:val="00311B0E"/>
    <w:rsid w:val="00314E9D"/>
    <w:rsid w:val="00316D68"/>
    <w:rsid w:val="00326A47"/>
    <w:rsid w:val="00395027"/>
    <w:rsid w:val="003A6AD7"/>
    <w:rsid w:val="003B1513"/>
    <w:rsid w:val="003D0FEC"/>
    <w:rsid w:val="003E6090"/>
    <w:rsid w:val="003E7343"/>
    <w:rsid w:val="003F0E36"/>
    <w:rsid w:val="003F3F54"/>
    <w:rsid w:val="00404B92"/>
    <w:rsid w:val="004322AD"/>
    <w:rsid w:val="0043696D"/>
    <w:rsid w:val="00437DAE"/>
    <w:rsid w:val="00441702"/>
    <w:rsid w:val="004423F5"/>
    <w:rsid w:val="0045460A"/>
    <w:rsid w:val="00454945"/>
    <w:rsid w:val="00463DD5"/>
    <w:rsid w:val="00466556"/>
    <w:rsid w:val="004730B5"/>
    <w:rsid w:val="0048360F"/>
    <w:rsid w:val="00485461"/>
    <w:rsid w:val="0048776A"/>
    <w:rsid w:val="004A3885"/>
    <w:rsid w:val="004A63F0"/>
    <w:rsid w:val="004B088B"/>
    <w:rsid w:val="004B5C31"/>
    <w:rsid w:val="004D215E"/>
    <w:rsid w:val="004D560B"/>
    <w:rsid w:val="004E0CBA"/>
    <w:rsid w:val="005159EE"/>
    <w:rsid w:val="005309D0"/>
    <w:rsid w:val="00532BFD"/>
    <w:rsid w:val="005450E4"/>
    <w:rsid w:val="005506C7"/>
    <w:rsid w:val="0055785F"/>
    <w:rsid w:val="00560877"/>
    <w:rsid w:val="005618B0"/>
    <w:rsid w:val="00562867"/>
    <w:rsid w:val="00563EB1"/>
    <w:rsid w:val="0056712D"/>
    <w:rsid w:val="0057185C"/>
    <w:rsid w:val="00574384"/>
    <w:rsid w:val="00576700"/>
    <w:rsid w:val="00580FBB"/>
    <w:rsid w:val="00595FE3"/>
    <w:rsid w:val="005B09C1"/>
    <w:rsid w:val="005C62DC"/>
    <w:rsid w:val="005C6746"/>
    <w:rsid w:val="005C7FE2"/>
    <w:rsid w:val="005D0B4B"/>
    <w:rsid w:val="005E0407"/>
    <w:rsid w:val="005E135B"/>
    <w:rsid w:val="005E1E81"/>
    <w:rsid w:val="005E4C4E"/>
    <w:rsid w:val="005F13C7"/>
    <w:rsid w:val="005F2C92"/>
    <w:rsid w:val="005F53C9"/>
    <w:rsid w:val="00600FF3"/>
    <w:rsid w:val="006147B2"/>
    <w:rsid w:val="00616455"/>
    <w:rsid w:val="00620EC3"/>
    <w:rsid w:val="006256CE"/>
    <w:rsid w:val="006263E9"/>
    <w:rsid w:val="00627597"/>
    <w:rsid w:val="006311A8"/>
    <w:rsid w:val="006435B5"/>
    <w:rsid w:val="0064488F"/>
    <w:rsid w:val="00644F7E"/>
    <w:rsid w:val="00651C2E"/>
    <w:rsid w:val="00654BFA"/>
    <w:rsid w:val="00657614"/>
    <w:rsid w:val="00657950"/>
    <w:rsid w:val="00682688"/>
    <w:rsid w:val="006945E9"/>
    <w:rsid w:val="006958AE"/>
    <w:rsid w:val="00697473"/>
    <w:rsid w:val="006A2C63"/>
    <w:rsid w:val="006A4CF6"/>
    <w:rsid w:val="006B6EB8"/>
    <w:rsid w:val="006C5E99"/>
    <w:rsid w:val="006D246E"/>
    <w:rsid w:val="006D2A09"/>
    <w:rsid w:val="006D63A6"/>
    <w:rsid w:val="006E7DB7"/>
    <w:rsid w:val="0070438D"/>
    <w:rsid w:val="007045E5"/>
    <w:rsid w:val="00710E32"/>
    <w:rsid w:val="00714829"/>
    <w:rsid w:val="00724CDA"/>
    <w:rsid w:val="007362D9"/>
    <w:rsid w:val="00736CC7"/>
    <w:rsid w:val="00740924"/>
    <w:rsid w:val="00760045"/>
    <w:rsid w:val="00773C4B"/>
    <w:rsid w:val="007740AD"/>
    <w:rsid w:val="00774FC7"/>
    <w:rsid w:val="007909FD"/>
    <w:rsid w:val="00795CC9"/>
    <w:rsid w:val="007A3368"/>
    <w:rsid w:val="007B4136"/>
    <w:rsid w:val="007D3670"/>
    <w:rsid w:val="007D74DC"/>
    <w:rsid w:val="007E19DD"/>
    <w:rsid w:val="007E25A8"/>
    <w:rsid w:val="007F79D4"/>
    <w:rsid w:val="007F7D5A"/>
    <w:rsid w:val="00802600"/>
    <w:rsid w:val="008053FC"/>
    <w:rsid w:val="00814813"/>
    <w:rsid w:val="008167B4"/>
    <w:rsid w:val="0082525A"/>
    <w:rsid w:val="00827CBA"/>
    <w:rsid w:val="00841194"/>
    <w:rsid w:val="008432BB"/>
    <w:rsid w:val="00844A0B"/>
    <w:rsid w:val="00845A69"/>
    <w:rsid w:val="00847D96"/>
    <w:rsid w:val="008561A8"/>
    <w:rsid w:val="00860F3E"/>
    <w:rsid w:val="008762D0"/>
    <w:rsid w:val="00876E9D"/>
    <w:rsid w:val="00886BD6"/>
    <w:rsid w:val="0089273A"/>
    <w:rsid w:val="00895FFB"/>
    <w:rsid w:val="008965DD"/>
    <w:rsid w:val="008A4FF6"/>
    <w:rsid w:val="008B67F2"/>
    <w:rsid w:val="008B7B41"/>
    <w:rsid w:val="008C2476"/>
    <w:rsid w:val="008D3776"/>
    <w:rsid w:val="008D6270"/>
    <w:rsid w:val="008F1443"/>
    <w:rsid w:val="008F5C26"/>
    <w:rsid w:val="00903112"/>
    <w:rsid w:val="009075DC"/>
    <w:rsid w:val="00911095"/>
    <w:rsid w:val="0091789B"/>
    <w:rsid w:val="009265F1"/>
    <w:rsid w:val="00926C90"/>
    <w:rsid w:val="0093325A"/>
    <w:rsid w:val="0093370E"/>
    <w:rsid w:val="009353FC"/>
    <w:rsid w:val="009367E2"/>
    <w:rsid w:val="00957A38"/>
    <w:rsid w:val="009656FE"/>
    <w:rsid w:val="00981BFC"/>
    <w:rsid w:val="00995621"/>
    <w:rsid w:val="009A0BE0"/>
    <w:rsid w:val="009A293F"/>
    <w:rsid w:val="009A3C80"/>
    <w:rsid w:val="009C1847"/>
    <w:rsid w:val="009C77C2"/>
    <w:rsid w:val="009D028D"/>
    <w:rsid w:val="009D3B28"/>
    <w:rsid w:val="009D5628"/>
    <w:rsid w:val="009D6B0E"/>
    <w:rsid w:val="009D72F8"/>
    <w:rsid w:val="009F30E3"/>
    <w:rsid w:val="009F3E2E"/>
    <w:rsid w:val="00A04A53"/>
    <w:rsid w:val="00A05ADC"/>
    <w:rsid w:val="00A06CF4"/>
    <w:rsid w:val="00A07754"/>
    <w:rsid w:val="00A20414"/>
    <w:rsid w:val="00A2056F"/>
    <w:rsid w:val="00A3317C"/>
    <w:rsid w:val="00A37486"/>
    <w:rsid w:val="00A549E5"/>
    <w:rsid w:val="00A66CCD"/>
    <w:rsid w:val="00A7286A"/>
    <w:rsid w:val="00A814A2"/>
    <w:rsid w:val="00A97A87"/>
    <w:rsid w:val="00AA2572"/>
    <w:rsid w:val="00AA4109"/>
    <w:rsid w:val="00AA6EC3"/>
    <w:rsid w:val="00AB0A33"/>
    <w:rsid w:val="00AB111C"/>
    <w:rsid w:val="00AB4424"/>
    <w:rsid w:val="00AC4A7F"/>
    <w:rsid w:val="00AC5642"/>
    <w:rsid w:val="00AC69A3"/>
    <w:rsid w:val="00AD228E"/>
    <w:rsid w:val="00AD4C98"/>
    <w:rsid w:val="00B040A5"/>
    <w:rsid w:val="00B1190F"/>
    <w:rsid w:val="00B12EDE"/>
    <w:rsid w:val="00B24396"/>
    <w:rsid w:val="00B24F11"/>
    <w:rsid w:val="00B271EE"/>
    <w:rsid w:val="00B33491"/>
    <w:rsid w:val="00B33E65"/>
    <w:rsid w:val="00B4497A"/>
    <w:rsid w:val="00B50D51"/>
    <w:rsid w:val="00B5138D"/>
    <w:rsid w:val="00B56B15"/>
    <w:rsid w:val="00B60D77"/>
    <w:rsid w:val="00B62D67"/>
    <w:rsid w:val="00B71240"/>
    <w:rsid w:val="00B71677"/>
    <w:rsid w:val="00B77C08"/>
    <w:rsid w:val="00B82AD3"/>
    <w:rsid w:val="00B852E5"/>
    <w:rsid w:val="00B854E9"/>
    <w:rsid w:val="00B919E7"/>
    <w:rsid w:val="00B97B2F"/>
    <w:rsid w:val="00BB36D1"/>
    <w:rsid w:val="00BB4A0D"/>
    <w:rsid w:val="00BB6802"/>
    <w:rsid w:val="00BB7749"/>
    <w:rsid w:val="00BC0A80"/>
    <w:rsid w:val="00BC2226"/>
    <w:rsid w:val="00BC7E44"/>
    <w:rsid w:val="00BD0B89"/>
    <w:rsid w:val="00BD7C07"/>
    <w:rsid w:val="00BD7F2D"/>
    <w:rsid w:val="00BE0B0A"/>
    <w:rsid w:val="00C039F0"/>
    <w:rsid w:val="00C16AB3"/>
    <w:rsid w:val="00C2060D"/>
    <w:rsid w:val="00C25CAB"/>
    <w:rsid w:val="00C25D26"/>
    <w:rsid w:val="00C34D2C"/>
    <w:rsid w:val="00C50F90"/>
    <w:rsid w:val="00C548CD"/>
    <w:rsid w:val="00C8045A"/>
    <w:rsid w:val="00C86111"/>
    <w:rsid w:val="00C9224A"/>
    <w:rsid w:val="00C94FDC"/>
    <w:rsid w:val="00CA3CFA"/>
    <w:rsid w:val="00CA3E32"/>
    <w:rsid w:val="00CA4FD9"/>
    <w:rsid w:val="00CA55FA"/>
    <w:rsid w:val="00CC5F7F"/>
    <w:rsid w:val="00CE1C3D"/>
    <w:rsid w:val="00D06957"/>
    <w:rsid w:val="00D0736B"/>
    <w:rsid w:val="00D10A0C"/>
    <w:rsid w:val="00D22E02"/>
    <w:rsid w:val="00D3317F"/>
    <w:rsid w:val="00D458A1"/>
    <w:rsid w:val="00D5321E"/>
    <w:rsid w:val="00D5761A"/>
    <w:rsid w:val="00D82960"/>
    <w:rsid w:val="00D83DE2"/>
    <w:rsid w:val="00D84C1F"/>
    <w:rsid w:val="00D86D78"/>
    <w:rsid w:val="00D9353C"/>
    <w:rsid w:val="00D95558"/>
    <w:rsid w:val="00DC1E49"/>
    <w:rsid w:val="00DC27BD"/>
    <w:rsid w:val="00DF4B97"/>
    <w:rsid w:val="00DF7CDD"/>
    <w:rsid w:val="00E14F20"/>
    <w:rsid w:val="00E165C7"/>
    <w:rsid w:val="00E32FD7"/>
    <w:rsid w:val="00E350EF"/>
    <w:rsid w:val="00E36249"/>
    <w:rsid w:val="00E50178"/>
    <w:rsid w:val="00E55626"/>
    <w:rsid w:val="00E6038B"/>
    <w:rsid w:val="00E63FB4"/>
    <w:rsid w:val="00E719E0"/>
    <w:rsid w:val="00E84681"/>
    <w:rsid w:val="00E84910"/>
    <w:rsid w:val="00EB007D"/>
    <w:rsid w:val="00EB1B78"/>
    <w:rsid w:val="00EB3E0D"/>
    <w:rsid w:val="00EC0ED2"/>
    <w:rsid w:val="00EC2430"/>
    <w:rsid w:val="00ED59E3"/>
    <w:rsid w:val="00ED5AC5"/>
    <w:rsid w:val="00EE7C02"/>
    <w:rsid w:val="00EF2D25"/>
    <w:rsid w:val="00EF6868"/>
    <w:rsid w:val="00F063F9"/>
    <w:rsid w:val="00F07427"/>
    <w:rsid w:val="00F11C7F"/>
    <w:rsid w:val="00F150DC"/>
    <w:rsid w:val="00F16C82"/>
    <w:rsid w:val="00F242E0"/>
    <w:rsid w:val="00F24542"/>
    <w:rsid w:val="00F2554B"/>
    <w:rsid w:val="00F30952"/>
    <w:rsid w:val="00F34F5D"/>
    <w:rsid w:val="00F508D8"/>
    <w:rsid w:val="00F50E0D"/>
    <w:rsid w:val="00F539EA"/>
    <w:rsid w:val="00F65252"/>
    <w:rsid w:val="00F65DF7"/>
    <w:rsid w:val="00F676EE"/>
    <w:rsid w:val="00F70868"/>
    <w:rsid w:val="00F70E3D"/>
    <w:rsid w:val="00F73EAF"/>
    <w:rsid w:val="00F75511"/>
    <w:rsid w:val="00F838B9"/>
    <w:rsid w:val="00FA72E3"/>
    <w:rsid w:val="00FB26A1"/>
    <w:rsid w:val="00FB2B03"/>
    <w:rsid w:val="00FD16FE"/>
    <w:rsid w:val="00FE4900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CF79"/>
  <w15:chartTrackingRefBased/>
  <w15:docId w15:val="{781BF112-AF29-214C-ACBC-2D192340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776"/>
  </w:style>
  <w:style w:type="paragraph" w:styleId="Footer">
    <w:name w:val="footer"/>
    <w:basedOn w:val="Normal"/>
    <w:link w:val="FooterChar"/>
    <w:uiPriority w:val="99"/>
    <w:unhideWhenUsed/>
    <w:rsid w:val="008D3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776"/>
  </w:style>
  <w:style w:type="paragraph" w:styleId="ListParagraph">
    <w:name w:val="List Paragraph"/>
    <w:basedOn w:val="Normal"/>
    <w:uiPriority w:val="34"/>
    <w:qFormat/>
    <w:rsid w:val="00056F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F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layer--absolute">
    <w:name w:val="textlayer--absolute"/>
    <w:basedOn w:val="DefaultParagraphFont"/>
    <w:rsid w:val="0005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Census%20Data%20Assignmen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econ%20482%20week%20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econ%20482%20week%20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econ482%20week6%20resubmi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econ%20482%20week%207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Census%20Data%20Assignment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Census%20Data%20Assignment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mich-my.sharepoint.com/personal/nbrannon_umich_edu/Documents/Week%203%20ECON%2048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econ%20482%20week%2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econ%20482%20week%20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96b44eabfe14553/Documents/econ%20482%20week%20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ah\Downloads\econ%20482%20week%204%20cop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ah\Downloads\econ%20482%20week%204%20cop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Minneapolis-St. Paul-Bloomington, MN-WI MSA Total Real GDP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463-7744-9185-A5E943A9E9ED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463-7744-9185-A5E943A9E9ED}"/>
              </c:ext>
            </c:extLst>
          </c:dPt>
          <c:cat>
            <c:strRef>
              <c:f>'[Census Data Assignment 1.xlsx]Bureau of Economic Analysis  '!$F$7:$G$7</c:f>
              <c:strCache>
                <c:ptCount val="2"/>
                <c:pt idx="0">
                  <c:v>2009</c:v>
                </c:pt>
                <c:pt idx="1">
                  <c:v>2018</c:v>
                </c:pt>
              </c:strCache>
            </c:strRef>
          </c:cat>
          <c:val>
            <c:numRef>
              <c:f>'[Census Data Assignment 1.xlsx]Bureau of Economic Analysis  '!$F$8:$G$8</c:f>
              <c:numCache>
                <c:formatCode>#,##0</c:formatCode>
                <c:ptCount val="2"/>
                <c:pt idx="0">
                  <c:v>192310093</c:v>
                </c:pt>
                <c:pt idx="1">
                  <c:v>237140794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463-7744-9185-A5E943A9E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9335903"/>
        <c:axId val="1422676015"/>
      </c:barChart>
      <c:catAx>
        <c:axId val="142933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676015"/>
        <c:crosses val="autoZero"/>
        <c:auto val="1"/>
        <c:lblAlgn val="ctr"/>
        <c:lblOffset val="100"/>
        <c:noMultiLvlLbl val="0"/>
      </c:catAx>
      <c:valAx>
        <c:axId val="142267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9335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Minneapolis</a:t>
            </a:r>
            <a:r>
              <a:rPr lang="en-US" baseline="0"/>
              <a:t>-St. Paul-Bloomington MN-WI MSA vs United States Education Attainment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'[econ 482 week 5.xlsx]Sheet3'!$B$1:$B$2</c:f>
              <c:strCache>
                <c:ptCount val="2"/>
                <c:pt idx="0">
                  <c:v>United States</c:v>
                </c:pt>
                <c:pt idx="1">
                  <c:v>Population 25 years and older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'[econ 482 week 5.xlsx]Sheet3'!$A$3:$A$9</c:f>
              <c:strCache>
                <c:ptCount val="7"/>
                <c:pt idx="0">
                  <c:v>Less than 9th grade</c:v>
                </c:pt>
                <c:pt idx="1">
                  <c:v>9th to 12th grade, no dipolma</c:v>
                </c:pt>
                <c:pt idx="2">
                  <c:v>High School Graduate (includes equivalency)</c:v>
                </c:pt>
                <c:pt idx="3">
                  <c:v>Some college, no degree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</c:strCache>
            </c:strRef>
          </c:cat>
          <c:val>
            <c:numRef>
              <c:f>'[econ 482 week 5.xlsx]Sheet3'!$B$3:$B$9</c:f>
              <c:numCache>
                <c:formatCode>0.00%</c:formatCode>
                <c:ptCount val="7"/>
                <c:pt idx="0" formatCode="0%">
                  <c:v>0.05</c:v>
                </c:pt>
                <c:pt idx="1">
                  <c:v>6.7000000000000004E-2</c:v>
                </c:pt>
                <c:pt idx="2">
                  <c:v>0.26900000000000002</c:v>
                </c:pt>
                <c:pt idx="3">
                  <c:v>0.20300000000000001</c:v>
                </c:pt>
                <c:pt idx="4">
                  <c:v>8.5999999999999993E-2</c:v>
                </c:pt>
                <c:pt idx="5" formatCode="0%">
                  <c:v>0.2</c:v>
                </c:pt>
                <c:pt idx="6">
                  <c:v>0.126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FD-4B60-9004-674EF4EB30A4}"/>
            </c:ext>
          </c:extLst>
        </c:ser>
        <c:ser>
          <c:idx val="1"/>
          <c:order val="1"/>
          <c:tx>
            <c:strRef>
              <c:f>'[econ 482 week 5.xlsx]Sheet3'!$C$1:$C$2</c:f>
              <c:strCache>
                <c:ptCount val="2"/>
                <c:pt idx="0">
                  <c:v>Minneapolis-St. Paul-Bloomington</c:v>
                </c:pt>
                <c:pt idx="1">
                  <c:v>Population 25 years and older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'[econ 482 week 5.xlsx]Sheet3'!$A$3:$A$9</c:f>
              <c:strCache>
                <c:ptCount val="7"/>
                <c:pt idx="0">
                  <c:v>Less than 9th grade</c:v>
                </c:pt>
                <c:pt idx="1">
                  <c:v>9th to 12th grade, no dipolma</c:v>
                </c:pt>
                <c:pt idx="2">
                  <c:v>High School Graduate (includes equivalency)</c:v>
                </c:pt>
                <c:pt idx="3">
                  <c:v>Some college, no degree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</c:strCache>
            </c:strRef>
          </c:cat>
          <c:val>
            <c:numRef>
              <c:f>'[econ 482 week 5.xlsx]Sheet3'!$C$3:$C$9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FD-4B60-9004-674EF4EB30A4}"/>
            </c:ext>
          </c:extLst>
        </c:ser>
        <c:ser>
          <c:idx val="2"/>
          <c:order val="2"/>
          <c:tx>
            <c:strRef>
              <c:f>'[econ 482 week 5.xlsx]Sheet3'!$D$1:$D$2</c:f>
              <c:strCache>
                <c:ptCount val="2"/>
                <c:pt idx="0">
                  <c:v>Minneapolis-St. Paul-Bloomington</c:v>
                </c:pt>
                <c:pt idx="1">
                  <c:v>Population 25 years and older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'[econ 482 week 5.xlsx]Sheet3'!$A$3:$A$9</c:f>
              <c:strCache>
                <c:ptCount val="7"/>
                <c:pt idx="0">
                  <c:v>Less than 9th grade</c:v>
                </c:pt>
                <c:pt idx="1">
                  <c:v>9th to 12th grade, no dipolma</c:v>
                </c:pt>
                <c:pt idx="2">
                  <c:v>High School Graduate (includes equivalency)</c:v>
                </c:pt>
                <c:pt idx="3">
                  <c:v>Some college, no degree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</c:strCache>
            </c:strRef>
          </c:cat>
          <c:val>
            <c:numRef>
              <c:f>'[econ 482 week 5.xlsx]Sheet3'!$D$3:$D$9</c:f>
              <c:numCache>
                <c:formatCode>0.00%</c:formatCode>
                <c:ptCount val="7"/>
                <c:pt idx="0">
                  <c:v>2.7E-2</c:v>
                </c:pt>
                <c:pt idx="1">
                  <c:v>3.5000000000000003E-2</c:v>
                </c:pt>
                <c:pt idx="2">
                  <c:v>0.20899999999999999</c:v>
                </c:pt>
                <c:pt idx="3">
                  <c:v>0.19800000000000001</c:v>
                </c:pt>
                <c:pt idx="4">
                  <c:v>0.105</c:v>
                </c:pt>
                <c:pt idx="5">
                  <c:v>0.27800000000000002</c:v>
                </c:pt>
                <c:pt idx="6">
                  <c:v>0.14799999999999999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FD-4B60-9004-674EF4EB3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33560719"/>
        <c:axId val="333978671"/>
      </c:barChart>
      <c:catAx>
        <c:axId val="6335607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978671"/>
        <c:crosses val="autoZero"/>
        <c:auto val="1"/>
        <c:lblAlgn val="ctr"/>
        <c:lblOffset val="100"/>
        <c:noMultiLvlLbl val="0"/>
      </c:catAx>
      <c:valAx>
        <c:axId val="33397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560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Educational</a:t>
            </a:r>
            <a:r>
              <a:rPr lang="en-US" baseline="0"/>
              <a:t> Attainment by race in the Minneapolis-St. Paul-Bloomington MSA vs United States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'[econ 482 week 5.xlsx]Sheet4'!$B$1</c:f>
              <c:strCache>
                <c:ptCount val="1"/>
                <c:pt idx="0">
                  <c:v>Percent White (alone)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'[econ 482 week 5.xlsx]Sheet4'!$A$2:$A$10</c:f>
              <c:strCache>
                <c:ptCount val="9"/>
                <c:pt idx="0">
                  <c:v>United States</c:v>
                </c:pt>
                <c:pt idx="2">
                  <c:v>High School Graduate or higher</c:v>
                </c:pt>
                <c:pt idx="3">
                  <c:v>Bachelor's degree or higher</c:v>
                </c:pt>
                <c:pt idx="5">
                  <c:v>Minneapolis-St. Paul-Bloomington</c:v>
                </c:pt>
                <c:pt idx="7">
                  <c:v>High School Graduate or higher</c:v>
                </c:pt>
                <c:pt idx="8">
                  <c:v>Bachelor's degree or higher</c:v>
                </c:pt>
              </c:strCache>
            </c:strRef>
          </c:cat>
          <c:val>
            <c:numRef>
              <c:f>'[econ 482 week 5.xlsx]Sheet4'!$B$2:$B$10</c:f>
              <c:numCache>
                <c:formatCode>General</c:formatCode>
                <c:ptCount val="9"/>
                <c:pt idx="2" formatCode="0.00%">
                  <c:v>0.90200000000000002</c:v>
                </c:pt>
                <c:pt idx="3" formatCode="0.00%">
                  <c:v>0.33900000000000002</c:v>
                </c:pt>
                <c:pt idx="4">
                  <c:v>0</c:v>
                </c:pt>
                <c:pt idx="7" formatCode="0.00%">
                  <c:v>0.96299999999999997</c:v>
                </c:pt>
                <c:pt idx="8" formatCode="0.00%">
                  <c:v>0.44800000000000001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D-4A18-982F-3FC75900FB65}"/>
            </c:ext>
          </c:extLst>
        </c:ser>
        <c:ser>
          <c:idx val="1"/>
          <c:order val="1"/>
          <c:tx>
            <c:strRef>
              <c:f>'[econ 482 week 5.xlsx]Sheet4'!$C$1</c:f>
              <c:strCache>
                <c:ptCount val="1"/>
                <c:pt idx="0">
                  <c:v>Percent Black (alone)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'[econ 482 week 5.xlsx]Sheet4'!$A$2:$A$10</c:f>
              <c:strCache>
                <c:ptCount val="9"/>
                <c:pt idx="0">
                  <c:v>United States</c:v>
                </c:pt>
                <c:pt idx="2">
                  <c:v>High School Graduate or higher</c:v>
                </c:pt>
                <c:pt idx="3">
                  <c:v>Bachelor's degree or higher</c:v>
                </c:pt>
                <c:pt idx="5">
                  <c:v>Minneapolis-St. Paul-Bloomington</c:v>
                </c:pt>
                <c:pt idx="7">
                  <c:v>High School Graduate or higher</c:v>
                </c:pt>
                <c:pt idx="8">
                  <c:v>Bachelor's degree or higher</c:v>
                </c:pt>
              </c:strCache>
            </c:strRef>
          </c:cat>
          <c:val>
            <c:numRef>
              <c:f>'[econ 482 week 5.xlsx]Sheet4'!$C$2:$C$10</c:f>
              <c:numCache>
                <c:formatCode>General</c:formatCode>
                <c:ptCount val="9"/>
                <c:pt idx="2" formatCode="0.00%">
                  <c:v>0.86499999999999999</c:v>
                </c:pt>
                <c:pt idx="3" formatCode="0%">
                  <c:v>0.22</c:v>
                </c:pt>
                <c:pt idx="4">
                  <c:v>0</c:v>
                </c:pt>
                <c:pt idx="7" formatCode="0.00%">
                  <c:v>0.82499999999999996</c:v>
                </c:pt>
                <c:pt idx="8" formatCode="0.00%">
                  <c:v>0.22900000000000001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2D-4A18-982F-3FC75900FB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87423887"/>
        <c:axId val="761357343"/>
      </c:barChart>
      <c:catAx>
        <c:axId val="887423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357343"/>
        <c:crosses val="autoZero"/>
        <c:auto val="1"/>
        <c:lblAlgn val="ctr"/>
        <c:lblOffset val="100"/>
        <c:noMultiLvlLbl val="0"/>
      </c:catAx>
      <c:valAx>
        <c:axId val="76135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42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Per Patent 2010-2015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'[econ482 week6 resubmit.xlsx]Sheet1'!$A$1</c:f>
              <c:strCache>
                <c:ptCount val="1"/>
                <c:pt idx="0">
                  <c:v>Minneapolis MSA Population per Patent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'[econ482 week6 resubmit.xlsx]Sheet1'!$B$1:$G$1</c:f>
              <c:numCache>
                <c:formatCode>General</c:formatCode>
                <c:ptCount val="6"/>
                <c:pt idx="0" formatCode="#,##0">
                  <c:v>1186</c:v>
                </c:pt>
                <c:pt idx="1">
                  <c:v>1088</c:v>
                </c:pt>
                <c:pt idx="2" formatCode="#,##0">
                  <c:v>1108</c:v>
                </c:pt>
                <c:pt idx="3" formatCode="#,##0">
                  <c:v>1003</c:v>
                </c:pt>
                <c:pt idx="4">
                  <c:v>953</c:v>
                </c:pt>
                <c:pt idx="5">
                  <c:v>1029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62-4CC5-94DA-5442291290DD}"/>
            </c:ext>
          </c:extLst>
        </c:ser>
        <c:ser>
          <c:idx val="1"/>
          <c:order val="1"/>
          <c:tx>
            <c:strRef>
              <c:f>'[econ482 week6 resubmit.xlsx]Sheet1'!$A$2</c:f>
              <c:strCache>
                <c:ptCount val="1"/>
                <c:pt idx="0">
                  <c:v>United States Population per Patent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'[econ482 week6 resubmit.xlsx]Sheet1'!$B$2:$G$2</c:f>
              <c:numCache>
                <c:formatCode>#,##0</c:formatCode>
                <c:ptCount val="6"/>
                <c:pt idx="0">
                  <c:v>2552</c:v>
                </c:pt>
                <c:pt idx="1">
                  <c:v>2555</c:v>
                </c:pt>
                <c:pt idx="2">
                  <c:v>2310</c:v>
                </c:pt>
                <c:pt idx="3">
                  <c:v>2109</c:v>
                </c:pt>
                <c:pt idx="4">
                  <c:v>1965</c:v>
                </c:pt>
                <c:pt idx="5">
                  <c:v>2033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62-4CC5-94DA-544229129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0178976"/>
        <c:axId val="1489605904"/>
      </c:barChart>
      <c:catAx>
        <c:axId val="144017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605904"/>
        <c:crosses val="autoZero"/>
        <c:auto val="1"/>
        <c:lblAlgn val="ctr"/>
        <c:lblOffset val="100"/>
        <c:noMultiLvlLbl val="0"/>
      </c:catAx>
      <c:valAx>
        <c:axId val="148960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17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Hennepin County</a:t>
            </a:r>
            <a:r>
              <a:rPr lang="en-US" baseline="0"/>
              <a:t> 2010-2018 Dissimilarity Index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'[econ 482 week 7.xlsx]bar graph'!$A$5</c:f>
              <c:strCache>
                <c:ptCount val="1"/>
                <c:pt idx="0">
                  <c:v>2018 Dissimilarity Index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'[econ 482 week 7.xlsx]bar graph'!$B$5:$G$5</c:f>
              <c:numCache>
                <c:formatCode>0.00</c:formatCode>
                <c:ptCount val="6"/>
                <c:pt idx="0">
                  <c:v>0.52</c:v>
                </c:pt>
                <c:pt idx="1">
                  <c:v>0.5</c:v>
                </c:pt>
                <c:pt idx="2">
                  <c:v>0.49</c:v>
                </c:pt>
                <c:pt idx="3">
                  <c:v>0.44</c:v>
                </c:pt>
                <c:pt idx="4">
                  <c:v>0.39</c:v>
                </c:pt>
                <c:pt idx="5">
                  <c:v>0.49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31-45A4-8622-9DEDB2417ED1}"/>
            </c:ext>
          </c:extLst>
        </c:ser>
        <c:ser>
          <c:idx val="1"/>
          <c:order val="1"/>
          <c:tx>
            <c:strRef>
              <c:f>'[econ 482 week 7.xlsx]bar graph'!$A$6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'[econ 482 week 7.xlsx]bar graph'!$B$6:$G$6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31-45A4-8622-9DEDB2417ED1}"/>
            </c:ext>
          </c:extLst>
        </c:ser>
        <c:ser>
          <c:idx val="3"/>
          <c:order val="3"/>
          <c:tx>
            <c:strRef>
              <c:f>'[econ 482 week 7.xlsx]bar graph'!$A$8</c:f>
              <c:strCache>
                <c:ptCount val="1"/>
                <c:pt idx="0">
                  <c:v>2010 Dissimilarity Index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'[econ 482 week 7.xlsx]bar graph'!$B$8:$G$8</c:f>
              <c:numCache>
                <c:formatCode>0.00</c:formatCode>
                <c:ptCount val="6"/>
                <c:pt idx="0">
                  <c:v>0.49</c:v>
                </c:pt>
                <c:pt idx="1">
                  <c:v>0.5</c:v>
                </c:pt>
                <c:pt idx="2">
                  <c:v>0.47</c:v>
                </c:pt>
                <c:pt idx="3">
                  <c:v>0.4</c:v>
                </c:pt>
                <c:pt idx="4">
                  <c:v>0.4</c:v>
                </c:pt>
                <c:pt idx="5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31-45A4-8622-9DEDB2417ED1}"/>
            </c:ext>
          </c:extLst>
        </c:ser>
        <c:ser>
          <c:idx val="4"/>
          <c:order val="4"/>
          <c:tx>
            <c:strRef>
              <c:f>'[econ 482 week 7.xlsx]bar graph'!$A$9</c:f>
              <c:strCache>
                <c:ptCount val="1"/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'[econ 482 week 7.xlsx]bar graph'!$B$9:$G$9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F31-45A4-8622-9DEDB2417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70084527"/>
        <c:axId val="1870086159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'[econ 482 week 7.xlsx]bar graph'!$A$7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'[econ 482 week 7.xlsx]bar graph'!$B$7:$G$7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7F31-45A4-8622-9DEDB2417ED1}"/>
                  </c:ext>
                </c:extLst>
              </c15:ser>
            </c15:filteredBarSeries>
          </c:ext>
        </c:extLst>
      </c:barChart>
      <c:catAx>
        <c:axId val="18700845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086159"/>
        <c:crosses val="autoZero"/>
        <c:auto val="1"/>
        <c:lblAlgn val="ctr"/>
        <c:lblOffset val="100"/>
        <c:noMultiLvlLbl val="0"/>
      </c:catAx>
      <c:valAx>
        <c:axId val="1870086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084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 Minneapolis-St. Paul-Bloomington, MN-WI MSA per Capita GDP :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292-DF42-9118-D652F7EEB1B0}"/>
              </c:ext>
            </c:extLst>
          </c:dPt>
          <c:cat>
            <c:numRef>
              <c:f>'[Census Data Assignment 1.xlsx]Per Capita GDP'!$A$2:$B$2</c:f>
              <c:numCache>
                <c:formatCode>General</c:formatCode>
                <c:ptCount val="2"/>
                <c:pt idx="0">
                  <c:v>2009</c:v>
                </c:pt>
                <c:pt idx="1">
                  <c:v>2018</c:v>
                </c:pt>
              </c:numCache>
            </c:numRef>
          </c:cat>
          <c:val>
            <c:numRef>
              <c:f>'[Census Data Assignment 1.xlsx]Per Capita GDP'!$A$3:$B$3</c:f>
              <c:numCache>
                <c:formatCode>#,##0</c:formatCode>
                <c:ptCount val="2"/>
                <c:pt idx="0" formatCode="&quot;$&quot;#,##0_);[Red]\(&quot;$&quot;#,##0\)">
                  <c:v>56708</c:v>
                </c:pt>
                <c:pt idx="1">
                  <c:v>66658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92-DF42-9118-D652F7EEB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7249039"/>
        <c:axId val="1417804863"/>
      </c:barChart>
      <c:catAx>
        <c:axId val="1427249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804863"/>
        <c:crosses val="autoZero"/>
        <c:auto val="1"/>
        <c:lblAlgn val="ctr"/>
        <c:lblOffset val="100"/>
        <c:noMultiLvlLbl val="0"/>
      </c:catAx>
      <c:valAx>
        <c:axId val="141780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24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Minneapolis-St.Paul-Bloomington MN-WI MSA Real GDP by Industry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'[Census Data Assignment 1.xlsx]Sheet1'!$D$1:$D$15</c:f>
              <c:strCache>
                <c:ptCount val="15"/>
                <c:pt idx="0">
                  <c:v>    Agriculture, forestry, fishing and hunting</c:v>
                </c:pt>
                <c:pt idx="1">
                  <c:v>    Mining, quarrying, and oil and gas extraction</c:v>
                </c:pt>
                <c:pt idx="2">
                  <c:v>    Utilities</c:v>
                </c:pt>
                <c:pt idx="3">
                  <c:v>    Construction</c:v>
                </c:pt>
                <c:pt idx="4">
                  <c:v>    Manufacturing</c:v>
                </c:pt>
                <c:pt idx="5">
                  <c:v>    Wholesale trade</c:v>
                </c:pt>
                <c:pt idx="6">
                  <c:v>    Retail trade</c:v>
                </c:pt>
                <c:pt idx="7">
                  <c:v>    Transportation and warehousing</c:v>
                </c:pt>
                <c:pt idx="8">
                  <c:v>    Information</c:v>
                </c:pt>
                <c:pt idx="9">
                  <c:v>    Finance, insurance, real estate, rental, and leasing</c:v>
                </c:pt>
                <c:pt idx="10">
                  <c:v>    Professional and business services</c:v>
                </c:pt>
                <c:pt idx="11">
                  <c:v>    Educational services, health care, and social assistance</c:v>
                </c:pt>
                <c:pt idx="12">
                  <c:v>    Arts, entertainment, recreation, accommodation, and food services</c:v>
                </c:pt>
                <c:pt idx="13">
                  <c:v>    Other services (except government and government enterprises)</c:v>
                </c:pt>
                <c:pt idx="14">
                  <c:v>Government and government enterprises</c:v>
                </c:pt>
              </c:strCache>
            </c:strRef>
          </c:cat>
          <c:val>
            <c:numRef>
              <c:f>'[Census Data Assignment 1.xlsx]Sheet1'!$E$1:$E$15</c:f>
              <c:numCache>
                <c:formatCode>#,##0</c:formatCode>
                <c:ptCount val="15"/>
                <c:pt idx="0">
                  <c:v>635874</c:v>
                </c:pt>
                <c:pt idx="1">
                  <c:v>251984</c:v>
                </c:pt>
                <c:pt idx="2">
                  <c:v>2101774</c:v>
                </c:pt>
                <c:pt idx="3">
                  <c:v>6513309</c:v>
                </c:pt>
                <c:pt idx="4">
                  <c:v>26631007</c:v>
                </c:pt>
                <c:pt idx="5" formatCode="General">
                  <c:v>0</c:v>
                </c:pt>
                <c:pt idx="6">
                  <c:v>9943117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40194931</c:v>
                </c:pt>
                <c:pt idx="10">
                  <c:v>27874884</c:v>
                </c:pt>
                <c:pt idx="11">
                  <c:v>17432040</c:v>
                </c:pt>
                <c:pt idx="12">
                  <c:v>6257175</c:v>
                </c:pt>
                <c:pt idx="13">
                  <c:v>4490946</c:v>
                </c:pt>
                <c:pt idx="14">
                  <c:v>20449025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8C-2B42-9A8D-CAD6177C62A1}"/>
            </c:ext>
          </c:extLst>
        </c:ser>
        <c:ser>
          <c:idx val="1"/>
          <c:order val="1"/>
          <c:tx>
            <c:v>2018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'[Census Data Assignment 1.xlsx]Sheet1'!$D$1:$D$15</c:f>
              <c:strCache>
                <c:ptCount val="15"/>
                <c:pt idx="0">
                  <c:v>    Agriculture, forestry, fishing and hunting</c:v>
                </c:pt>
                <c:pt idx="1">
                  <c:v>    Mining, quarrying, and oil and gas extraction</c:v>
                </c:pt>
                <c:pt idx="2">
                  <c:v>    Utilities</c:v>
                </c:pt>
                <c:pt idx="3">
                  <c:v>    Construction</c:v>
                </c:pt>
                <c:pt idx="4">
                  <c:v>    Manufacturing</c:v>
                </c:pt>
                <c:pt idx="5">
                  <c:v>    Wholesale trade</c:v>
                </c:pt>
                <c:pt idx="6">
                  <c:v>    Retail trade</c:v>
                </c:pt>
                <c:pt idx="7">
                  <c:v>    Transportation and warehousing</c:v>
                </c:pt>
                <c:pt idx="8">
                  <c:v>    Information</c:v>
                </c:pt>
                <c:pt idx="9">
                  <c:v>    Finance, insurance, real estate, rental, and leasing</c:v>
                </c:pt>
                <c:pt idx="10">
                  <c:v>    Professional and business services</c:v>
                </c:pt>
                <c:pt idx="11">
                  <c:v>    Educational services, health care, and social assistance</c:v>
                </c:pt>
                <c:pt idx="12">
                  <c:v>    Arts, entertainment, recreation, accommodation, and food services</c:v>
                </c:pt>
                <c:pt idx="13">
                  <c:v>    Other services (except government and government enterprises)</c:v>
                </c:pt>
                <c:pt idx="14">
                  <c:v>Government and government enterprises</c:v>
                </c:pt>
              </c:strCache>
            </c:strRef>
          </c:cat>
          <c:val>
            <c:numRef>
              <c:f>'[Census Data Assignment 1.xlsx]Sheet1'!$F$1:$F$15</c:f>
              <c:numCache>
                <c:formatCode>#,##0</c:formatCode>
                <c:ptCount val="15"/>
                <c:pt idx="0">
                  <c:v>731221</c:v>
                </c:pt>
                <c:pt idx="1">
                  <c:v>667473</c:v>
                </c:pt>
                <c:pt idx="2">
                  <c:v>2576891</c:v>
                </c:pt>
                <c:pt idx="3">
                  <c:v>7839363</c:v>
                </c:pt>
                <c:pt idx="4">
                  <c:v>35694376</c:v>
                </c:pt>
                <c:pt idx="5">
                  <c:v>18868201</c:v>
                </c:pt>
                <c:pt idx="6">
                  <c:v>13016017</c:v>
                </c:pt>
                <c:pt idx="7">
                  <c:v>7422101</c:v>
                </c:pt>
                <c:pt idx="8">
                  <c:v>10399974</c:v>
                </c:pt>
                <c:pt idx="9">
                  <c:v>44959545</c:v>
                </c:pt>
                <c:pt idx="10">
                  <c:v>40425968</c:v>
                </c:pt>
                <c:pt idx="11">
                  <c:v>21381156</c:v>
                </c:pt>
                <c:pt idx="12">
                  <c:v>8087317</c:v>
                </c:pt>
                <c:pt idx="13">
                  <c:v>4610270</c:v>
                </c:pt>
                <c:pt idx="14">
                  <c:v>20910307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8C-2B42-9A8D-CAD6177C6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9076159"/>
        <c:axId val="1519077791"/>
      </c:barChart>
      <c:catAx>
        <c:axId val="1519076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077791"/>
        <c:crosses val="autoZero"/>
        <c:auto val="1"/>
        <c:lblAlgn val="ctr"/>
        <c:lblOffset val="100"/>
        <c:noMultiLvlLbl val="0"/>
      </c:catAx>
      <c:valAx>
        <c:axId val="151907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076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Minneapolis-St. Paul-Bloomington, MN-WI Job Growth by Industry from 2010-2018</a:t>
            </a:r>
          </a:p>
        </c:rich>
      </c:tx>
      <c:layout>
        <c:manualLayout>
          <c:xMode val="edge"/>
          <c:yMode val="edge"/>
          <c:x val="0.1366734875396292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final!$B$4:$C$25</c:f>
              <c:strCache>
                <c:ptCount val="22"/>
                <c:pt idx="0">
                  <c:v>Management occupations</c:v>
                </c:pt>
                <c:pt idx="1">
                  <c:v>Business and financial operations occupations</c:v>
                </c:pt>
                <c:pt idx="2">
                  <c:v>Computer and mathematical science occupations</c:v>
                </c:pt>
                <c:pt idx="3">
                  <c:v>Architecture and engineering occupations</c:v>
                </c:pt>
                <c:pt idx="4">
                  <c:v>Life, physical, and social science occupations</c:v>
                </c:pt>
                <c:pt idx="5">
                  <c:v>Community and social services occupations</c:v>
                </c:pt>
                <c:pt idx="6">
                  <c:v>Legal occupations</c:v>
                </c:pt>
                <c:pt idx="7">
                  <c:v>Education, training, and library occupations</c:v>
                </c:pt>
                <c:pt idx="8">
                  <c:v>Arts, design, entertainment, sports, and media occupations</c:v>
                </c:pt>
                <c:pt idx="9">
                  <c:v>Healthcare practitioner and technical occupations</c:v>
                </c:pt>
                <c:pt idx="10">
                  <c:v>Healthcare support occupations</c:v>
                </c:pt>
                <c:pt idx="11">
                  <c:v>Protective service occupations</c:v>
                </c:pt>
                <c:pt idx="12">
                  <c:v>Food preparation and serving related occupations</c:v>
                </c:pt>
                <c:pt idx="13">
                  <c:v>Building and grounds cleaning and maintenance occupations</c:v>
                </c:pt>
                <c:pt idx="14">
                  <c:v>Personal care and service occupations</c:v>
                </c:pt>
                <c:pt idx="15">
                  <c:v>Sales and related occupations</c:v>
                </c:pt>
                <c:pt idx="16">
                  <c:v>Office and administrative support occupations</c:v>
                </c:pt>
                <c:pt idx="17">
                  <c:v>Farming, fishing, and forestry occupations</c:v>
                </c:pt>
                <c:pt idx="18">
                  <c:v>Construction and extraction occupations</c:v>
                </c:pt>
                <c:pt idx="19">
                  <c:v>Installation, maintenance, and repair occupations</c:v>
                </c:pt>
                <c:pt idx="20">
                  <c:v>Production occupations</c:v>
                </c:pt>
                <c:pt idx="21">
                  <c:v>Transportation and material moving occupations</c:v>
                </c:pt>
              </c:strCache>
            </c:strRef>
          </c:cat>
          <c:val>
            <c:numRef>
              <c:f>final!$D$4:$D$25</c:f>
              <c:numCache>
                <c:formatCode>#,##0</c:formatCode>
                <c:ptCount val="22"/>
                <c:pt idx="0">
                  <c:v>104590</c:v>
                </c:pt>
                <c:pt idx="1">
                  <c:v>117000</c:v>
                </c:pt>
                <c:pt idx="2">
                  <c:v>68380</c:v>
                </c:pt>
                <c:pt idx="3">
                  <c:v>36610</c:v>
                </c:pt>
                <c:pt idx="4">
                  <c:v>21310</c:v>
                </c:pt>
                <c:pt idx="5">
                  <c:v>28710</c:v>
                </c:pt>
                <c:pt idx="6">
                  <c:v>14430</c:v>
                </c:pt>
                <c:pt idx="7">
                  <c:v>97550</c:v>
                </c:pt>
                <c:pt idx="8">
                  <c:v>29670</c:v>
                </c:pt>
                <c:pt idx="9">
                  <c:v>92490</c:v>
                </c:pt>
                <c:pt idx="10">
                  <c:v>49640</c:v>
                </c:pt>
                <c:pt idx="11">
                  <c:v>30620</c:v>
                </c:pt>
                <c:pt idx="12">
                  <c:v>136320</c:v>
                </c:pt>
                <c:pt idx="13">
                  <c:v>48630</c:v>
                </c:pt>
                <c:pt idx="14">
                  <c:v>64270</c:v>
                </c:pt>
                <c:pt idx="15">
                  <c:v>179850</c:v>
                </c:pt>
                <c:pt idx="16">
                  <c:v>280260</c:v>
                </c:pt>
                <c:pt idx="17">
                  <c:v>0</c:v>
                </c:pt>
                <c:pt idx="18">
                  <c:v>51960</c:v>
                </c:pt>
                <c:pt idx="19">
                  <c:v>52140</c:v>
                </c:pt>
                <c:pt idx="20">
                  <c:v>125630</c:v>
                </c:pt>
                <c:pt idx="21">
                  <c:v>97920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E5-4A64-BDB5-CBC8D1161945}"/>
            </c:ext>
          </c:extLst>
        </c:ser>
        <c:ser>
          <c:idx val="1"/>
          <c:order val="1"/>
          <c:tx>
            <c:v>2018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final!$B$4:$C$25</c:f>
              <c:strCache>
                <c:ptCount val="22"/>
                <c:pt idx="0">
                  <c:v>Management occupations</c:v>
                </c:pt>
                <c:pt idx="1">
                  <c:v>Business and financial operations occupations</c:v>
                </c:pt>
                <c:pt idx="2">
                  <c:v>Computer and mathematical science occupations</c:v>
                </c:pt>
                <c:pt idx="3">
                  <c:v>Architecture and engineering occupations</c:v>
                </c:pt>
                <c:pt idx="4">
                  <c:v>Life, physical, and social science occupations</c:v>
                </c:pt>
                <c:pt idx="5">
                  <c:v>Community and social services occupations</c:v>
                </c:pt>
                <c:pt idx="6">
                  <c:v>Legal occupations</c:v>
                </c:pt>
                <c:pt idx="7">
                  <c:v>Education, training, and library occupations</c:v>
                </c:pt>
                <c:pt idx="8">
                  <c:v>Arts, design, entertainment, sports, and media occupations</c:v>
                </c:pt>
                <c:pt idx="9">
                  <c:v>Healthcare practitioner and technical occupations</c:v>
                </c:pt>
                <c:pt idx="10">
                  <c:v>Healthcare support occupations</c:v>
                </c:pt>
                <c:pt idx="11">
                  <c:v>Protective service occupations</c:v>
                </c:pt>
                <c:pt idx="12">
                  <c:v>Food preparation and serving related occupations</c:v>
                </c:pt>
                <c:pt idx="13">
                  <c:v>Building and grounds cleaning and maintenance occupations</c:v>
                </c:pt>
                <c:pt idx="14">
                  <c:v>Personal care and service occupations</c:v>
                </c:pt>
                <c:pt idx="15">
                  <c:v>Sales and related occupations</c:v>
                </c:pt>
                <c:pt idx="16">
                  <c:v>Office and administrative support occupations</c:v>
                </c:pt>
                <c:pt idx="17">
                  <c:v>Farming, fishing, and forestry occupations</c:v>
                </c:pt>
                <c:pt idx="18">
                  <c:v>Construction and extraction occupations</c:v>
                </c:pt>
                <c:pt idx="19">
                  <c:v>Installation, maintenance, and repair occupations</c:v>
                </c:pt>
                <c:pt idx="20">
                  <c:v>Production occupations</c:v>
                </c:pt>
                <c:pt idx="21">
                  <c:v>Transportation and material moving occupations</c:v>
                </c:pt>
              </c:strCache>
            </c:strRef>
          </c:cat>
          <c:val>
            <c:numRef>
              <c:f>final!$E$4:$E$25</c:f>
              <c:numCache>
                <c:formatCode>#,##0</c:formatCode>
                <c:ptCount val="22"/>
                <c:pt idx="0">
                  <c:v>129190</c:v>
                </c:pt>
                <c:pt idx="1">
                  <c:v>134600</c:v>
                </c:pt>
                <c:pt idx="2">
                  <c:v>82240</c:v>
                </c:pt>
                <c:pt idx="3">
                  <c:v>43470</c:v>
                </c:pt>
                <c:pt idx="4">
                  <c:v>20060</c:v>
                </c:pt>
                <c:pt idx="5">
                  <c:v>36680</c:v>
                </c:pt>
                <c:pt idx="6">
                  <c:v>16550</c:v>
                </c:pt>
                <c:pt idx="7">
                  <c:v>109310</c:v>
                </c:pt>
                <c:pt idx="8">
                  <c:v>31600</c:v>
                </c:pt>
                <c:pt idx="9">
                  <c:v>112530</c:v>
                </c:pt>
                <c:pt idx="10">
                  <c:v>48720</c:v>
                </c:pt>
                <c:pt idx="11">
                  <c:v>30730</c:v>
                </c:pt>
                <c:pt idx="12">
                  <c:v>161790</c:v>
                </c:pt>
                <c:pt idx="13">
                  <c:v>53930</c:v>
                </c:pt>
                <c:pt idx="14">
                  <c:v>103180</c:v>
                </c:pt>
                <c:pt idx="15">
                  <c:v>189260</c:v>
                </c:pt>
                <c:pt idx="16">
                  <c:v>280040</c:v>
                </c:pt>
                <c:pt idx="17">
                  <c:v>1240</c:v>
                </c:pt>
                <c:pt idx="18">
                  <c:v>63730</c:v>
                </c:pt>
                <c:pt idx="19">
                  <c:v>60260</c:v>
                </c:pt>
                <c:pt idx="20">
                  <c:v>131820</c:v>
                </c:pt>
                <c:pt idx="21">
                  <c:v>115380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E5-4A64-BDB5-CBC8D1161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9665295"/>
        <c:axId val="1014318303"/>
      </c:barChart>
      <c:catAx>
        <c:axId val="100966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318303"/>
        <c:crosses val="autoZero"/>
        <c:auto val="1"/>
        <c:lblAlgn val="ctr"/>
        <c:lblOffset val="100"/>
        <c:noMultiLvlLbl val="0"/>
      </c:catAx>
      <c:valAx>
        <c:axId val="101431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966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Minneapolis-St. Paul-Bloomington MSA Median Income by</a:t>
            </a:r>
            <a:r>
              <a:rPr lang="en-US" baseline="0"/>
              <a:t> Educational Level</a:t>
            </a: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176194444444444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'[econ 482 week 5.xlsx]median income'!$B$16:$B$17</c:f>
              <c:strCache>
                <c:ptCount val="2"/>
                <c:pt idx="0">
                  <c:v>Percent 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'[econ 482 week 5.xlsx]median income'!$A$18:$A$23</c:f>
              <c:strCache>
                <c:ptCount val="6"/>
                <c:pt idx="0">
                  <c:v>Population 25 years and older</c:v>
                </c:pt>
                <c:pt idx="1">
                  <c:v>Less than 9th grade</c:v>
                </c:pt>
                <c:pt idx="2">
                  <c:v>High School Graduate (includes equivalency)</c:v>
                </c:pt>
                <c:pt idx="3">
                  <c:v>Some college or Associate's Degree</c:v>
                </c:pt>
                <c:pt idx="4">
                  <c:v>Bachelor's degree</c:v>
                </c:pt>
                <c:pt idx="5">
                  <c:v>Graduate or professional degree</c:v>
                </c:pt>
              </c:strCache>
            </c:strRef>
          </c:cat>
          <c:val>
            <c:numRef>
              <c:f>'[econ 482 week 5.xlsx]median income'!$B$18:$B$23</c:f>
              <c:numCache>
                <c:formatCode>"$"#,##0_);[Red]\("$"#,##0\)</c:formatCode>
                <c:ptCount val="6"/>
                <c:pt idx="0">
                  <c:v>49448</c:v>
                </c:pt>
                <c:pt idx="1">
                  <c:v>27305</c:v>
                </c:pt>
                <c:pt idx="2">
                  <c:v>35306</c:v>
                </c:pt>
                <c:pt idx="3">
                  <c:v>42374</c:v>
                </c:pt>
                <c:pt idx="4">
                  <c:v>61417</c:v>
                </c:pt>
                <c:pt idx="5">
                  <c:v>76019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B8-4CE0-8151-26F94DF38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2924047"/>
        <c:axId val="1900261759"/>
      </c:barChart>
      <c:catAx>
        <c:axId val="2092924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261759"/>
        <c:crosses val="autoZero"/>
        <c:auto val="1"/>
        <c:lblAlgn val="ctr"/>
        <c:lblOffset val="100"/>
        <c:noMultiLvlLbl val="0"/>
      </c:catAx>
      <c:valAx>
        <c:axId val="190026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92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United</a:t>
            </a:r>
            <a:r>
              <a:rPr lang="en-US" baseline="0"/>
              <a:t> States Median Income by Educational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'[econ 482 week 5.xlsx]median income'!$B$1:$B$2</c:f>
              <c:strCache>
                <c:ptCount val="2"/>
                <c:pt idx="0">
                  <c:v>Percent Total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828-41F9-BAFC-A7825F649E4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28-41F9-BAFC-A7825F649E4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828-41F9-BAFC-A7825F649E4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D828-41F9-BAFC-A7825F649E47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28-41F9-BAFC-A7825F649E4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28-41F9-BAFC-A7825F649E47}"/>
              </c:ext>
            </c:extLst>
          </c:dPt>
          <c:cat>
            <c:strRef>
              <c:f>'[econ 482 week 5.xlsx]median income'!$A$3:$A$8</c:f>
              <c:strCache>
                <c:ptCount val="6"/>
                <c:pt idx="0">
                  <c:v>Population 25 years and older</c:v>
                </c:pt>
                <c:pt idx="1">
                  <c:v>Less than 9th grade</c:v>
                </c:pt>
                <c:pt idx="2">
                  <c:v>High School Graduate (includes equivalency)</c:v>
                </c:pt>
                <c:pt idx="3">
                  <c:v>Some college or Associate's Degree</c:v>
                </c:pt>
                <c:pt idx="4">
                  <c:v>Bachelor's degree</c:v>
                </c:pt>
                <c:pt idx="5">
                  <c:v>Graduate or professional degree</c:v>
                </c:pt>
              </c:strCache>
            </c:strRef>
          </c:cat>
          <c:val>
            <c:numRef>
              <c:f>'[econ 482 week 5.xlsx]median income'!$B$3:$B$8</c:f>
              <c:numCache>
                <c:formatCode>"$"#,##0_);[Red]\("$"#,##0\)</c:formatCode>
                <c:ptCount val="6"/>
                <c:pt idx="0">
                  <c:v>40867</c:v>
                </c:pt>
                <c:pt idx="1">
                  <c:v>24530</c:v>
                </c:pt>
                <c:pt idx="2">
                  <c:v>31269</c:v>
                </c:pt>
                <c:pt idx="3">
                  <c:v>36854</c:v>
                </c:pt>
                <c:pt idx="4">
                  <c:v>54628</c:v>
                </c:pt>
                <c:pt idx="5">
                  <c:v>72492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C4-43DD-9647-B3569500CF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8889439"/>
        <c:axId val="2102747871"/>
      </c:barChart>
      <c:catAx>
        <c:axId val="2088889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47871"/>
        <c:crosses val="autoZero"/>
        <c:auto val="1"/>
        <c:lblAlgn val="ctr"/>
        <c:lblOffset val="100"/>
        <c:noMultiLvlLbl val="0"/>
      </c:catAx>
      <c:valAx>
        <c:axId val="210274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8889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Minneapolis-St.Paul-Bloomington MN-WI MSA vs United States Gini Index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'[econ 482 week 5.xlsx]gini index'!$B$1</c:f>
              <c:strCache>
                <c:ptCount val="1"/>
                <c:pt idx="0">
                  <c:v>2006-2010 Gini Index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'[econ 482 week 5.xlsx]gini index'!$A$2:$A$3</c:f>
              <c:strCache>
                <c:ptCount val="2"/>
                <c:pt idx="0">
                  <c:v>Minneapolis-St. Paul-Bloomington Metro Area </c:v>
                </c:pt>
                <c:pt idx="1">
                  <c:v>United States</c:v>
                </c:pt>
              </c:strCache>
            </c:strRef>
          </c:cat>
          <c:val>
            <c:numRef>
              <c:f>'[econ 482 week 5.xlsx]gini index'!$B$2:$B$3</c:f>
              <c:numCache>
                <c:formatCode>General</c:formatCode>
                <c:ptCount val="2"/>
                <c:pt idx="0">
                  <c:v>0.434</c:v>
                </c:pt>
                <c:pt idx="1">
                  <c:v>0.46700000000000003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04-4332-804E-92E5291EEBED}"/>
            </c:ext>
          </c:extLst>
        </c:ser>
        <c:ser>
          <c:idx val="1"/>
          <c:order val="1"/>
          <c:tx>
            <c:strRef>
              <c:f>'[econ 482 week 5.xlsx]gini index'!$C$1</c:f>
              <c:strCache>
                <c:ptCount val="1"/>
                <c:pt idx="0">
                  <c:v>2014-2018 Gini Index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'[econ 482 week 5.xlsx]gini index'!$A$2:$A$3</c:f>
              <c:strCache>
                <c:ptCount val="2"/>
                <c:pt idx="0">
                  <c:v>Minneapolis-St. Paul-Bloomington Metro Area </c:v>
                </c:pt>
                <c:pt idx="1">
                  <c:v>United States</c:v>
                </c:pt>
              </c:strCache>
            </c:strRef>
          </c:cat>
          <c:val>
            <c:numRef>
              <c:f>'[econ 482 week 5.xlsx]gini index'!$C$2:$C$3</c:f>
              <c:numCache>
                <c:formatCode>General</c:formatCode>
                <c:ptCount val="2"/>
                <c:pt idx="0">
                  <c:v>0.44800000000000001</c:v>
                </c:pt>
                <c:pt idx="1">
                  <c:v>0.48199999999999998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04-4332-804E-92E5291EE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18368415"/>
        <c:axId val="1887364559"/>
      </c:barChart>
      <c:catAx>
        <c:axId val="2118368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364559"/>
        <c:crosses val="autoZero"/>
        <c:auto val="1"/>
        <c:lblAlgn val="ctr"/>
        <c:lblOffset val="100"/>
        <c:noMultiLvlLbl val="0"/>
      </c:catAx>
      <c:valAx>
        <c:axId val="188736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36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people on the </a:t>
            </a:r>
            <a:r>
              <a:rPr lang="en-US" sz="1400" b="0" i="0" u="none" strike="noStrike" baseline="0">
                <a:effectLst/>
              </a:rPr>
              <a:t>The Minnesota Chamber of Commerce's Board by Industry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'percent of total'!$A$2:$A$13</c:f>
              <c:strCache>
                <c:ptCount val="12"/>
                <c:pt idx="0">
                  <c:v>Mining, Logging, and Construction  </c:v>
                </c:pt>
                <c:pt idx="1">
                  <c:v>Manufacturing </c:v>
                </c:pt>
                <c:pt idx="2">
                  <c:v>Wholesale Trade</c:v>
                </c:pt>
                <c:pt idx="3">
                  <c:v>Retail Trade </c:v>
                </c:pt>
                <c:pt idx="4">
                  <c:v>Transportation and Utilities </c:v>
                </c:pt>
                <c:pt idx="5">
                  <c:v>Information </c:v>
                </c:pt>
                <c:pt idx="6">
                  <c:v>Financial Activities </c:v>
                </c:pt>
                <c:pt idx="7">
                  <c:v>Professsional and Business Activities</c:v>
                </c:pt>
                <c:pt idx="8">
                  <c:v>Education and Health Services</c:v>
                </c:pt>
                <c:pt idx="9">
                  <c:v>Lesiure and Hospitality </c:v>
                </c:pt>
                <c:pt idx="10">
                  <c:v>Other Services </c:v>
                </c:pt>
                <c:pt idx="11">
                  <c:v>Government</c:v>
                </c:pt>
              </c:strCache>
            </c:strRef>
          </c:cat>
          <c:val>
            <c:numRef>
              <c:f>'percent of total'!$C$2:$C$13</c:f>
              <c:numCache>
                <c:formatCode>General</c:formatCode>
                <c:ptCount val="12"/>
                <c:pt idx="0">
                  <c:v>3</c:v>
                </c:pt>
                <c:pt idx="1">
                  <c:v>9</c:v>
                </c:pt>
                <c:pt idx="2">
                  <c:v>0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7</c:v>
                </c:pt>
                <c:pt idx="7">
                  <c:v>10</c:v>
                </c:pt>
                <c:pt idx="8">
                  <c:v>5</c:v>
                </c:pt>
                <c:pt idx="9">
                  <c:v>4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B1-40E1-BA07-952288891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3729567"/>
        <c:axId val="387284783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'percent of total'!$A$2:$A$13</c15:sqref>
                        </c15:formulaRef>
                      </c:ext>
                    </c:extLst>
                    <c:strCache>
                      <c:ptCount val="12"/>
                      <c:pt idx="0">
                        <c:v>Mining, Logging, and Construction  </c:v>
                      </c:pt>
                      <c:pt idx="1">
                        <c:v>Manufacturing </c:v>
                      </c:pt>
                      <c:pt idx="2">
                        <c:v>Wholesale Trade</c:v>
                      </c:pt>
                      <c:pt idx="3">
                        <c:v>Retail Trade </c:v>
                      </c:pt>
                      <c:pt idx="4">
                        <c:v>Transportation and Utilities </c:v>
                      </c:pt>
                      <c:pt idx="5">
                        <c:v>Information </c:v>
                      </c:pt>
                      <c:pt idx="6">
                        <c:v>Financial Activities </c:v>
                      </c:pt>
                      <c:pt idx="7">
                        <c:v>Professsional and Business Activities</c:v>
                      </c:pt>
                      <c:pt idx="8">
                        <c:v>Education and Health Services</c:v>
                      </c:pt>
                      <c:pt idx="9">
                        <c:v>Lesiure and Hospitality </c:v>
                      </c:pt>
                      <c:pt idx="10">
                        <c:v>Other Services </c:v>
                      </c:pt>
                      <c:pt idx="11">
                        <c:v>Government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'percent of total'!$B$2:$B$13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4B1-40E1-BA07-952288891449}"/>
                  </c:ext>
                </c:extLst>
              </c15:ser>
            </c15:filteredBarSeries>
          </c:ext>
        </c:extLst>
      </c:barChart>
      <c:catAx>
        <c:axId val="803729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284783"/>
        <c:crosses val="autoZero"/>
        <c:auto val="1"/>
        <c:lblAlgn val="ctr"/>
        <c:lblOffset val="100"/>
        <c:noMultiLvlLbl val="0"/>
      </c:catAx>
      <c:valAx>
        <c:axId val="38728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729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Employment by Industry in </a:t>
            </a:r>
            <a:r>
              <a:rPr lang="en-US" sz="1400" b="0" i="0" u="none" strike="noStrike" baseline="0">
                <a:effectLst/>
              </a:rPr>
              <a:t>The Minneapolis-St. Paul-Bloomington MN-WI MSA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Employment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Mining, Logging, and Construction  </c:v>
                </c:pt>
                <c:pt idx="1">
                  <c:v>Manufacturing </c:v>
                </c:pt>
                <c:pt idx="2">
                  <c:v>Wholesale Trade</c:v>
                </c:pt>
                <c:pt idx="3">
                  <c:v>Retail Trade </c:v>
                </c:pt>
                <c:pt idx="4">
                  <c:v>Transportation and Utilities </c:v>
                </c:pt>
                <c:pt idx="5">
                  <c:v>Information </c:v>
                </c:pt>
                <c:pt idx="6">
                  <c:v>Financial Activities </c:v>
                </c:pt>
                <c:pt idx="7">
                  <c:v>Professsional and Business Activities</c:v>
                </c:pt>
                <c:pt idx="8">
                  <c:v>Education and Health Services</c:v>
                </c:pt>
                <c:pt idx="9">
                  <c:v>Lesiure and Hospitality </c:v>
                </c:pt>
                <c:pt idx="10">
                  <c:v>Other Services </c:v>
                </c:pt>
                <c:pt idx="11">
                  <c:v>Government</c:v>
                </c:pt>
              </c:strCache>
            </c:strRef>
          </c:cat>
          <c:val>
            <c:numRef>
              <c:f>Sheet1!$C$2:$C$13</c:f>
              <c:numCache>
                <c:formatCode>#,##0</c:formatCode>
                <c:ptCount val="12"/>
                <c:pt idx="0">
                  <c:v>82600</c:v>
                </c:pt>
                <c:pt idx="1">
                  <c:v>199800</c:v>
                </c:pt>
                <c:pt idx="2">
                  <c:v>92220</c:v>
                </c:pt>
                <c:pt idx="3">
                  <c:v>190600</c:v>
                </c:pt>
                <c:pt idx="4">
                  <c:v>75400</c:v>
                </c:pt>
                <c:pt idx="5">
                  <c:v>35400</c:v>
                </c:pt>
                <c:pt idx="6">
                  <c:v>156100</c:v>
                </c:pt>
                <c:pt idx="7">
                  <c:v>329400</c:v>
                </c:pt>
                <c:pt idx="8">
                  <c:v>340000</c:v>
                </c:pt>
                <c:pt idx="9">
                  <c:v>190400</c:v>
                </c:pt>
                <c:pt idx="10">
                  <c:v>78800</c:v>
                </c:pt>
                <c:pt idx="11">
                  <c:v>249800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3A-4BDA-B3B1-6E0EFAD19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4974256"/>
        <c:axId val="164625969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Sheet1!$A$2:$A$13</c15:sqref>
                        </c15:formulaRef>
                      </c:ext>
                    </c:extLst>
                    <c:strCache>
                      <c:ptCount val="12"/>
                      <c:pt idx="0">
                        <c:v>Mining, Logging, and Construction  </c:v>
                      </c:pt>
                      <c:pt idx="1">
                        <c:v>Manufacturing </c:v>
                      </c:pt>
                      <c:pt idx="2">
                        <c:v>Wholesale Trade</c:v>
                      </c:pt>
                      <c:pt idx="3">
                        <c:v>Retail Trade </c:v>
                      </c:pt>
                      <c:pt idx="4">
                        <c:v>Transportation and Utilities </c:v>
                      </c:pt>
                      <c:pt idx="5">
                        <c:v>Information </c:v>
                      </c:pt>
                      <c:pt idx="6">
                        <c:v>Financial Activities </c:v>
                      </c:pt>
                      <c:pt idx="7">
                        <c:v>Professsional and Business Activities</c:v>
                      </c:pt>
                      <c:pt idx="8">
                        <c:v>Education and Health Services</c:v>
                      </c:pt>
                      <c:pt idx="9">
                        <c:v>Lesiure and Hospitality </c:v>
                      </c:pt>
                      <c:pt idx="10">
                        <c:v>Other Services </c:v>
                      </c:pt>
                      <c:pt idx="11">
                        <c:v>Government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C3A-4BDA-B3B1-6E0EFAD19F6E}"/>
                  </c:ext>
                </c:extLst>
              </c15:ser>
            </c15:filteredBarSeries>
          </c:ext>
        </c:extLst>
      </c:barChart>
      <c:catAx>
        <c:axId val="158497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6259696"/>
        <c:crosses val="autoZero"/>
        <c:auto val="1"/>
        <c:lblAlgn val="ctr"/>
        <c:lblOffset val="100"/>
        <c:noMultiLvlLbl val="0"/>
      </c:catAx>
      <c:valAx>
        <c:axId val="16462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97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0000"/>
      </a:accent2>
      <a:accent3>
        <a:srgbClr val="FF0000"/>
      </a:accent3>
      <a:accent4>
        <a:srgbClr val="FF0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Brannon</dc:creator>
  <cp:keywords/>
  <dc:description/>
  <cp:lastModifiedBy>Noah Brannon</cp:lastModifiedBy>
  <cp:revision>6</cp:revision>
  <dcterms:created xsi:type="dcterms:W3CDTF">2022-08-13T03:18:00Z</dcterms:created>
  <dcterms:modified xsi:type="dcterms:W3CDTF">2023-01-13T19:45:00Z</dcterms:modified>
</cp:coreProperties>
</file>