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B4627" w14:textId="7FC07708" w:rsidR="00D10515" w:rsidRDefault="00782DCD">
      <w:pPr>
        <w:pBdr>
          <w:bottom w:val="single" w:sz="12" w:space="1" w:color="auto"/>
        </w:pBdr>
        <w:rPr>
          <w:b/>
          <w:bCs/>
          <w:sz w:val="28"/>
          <w:szCs w:val="28"/>
        </w:rPr>
      </w:pPr>
      <w:r w:rsidRPr="0070295F">
        <w:rPr>
          <w:b/>
          <w:bCs/>
          <w:sz w:val="28"/>
          <w:szCs w:val="28"/>
        </w:rPr>
        <w:t>The PIAAC Variable Finder</w:t>
      </w:r>
      <w:r>
        <w:rPr>
          <w:b/>
          <w:bCs/>
          <w:sz w:val="28"/>
          <w:szCs w:val="28"/>
        </w:rPr>
        <w:t>: User’s Guide</w:t>
      </w:r>
    </w:p>
    <w:p w14:paraId="4A9E99FC" w14:textId="77777777" w:rsidR="00782DCD" w:rsidRPr="00436321" w:rsidRDefault="00782DCD" w:rsidP="00782DCD"/>
    <w:p w14:paraId="6CA1AF0B" w14:textId="77777777" w:rsidR="00782DCD" w:rsidRPr="00782DCD" w:rsidRDefault="00782DCD" w:rsidP="00782DCD">
      <w:pPr>
        <w:rPr>
          <w:lang w:val="de-DE"/>
        </w:rPr>
      </w:pPr>
      <w:r w:rsidRPr="00782DCD">
        <w:rPr>
          <w:lang w:val="de-DE"/>
        </w:rPr>
        <w:t xml:space="preserve">Nate Breznau, </w:t>
      </w:r>
      <w:hyperlink r:id="rId5" w:history="1">
        <w:r w:rsidRPr="00782DCD">
          <w:rPr>
            <w:rStyle w:val="Hyperlink"/>
            <w:lang w:val="de-DE"/>
          </w:rPr>
          <w:t>breznau.nate@gmail.com</w:t>
        </w:r>
      </w:hyperlink>
      <w:r w:rsidRPr="00782DCD">
        <w:rPr>
          <w:lang w:val="de-DE"/>
        </w:rPr>
        <w:t xml:space="preserve">, </w:t>
      </w:r>
      <w:r>
        <w:rPr>
          <w:noProof/>
          <w:lang w:val="de-DE"/>
        </w:rPr>
        <w:drawing>
          <wp:inline distT="0" distB="0" distL="0" distR="0" wp14:anchorId="51818147" wp14:editId="70496040">
            <wp:extent cx="133350" cy="133350"/>
            <wp:effectExtent l="0" t="0" r="0" b="0"/>
            <wp:docPr id="240065848" name="Graphic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65848" name="Graphic 1">
                      <a:hlinkClick r:id="rId6"/>
                    </pic:cNvPr>
                    <pic:cNvPicPr/>
                  </pic:nvPicPr>
                  <pic:blipFill>
                    <a:blip r:embed="rId7">
                      <a:extLst>
                        <a:ext uri="{96DAC541-7B7A-43D3-8B79-37D633B846F1}">
                          <asvg:svgBlip xmlns:asvg="http://schemas.microsoft.com/office/drawing/2016/SVG/main" r:embed="rId8"/>
                        </a:ext>
                      </a:extLst>
                    </a:blip>
                    <a:stretch>
                      <a:fillRect/>
                    </a:stretch>
                  </pic:blipFill>
                  <pic:spPr>
                    <a:xfrm>
                      <a:off x="0" y="0"/>
                      <a:ext cx="133350" cy="133350"/>
                    </a:xfrm>
                    <a:prstGeom prst="rect">
                      <a:avLst/>
                    </a:prstGeom>
                  </pic:spPr>
                </pic:pic>
              </a:graphicData>
            </a:graphic>
          </wp:inline>
        </w:drawing>
      </w:r>
    </w:p>
    <w:p w14:paraId="11C519F5" w14:textId="77777777" w:rsidR="00782DCD" w:rsidRDefault="00782DCD" w:rsidP="00782DCD">
      <w:r w:rsidRPr="00D84C32">
        <w:t xml:space="preserve">German Institute for Adult Education </w:t>
      </w:r>
      <w:r>
        <w:t>– Leibniz Centre for Lifelong Learning</w:t>
      </w:r>
    </w:p>
    <w:p w14:paraId="39E39892" w14:textId="77777777" w:rsidR="00782DCD" w:rsidRDefault="00782DCD">
      <w:pPr>
        <w:rPr>
          <w:b/>
          <w:bCs/>
          <w:sz w:val="28"/>
          <w:szCs w:val="28"/>
        </w:rPr>
      </w:pPr>
    </w:p>
    <w:p w14:paraId="525C47C0" w14:textId="2AB32CD2" w:rsidR="00782DCD" w:rsidRPr="00782DCD" w:rsidRDefault="00782DCD" w:rsidP="00782DCD">
      <w:pPr>
        <w:jc w:val="center"/>
        <w:rPr>
          <w:i/>
          <w:iCs/>
        </w:rPr>
      </w:pPr>
      <w:r w:rsidRPr="00782DCD">
        <w:rPr>
          <w:i/>
          <w:iCs/>
        </w:rPr>
        <w:t>Version 0.</w:t>
      </w:r>
      <w:r w:rsidR="00436321">
        <w:rPr>
          <w:i/>
          <w:iCs/>
        </w:rPr>
        <w:t>2</w:t>
      </w:r>
      <w:r w:rsidRPr="00782DCD">
        <w:rPr>
          <w:i/>
          <w:iCs/>
        </w:rPr>
        <w:tab/>
        <w:t xml:space="preserve"> </w:t>
      </w:r>
      <w:r w:rsidR="00436321">
        <w:rPr>
          <w:i/>
          <w:iCs/>
        </w:rPr>
        <w:t>24.07</w:t>
      </w:r>
      <w:r w:rsidRPr="00782DCD">
        <w:rPr>
          <w:i/>
          <w:iCs/>
        </w:rPr>
        <w:t>.2025</w:t>
      </w:r>
    </w:p>
    <w:p w14:paraId="024C882A" w14:textId="194EEFD8" w:rsidR="00782DCD" w:rsidRDefault="00782DCD"/>
    <w:p w14:paraId="301EB441" w14:textId="2DDF3B3E" w:rsidR="00782DCD" w:rsidRDefault="00782DCD">
      <w:r>
        <w:t>Guide for users of the PIAAC Variable Finder</w:t>
      </w:r>
    </w:p>
    <w:p w14:paraId="4792436A" w14:textId="77777777" w:rsidR="00782DCD" w:rsidRDefault="00782DCD"/>
    <w:p w14:paraId="678B6B6F" w14:textId="6D14CC6B" w:rsidR="00275F19" w:rsidRPr="00275F19" w:rsidRDefault="00275F19" w:rsidP="00275F19">
      <w:r>
        <w:t xml:space="preserve">Working paper: </w:t>
      </w:r>
      <w:r w:rsidRPr="00275F19">
        <w:t xml:space="preserve">Breznau, Nate. 2025. “The PIAAC Variable Finder: An Interactive Shiny App for Cleaning, Interpreting and Analyzing </w:t>
      </w:r>
      <w:proofErr w:type="spellStart"/>
      <w:r w:rsidRPr="00275F19">
        <w:t>Programme</w:t>
      </w:r>
      <w:proofErr w:type="spellEnd"/>
      <w:r w:rsidRPr="00275F19">
        <w:t xml:space="preserve"> for the International Assessment of Adult Competencies Data.” </w:t>
      </w:r>
      <w:proofErr w:type="spellStart"/>
      <w:r>
        <w:t>SocArXiv</w:t>
      </w:r>
      <w:proofErr w:type="spellEnd"/>
      <w:r>
        <w:t xml:space="preserve">. </w:t>
      </w:r>
      <w:r w:rsidRPr="00275F19">
        <w:t>doi:</w:t>
      </w:r>
      <w:hyperlink r:id="rId9" w:history="1">
        <w:r w:rsidRPr="00275F19">
          <w:rPr>
            <w:rStyle w:val="Hyperlink"/>
          </w:rPr>
          <w:t>10.31235/osf.io/xp4ja_v1</w:t>
        </w:r>
      </w:hyperlink>
      <w:r w:rsidRPr="00275F19">
        <w:t>.</w:t>
      </w:r>
    </w:p>
    <w:p w14:paraId="63744930" w14:textId="6AA5638E" w:rsidR="00275F19" w:rsidRDefault="00275F19"/>
    <w:p w14:paraId="102A83CE" w14:textId="1AFCB15B" w:rsidR="00782DCD" w:rsidRDefault="00782DCD">
      <w:r>
        <w:t xml:space="preserve">Web-based version: </w:t>
      </w:r>
      <w:hyperlink r:id="rId10" w:history="1">
        <w:r w:rsidRPr="0058698B">
          <w:rPr>
            <w:rStyle w:val="Hyperlink"/>
          </w:rPr>
          <w:t>https://nate-breznau.shinyapps.io/PIAAC_Variable_Finder/</w:t>
        </w:r>
      </w:hyperlink>
      <w:r>
        <w:t xml:space="preserve"> </w:t>
      </w:r>
    </w:p>
    <w:p w14:paraId="5F429A2A" w14:textId="06E805BD" w:rsidR="00782DCD" w:rsidRDefault="00782DCD">
      <w:r>
        <w:t xml:space="preserve">Locally deployable </w:t>
      </w:r>
      <w:r w:rsidR="00275F19">
        <w:t>folder (</w:t>
      </w:r>
      <w:r>
        <w:t>as zip file</w:t>
      </w:r>
      <w:r w:rsidR="00275F19">
        <w:t>)</w:t>
      </w:r>
      <w:r>
        <w:t>:</w:t>
      </w:r>
      <w:r w:rsidR="00275F19">
        <w:t xml:space="preserve"> </w:t>
      </w:r>
      <w:hyperlink r:id="rId11" w:history="1">
        <w:r w:rsidR="00275F19" w:rsidRPr="00DE7AA0">
          <w:rPr>
            <w:rStyle w:val="Hyperlink"/>
          </w:rPr>
          <w:t>https://github.com/nbreznau/PIAAC_Variable_Finder/blob/main/Shiny.zip</w:t>
        </w:r>
      </w:hyperlink>
      <w:r w:rsidR="00275F19">
        <w:t xml:space="preserve"> </w:t>
      </w:r>
    </w:p>
    <w:p w14:paraId="6FF5ADF8" w14:textId="05901C0F" w:rsidR="00782DCD" w:rsidRDefault="00782DCD">
      <w:r>
        <w:t xml:space="preserve">Development workflow on </w:t>
      </w:r>
      <w:proofErr w:type="spellStart"/>
      <w:r>
        <w:t>Github</w:t>
      </w:r>
      <w:proofErr w:type="spellEnd"/>
      <w:r>
        <w:t xml:space="preserve">: </w:t>
      </w:r>
      <w:hyperlink r:id="rId12" w:history="1">
        <w:r w:rsidRPr="0058698B">
          <w:rPr>
            <w:rStyle w:val="Hyperlink"/>
          </w:rPr>
          <w:t>https://github.com/nbreznau/PIAAC_VET_basics</w:t>
        </w:r>
      </w:hyperlink>
      <w:r>
        <w:t xml:space="preserve"> </w:t>
      </w:r>
    </w:p>
    <w:p w14:paraId="616FBE22" w14:textId="77777777" w:rsidR="00782DCD" w:rsidRDefault="00782DCD"/>
    <w:p w14:paraId="5B6076C6" w14:textId="77777777" w:rsidR="00436321" w:rsidRDefault="00436321">
      <w:pPr>
        <w:rPr>
          <w:b/>
          <w:bCs/>
        </w:rPr>
      </w:pPr>
      <w:r>
        <w:br w:type="page"/>
      </w:r>
    </w:p>
    <w:p w14:paraId="2CACF143" w14:textId="091A9205" w:rsidR="00436321" w:rsidRDefault="00436321" w:rsidP="0001274B">
      <w:pPr>
        <w:pStyle w:val="Heading1"/>
        <w:spacing w:after="120" w:line="240" w:lineRule="auto"/>
      </w:pPr>
      <w:r w:rsidRPr="00436321">
        <w:lastRenderedPageBreak/>
        <w:t>User Interface – Quick Start</w:t>
      </w:r>
    </w:p>
    <w:p w14:paraId="491E4F46" w14:textId="1B6D5587" w:rsidR="00436321" w:rsidRDefault="00436321" w:rsidP="005C75BB">
      <w:pPr>
        <w:jc w:val="center"/>
      </w:pPr>
      <w:r>
        <w:rPr>
          <w:noProof/>
        </w:rPr>
        <w:drawing>
          <wp:inline distT="0" distB="0" distL="0" distR="0" wp14:anchorId="4C76EC37" wp14:editId="43A5562D">
            <wp:extent cx="6361346" cy="2565780"/>
            <wp:effectExtent l="0" t="0" r="1905" b="6350"/>
            <wp:docPr id="4508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8111" name="Picture 45088111"/>
                    <pic:cNvPicPr/>
                  </pic:nvPicPr>
                  <pic:blipFill rotWithShape="1">
                    <a:blip r:embed="rId13" cstate="print">
                      <a:extLst>
                        <a:ext uri="{28A0092B-C50C-407E-A947-70E740481C1C}">
                          <a14:useLocalDpi xmlns:a14="http://schemas.microsoft.com/office/drawing/2010/main" val="0"/>
                        </a:ext>
                      </a:extLst>
                    </a:blip>
                    <a:srcRect t="11576" b="16720"/>
                    <a:stretch>
                      <a:fillRect/>
                    </a:stretch>
                  </pic:blipFill>
                  <pic:spPr bwMode="auto">
                    <a:xfrm>
                      <a:off x="0" y="0"/>
                      <a:ext cx="6369068" cy="2568894"/>
                    </a:xfrm>
                    <a:prstGeom prst="rect">
                      <a:avLst/>
                    </a:prstGeom>
                    <a:ln>
                      <a:noFill/>
                    </a:ln>
                    <a:extLst>
                      <a:ext uri="{53640926-AAD7-44D8-BBD7-CCE9431645EC}">
                        <a14:shadowObscured xmlns:a14="http://schemas.microsoft.com/office/drawing/2010/main"/>
                      </a:ext>
                    </a:extLst>
                  </pic:spPr>
                </pic:pic>
              </a:graphicData>
            </a:graphic>
          </wp:inline>
        </w:drawing>
      </w:r>
    </w:p>
    <w:p w14:paraId="107F3363" w14:textId="5B020771" w:rsidR="00B375EB" w:rsidRPr="0001274B" w:rsidRDefault="00B375EB" w:rsidP="0001274B">
      <w:pPr>
        <w:pStyle w:val="ListParagraph"/>
        <w:numPr>
          <w:ilvl w:val="0"/>
          <w:numId w:val="1"/>
        </w:numPr>
        <w:spacing w:after="0" w:line="276" w:lineRule="auto"/>
        <w:rPr>
          <w:b/>
          <w:bCs/>
          <w:sz w:val="22"/>
          <w:szCs w:val="22"/>
        </w:rPr>
      </w:pPr>
      <w:r w:rsidRPr="0001274B">
        <w:rPr>
          <w:b/>
          <w:bCs/>
          <w:sz w:val="22"/>
          <w:szCs w:val="22"/>
        </w:rPr>
        <w:t xml:space="preserve">Search </w:t>
      </w:r>
    </w:p>
    <w:p w14:paraId="025986B9" w14:textId="77777777" w:rsidR="00B375EB" w:rsidRPr="00B375EB" w:rsidRDefault="00B375EB" w:rsidP="0001274B">
      <w:pPr>
        <w:pStyle w:val="ListParagraph"/>
        <w:numPr>
          <w:ilvl w:val="1"/>
          <w:numId w:val="1"/>
        </w:numPr>
        <w:spacing w:after="0" w:line="276" w:lineRule="auto"/>
        <w:rPr>
          <w:sz w:val="22"/>
          <w:szCs w:val="22"/>
        </w:rPr>
      </w:pPr>
      <w:r w:rsidRPr="00B375EB">
        <w:rPr>
          <w:sz w:val="22"/>
          <w:szCs w:val="22"/>
        </w:rPr>
        <w:t xml:space="preserve">“Main Search” will filter on exact text strings. It is not a Boolean search. </w:t>
      </w:r>
    </w:p>
    <w:p w14:paraId="0222A8E6" w14:textId="07591E00" w:rsidR="00B375EB" w:rsidRPr="00B375EB" w:rsidRDefault="00B375EB" w:rsidP="0001274B">
      <w:pPr>
        <w:pStyle w:val="ListParagraph"/>
        <w:numPr>
          <w:ilvl w:val="1"/>
          <w:numId w:val="1"/>
        </w:numPr>
        <w:spacing w:after="0" w:line="276" w:lineRule="auto"/>
        <w:rPr>
          <w:sz w:val="22"/>
          <w:szCs w:val="22"/>
        </w:rPr>
      </w:pPr>
      <w:r w:rsidRPr="00B375EB">
        <w:rPr>
          <w:sz w:val="22"/>
          <w:szCs w:val="22"/>
        </w:rPr>
        <w:t>“Search Within Results”. To get sub filtering (like a Boolean “AND”) use this bar.</w:t>
      </w:r>
    </w:p>
    <w:p w14:paraId="50E64FE4" w14:textId="577FC053" w:rsidR="00B375EB" w:rsidRPr="0001274B" w:rsidRDefault="00B375EB" w:rsidP="0001274B">
      <w:pPr>
        <w:pStyle w:val="ListParagraph"/>
        <w:numPr>
          <w:ilvl w:val="0"/>
          <w:numId w:val="1"/>
        </w:numPr>
        <w:spacing w:after="0" w:line="276" w:lineRule="auto"/>
        <w:rPr>
          <w:b/>
          <w:bCs/>
          <w:sz w:val="22"/>
          <w:szCs w:val="22"/>
        </w:rPr>
      </w:pPr>
      <w:proofErr w:type="spellStart"/>
      <w:r w:rsidRPr="0001274B">
        <w:rPr>
          <w:b/>
          <w:bCs/>
          <w:sz w:val="22"/>
          <w:szCs w:val="22"/>
        </w:rPr>
        <w:t>Subsetting</w:t>
      </w:r>
      <w:proofErr w:type="spellEnd"/>
      <w:r w:rsidRPr="0001274B">
        <w:rPr>
          <w:b/>
          <w:bCs/>
          <w:sz w:val="22"/>
          <w:szCs w:val="22"/>
        </w:rPr>
        <w:t xml:space="preserve"> Options</w:t>
      </w:r>
    </w:p>
    <w:p w14:paraId="10F6DB06" w14:textId="4A946E06" w:rsidR="00B375EB" w:rsidRDefault="00B375EB" w:rsidP="0001274B">
      <w:pPr>
        <w:pStyle w:val="ListParagraph"/>
        <w:numPr>
          <w:ilvl w:val="1"/>
          <w:numId w:val="1"/>
        </w:numPr>
        <w:spacing w:after="0" w:line="276" w:lineRule="auto"/>
        <w:rPr>
          <w:sz w:val="22"/>
          <w:szCs w:val="22"/>
        </w:rPr>
      </w:pPr>
      <w:r>
        <w:rPr>
          <w:sz w:val="22"/>
          <w:szCs w:val="22"/>
        </w:rPr>
        <w:t>“Show Trend Variables”. When ticked, only variables that are a ‘strict’ or ‘soft’ trend, or derived and repeated across both Cycles will be shown.</w:t>
      </w:r>
    </w:p>
    <w:p w14:paraId="49930BA2" w14:textId="17809CD7" w:rsidR="00B375EB" w:rsidRDefault="00B375EB" w:rsidP="0001274B">
      <w:pPr>
        <w:pStyle w:val="ListParagraph"/>
        <w:numPr>
          <w:ilvl w:val="1"/>
          <w:numId w:val="1"/>
        </w:numPr>
        <w:spacing w:after="0" w:line="276" w:lineRule="auto"/>
        <w:rPr>
          <w:sz w:val="22"/>
          <w:szCs w:val="22"/>
        </w:rPr>
      </w:pPr>
      <w:r>
        <w:rPr>
          <w:sz w:val="22"/>
          <w:szCs w:val="22"/>
        </w:rPr>
        <w:t>“Show Only PUF Non-</w:t>
      </w:r>
      <w:proofErr w:type="spellStart"/>
      <w:r>
        <w:rPr>
          <w:sz w:val="22"/>
          <w:szCs w:val="22"/>
        </w:rPr>
        <w:t>Missings</w:t>
      </w:r>
      <w:proofErr w:type="spellEnd"/>
      <w:r>
        <w:rPr>
          <w:sz w:val="22"/>
          <w:szCs w:val="22"/>
        </w:rPr>
        <w:t xml:space="preserve">”. When ticked, only variables that have at least one country-cycle set of non-missing values samples will be shown (for Germany and the United Kingdom). </w:t>
      </w:r>
    </w:p>
    <w:p w14:paraId="6265ACBD" w14:textId="1AE3DB70" w:rsidR="0001274B" w:rsidRPr="0001274B" w:rsidRDefault="0001274B" w:rsidP="0001274B">
      <w:pPr>
        <w:pStyle w:val="ListParagraph"/>
        <w:numPr>
          <w:ilvl w:val="0"/>
          <w:numId w:val="1"/>
        </w:numPr>
        <w:spacing w:after="0" w:line="276" w:lineRule="auto"/>
        <w:rPr>
          <w:b/>
          <w:bCs/>
          <w:sz w:val="22"/>
          <w:szCs w:val="22"/>
        </w:rPr>
      </w:pPr>
      <w:r w:rsidRPr="0001274B">
        <w:rPr>
          <w:b/>
          <w:bCs/>
          <w:sz w:val="22"/>
          <w:szCs w:val="22"/>
        </w:rPr>
        <w:t>Links</w:t>
      </w:r>
    </w:p>
    <w:p w14:paraId="10AD1196" w14:textId="26AC6B0F" w:rsidR="0001274B" w:rsidRDefault="0001274B" w:rsidP="0001274B">
      <w:pPr>
        <w:pStyle w:val="ListParagraph"/>
        <w:numPr>
          <w:ilvl w:val="1"/>
          <w:numId w:val="1"/>
        </w:numPr>
        <w:spacing w:after="0" w:line="276" w:lineRule="auto"/>
        <w:rPr>
          <w:sz w:val="22"/>
          <w:szCs w:val="22"/>
        </w:rPr>
      </w:pPr>
      <w:r>
        <w:rPr>
          <w:sz w:val="22"/>
          <w:szCs w:val="22"/>
        </w:rPr>
        <w:t>User’s Guide links to the most current version of this document</w:t>
      </w:r>
    </w:p>
    <w:p w14:paraId="28B7B6EE" w14:textId="69466FD0" w:rsidR="0001274B" w:rsidRDefault="0001274B" w:rsidP="0001274B">
      <w:pPr>
        <w:pStyle w:val="ListParagraph"/>
        <w:numPr>
          <w:ilvl w:val="1"/>
          <w:numId w:val="1"/>
        </w:numPr>
        <w:spacing w:after="0" w:line="276" w:lineRule="auto"/>
        <w:rPr>
          <w:sz w:val="22"/>
          <w:szCs w:val="22"/>
        </w:rPr>
      </w:pPr>
      <w:r>
        <w:rPr>
          <w:sz w:val="22"/>
          <w:szCs w:val="22"/>
        </w:rPr>
        <w:t>License CCBY4.0 means that all materials are freely usable for non-commercial purposes with proper citation</w:t>
      </w:r>
    </w:p>
    <w:p w14:paraId="7CA232E1" w14:textId="78D5606E" w:rsidR="0001274B" w:rsidRDefault="0001274B" w:rsidP="0001274B">
      <w:pPr>
        <w:pStyle w:val="ListParagraph"/>
        <w:numPr>
          <w:ilvl w:val="1"/>
          <w:numId w:val="1"/>
        </w:numPr>
        <w:spacing w:after="0" w:line="276" w:lineRule="auto"/>
        <w:rPr>
          <w:sz w:val="22"/>
          <w:szCs w:val="22"/>
        </w:rPr>
      </w:pPr>
      <w:r>
        <w:rPr>
          <w:sz w:val="22"/>
          <w:szCs w:val="22"/>
        </w:rPr>
        <w:t xml:space="preserve">Suggested citation is: </w:t>
      </w:r>
      <w:r w:rsidRPr="0001274B">
        <w:rPr>
          <w:sz w:val="22"/>
          <w:szCs w:val="22"/>
        </w:rPr>
        <w:t>Breznau, Nate. 2025. PIAAC Variable Finder.</w:t>
      </w:r>
      <w:r>
        <w:rPr>
          <w:sz w:val="22"/>
          <w:szCs w:val="22"/>
        </w:rPr>
        <w:t xml:space="preserve"> </w:t>
      </w:r>
      <w:r w:rsidRPr="0001274B">
        <w:rPr>
          <w:sz w:val="22"/>
          <w:szCs w:val="22"/>
        </w:rPr>
        <w:t>German Institute for Adult Education - Leibniz Center for Lifelong Learning.</w:t>
      </w:r>
      <w:r>
        <w:rPr>
          <w:sz w:val="22"/>
          <w:szCs w:val="22"/>
        </w:rPr>
        <w:t xml:space="preserve"> </w:t>
      </w:r>
      <w:hyperlink r:id="rId14" w:history="1">
        <w:r w:rsidRPr="00CF49E9">
          <w:rPr>
            <w:rStyle w:val="Hyperlink"/>
            <w:sz w:val="22"/>
            <w:szCs w:val="22"/>
          </w:rPr>
          <w:t>https://doi.org/10.5281/zenodo.15817634</w:t>
        </w:r>
      </w:hyperlink>
      <w:r>
        <w:rPr>
          <w:sz w:val="22"/>
          <w:szCs w:val="22"/>
        </w:rPr>
        <w:t xml:space="preserve"> </w:t>
      </w:r>
    </w:p>
    <w:p w14:paraId="5B773624" w14:textId="700E6E7B" w:rsidR="0001274B" w:rsidRDefault="0001274B" w:rsidP="0001274B">
      <w:pPr>
        <w:pStyle w:val="ListParagraph"/>
        <w:numPr>
          <w:ilvl w:val="1"/>
          <w:numId w:val="1"/>
        </w:numPr>
        <w:spacing w:after="0" w:line="276" w:lineRule="auto"/>
        <w:rPr>
          <w:sz w:val="22"/>
          <w:szCs w:val="22"/>
        </w:rPr>
      </w:pPr>
      <w:r>
        <w:rPr>
          <w:sz w:val="22"/>
          <w:szCs w:val="22"/>
        </w:rPr>
        <w:t>A link to email Nate Breznau with bug reporting, suggestions or comments</w:t>
      </w:r>
    </w:p>
    <w:p w14:paraId="538F54C3" w14:textId="3328CE96" w:rsidR="0001274B" w:rsidRPr="0001274B" w:rsidRDefault="0001274B" w:rsidP="0001274B">
      <w:pPr>
        <w:pStyle w:val="ListParagraph"/>
        <w:numPr>
          <w:ilvl w:val="0"/>
          <w:numId w:val="1"/>
        </w:numPr>
        <w:spacing w:after="0" w:line="276" w:lineRule="auto"/>
        <w:rPr>
          <w:b/>
          <w:bCs/>
          <w:sz w:val="22"/>
          <w:szCs w:val="22"/>
        </w:rPr>
      </w:pPr>
      <w:r w:rsidRPr="0001274B">
        <w:rPr>
          <w:b/>
          <w:bCs/>
          <w:sz w:val="22"/>
          <w:szCs w:val="22"/>
        </w:rPr>
        <w:t>Search Results</w:t>
      </w:r>
    </w:p>
    <w:p w14:paraId="1ADCDC4C" w14:textId="77777777" w:rsidR="0001274B" w:rsidRDefault="0001274B" w:rsidP="0001274B">
      <w:pPr>
        <w:pStyle w:val="ListParagraph"/>
        <w:numPr>
          <w:ilvl w:val="1"/>
          <w:numId w:val="1"/>
        </w:numPr>
        <w:spacing w:after="0" w:line="276" w:lineRule="auto"/>
        <w:rPr>
          <w:sz w:val="22"/>
          <w:szCs w:val="22"/>
        </w:rPr>
      </w:pPr>
      <w:r>
        <w:rPr>
          <w:sz w:val="22"/>
          <w:szCs w:val="22"/>
        </w:rPr>
        <w:t>Interactive. Click (or activate with touch screen) on a given result to highlight it and then see the appropriate metadata below.</w:t>
      </w:r>
    </w:p>
    <w:p w14:paraId="322AD4B1" w14:textId="615BD3E5" w:rsidR="0001274B" w:rsidRDefault="0001274B" w:rsidP="0001274B">
      <w:pPr>
        <w:pStyle w:val="ListParagraph"/>
        <w:numPr>
          <w:ilvl w:val="1"/>
          <w:numId w:val="1"/>
        </w:numPr>
        <w:spacing w:after="0" w:line="276" w:lineRule="auto"/>
        <w:rPr>
          <w:sz w:val="22"/>
          <w:szCs w:val="22"/>
        </w:rPr>
      </w:pPr>
      <w:r>
        <w:rPr>
          <w:sz w:val="22"/>
          <w:szCs w:val="22"/>
        </w:rPr>
        <w:t xml:space="preserve">Seven per page. Click on the numbers below this window to advance through the pages of results. All results are shown at first, but all searching and </w:t>
      </w:r>
      <w:proofErr w:type="spellStart"/>
      <w:r>
        <w:rPr>
          <w:sz w:val="22"/>
          <w:szCs w:val="22"/>
        </w:rPr>
        <w:t>subsetting</w:t>
      </w:r>
      <w:proofErr w:type="spellEnd"/>
      <w:r>
        <w:rPr>
          <w:sz w:val="22"/>
          <w:szCs w:val="22"/>
        </w:rPr>
        <w:t xml:space="preserve"> is dynamic, so it updates as you type or tick. </w:t>
      </w:r>
    </w:p>
    <w:p w14:paraId="0FA1F8CC" w14:textId="35C020A7" w:rsidR="0001274B" w:rsidRDefault="0001274B" w:rsidP="0001274B">
      <w:pPr>
        <w:pStyle w:val="ListParagraph"/>
        <w:numPr>
          <w:ilvl w:val="1"/>
          <w:numId w:val="1"/>
        </w:numPr>
        <w:spacing w:after="0" w:line="276" w:lineRule="auto"/>
        <w:rPr>
          <w:sz w:val="22"/>
          <w:szCs w:val="22"/>
        </w:rPr>
      </w:pPr>
      <w:r>
        <w:rPr>
          <w:sz w:val="22"/>
          <w:szCs w:val="22"/>
        </w:rPr>
        <w:t>Includes the main information: variable name as it is in the PIAAC data, label taken from PIAAC and which cycle it is in</w:t>
      </w:r>
    </w:p>
    <w:p w14:paraId="66FF1E9C" w14:textId="31EDBD4A" w:rsidR="0001274B" w:rsidRPr="005C75BB" w:rsidRDefault="005C75BB" w:rsidP="0001274B">
      <w:pPr>
        <w:pStyle w:val="ListParagraph"/>
        <w:numPr>
          <w:ilvl w:val="0"/>
          <w:numId w:val="1"/>
        </w:numPr>
        <w:rPr>
          <w:b/>
          <w:bCs/>
          <w:sz w:val="22"/>
          <w:szCs w:val="22"/>
        </w:rPr>
      </w:pPr>
      <w:r w:rsidRPr="005C75BB">
        <w:rPr>
          <w:b/>
          <w:bCs/>
          <w:sz w:val="22"/>
          <w:szCs w:val="22"/>
        </w:rPr>
        <w:t>Metadata</w:t>
      </w:r>
    </w:p>
    <w:p w14:paraId="38AAC28A" w14:textId="3EC99BE9" w:rsidR="005C75BB" w:rsidRDefault="005C75BB" w:rsidP="005C75BB">
      <w:pPr>
        <w:pStyle w:val="ListParagraph"/>
        <w:numPr>
          <w:ilvl w:val="1"/>
          <w:numId w:val="1"/>
        </w:numPr>
        <w:rPr>
          <w:sz w:val="22"/>
          <w:szCs w:val="22"/>
        </w:rPr>
      </w:pPr>
      <w:r>
        <w:rPr>
          <w:sz w:val="22"/>
          <w:szCs w:val="22"/>
        </w:rPr>
        <w:t>Trend. Includes the “STATUS” if it is ‘Strict’ (identical between cycles), ‘Soft’ (comparable, but different wording and/or answer categories), ‘Derived’ (</w:t>
      </w:r>
      <w:r w:rsidRPr="005C75BB">
        <w:rPr>
          <w:sz w:val="22"/>
          <w:szCs w:val="22"/>
        </w:rPr>
        <w:t>a constructed variable exists in both Cycles, theoretically a trend, but measurement can differ</w:t>
      </w:r>
      <w:r>
        <w:rPr>
          <w:sz w:val="22"/>
          <w:szCs w:val="22"/>
        </w:rPr>
        <w:t>), ‘NA’ not a trend, or ‘Cy 1’ or ‘Cy 2’ only.</w:t>
      </w:r>
    </w:p>
    <w:p w14:paraId="5C0BE50D" w14:textId="2E53EA50" w:rsidR="005C75BB" w:rsidRDefault="005C75BB" w:rsidP="005C75BB">
      <w:pPr>
        <w:pStyle w:val="ListParagraph"/>
        <w:numPr>
          <w:ilvl w:val="1"/>
          <w:numId w:val="1"/>
        </w:numPr>
        <w:rPr>
          <w:sz w:val="22"/>
          <w:szCs w:val="22"/>
        </w:rPr>
      </w:pPr>
      <w:r>
        <w:rPr>
          <w:sz w:val="22"/>
          <w:szCs w:val="22"/>
        </w:rPr>
        <w:t>Verbatim question text in English and German (except for derived variables)</w:t>
      </w:r>
    </w:p>
    <w:p w14:paraId="0AD20AAC" w14:textId="312DBF8F" w:rsidR="005C75BB" w:rsidRDefault="005C75BB" w:rsidP="005C75BB">
      <w:pPr>
        <w:pStyle w:val="ListParagraph"/>
        <w:numPr>
          <w:ilvl w:val="1"/>
          <w:numId w:val="1"/>
        </w:numPr>
        <w:rPr>
          <w:sz w:val="22"/>
          <w:szCs w:val="22"/>
        </w:rPr>
      </w:pPr>
      <w:r>
        <w:rPr>
          <w:sz w:val="22"/>
          <w:szCs w:val="22"/>
        </w:rPr>
        <w:t>Related variables. Variables that ask related questions, are used to construct the variable, or link trends</w:t>
      </w:r>
    </w:p>
    <w:p w14:paraId="6E8D3648" w14:textId="1F02D220" w:rsidR="005C75BB" w:rsidRDefault="005C75BB" w:rsidP="005C75BB">
      <w:pPr>
        <w:pStyle w:val="Heading1"/>
      </w:pPr>
      <w:r>
        <w:lastRenderedPageBreak/>
        <w:t>Detailed Description</w:t>
      </w:r>
    </w:p>
    <w:p w14:paraId="1889E47C" w14:textId="77777777" w:rsidR="005C75BB" w:rsidRPr="005C75BB" w:rsidRDefault="005C75BB" w:rsidP="005C75BB">
      <w:pPr>
        <w:rPr>
          <w:sz w:val="22"/>
          <w:szCs w:val="22"/>
        </w:rPr>
      </w:pPr>
      <w:r w:rsidRPr="005C75BB">
        <w:rPr>
          <w:sz w:val="22"/>
          <w:szCs w:val="22"/>
        </w:rPr>
        <w:t xml:space="preserve">The user interface (UI) contains three primary regions. The left-hand sidebar has two search fields (Figure 1.1). The Main Search filters the entire database directly. It is not Boolean, so words and phrases must be exact. As of version 1.0, most fields have both English and German meta data. The app does not engage in any translation however, so in some cases the ostensibly same word in both languages could yield different results. The Search Within Results field searches within those results already showing. </w:t>
      </w:r>
    </w:p>
    <w:p w14:paraId="7D0F2B48" w14:textId="77777777" w:rsidR="005C75BB" w:rsidRPr="005C75BB" w:rsidRDefault="005C75BB" w:rsidP="005C75BB">
      <w:pPr>
        <w:rPr>
          <w:sz w:val="22"/>
          <w:szCs w:val="22"/>
        </w:rPr>
      </w:pPr>
      <w:r w:rsidRPr="005C75BB">
        <w:rPr>
          <w:sz w:val="22"/>
          <w:szCs w:val="22"/>
        </w:rPr>
        <w:t>Next in the sidebar are two check boxes that default as unticked (Figure 1.2).  If the user ticks the Show Trend Variables box, it will filter the results to include only strict and soft trend variables. Corresponding to this is the “TREND STATUS” variable in Figure 1.5 which can have “NA” which means ‘not applicable’ and indicates no trend, “Derived” which indicates it is most likely a trend variable but the variable from the other Cycle has a different name (usually with “C2” at the end, “Cy 1 only” or “Cy 2 only” which is self-evidence, and “soft” or “strict” indicating face (roughly speaking) or both face and content validity (strictly speaking) in the measure across the two Cycles. If the user ticks the Show Only PUF Non-</w:t>
      </w:r>
      <w:proofErr w:type="spellStart"/>
      <w:r w:rsidRPr="005C75BB">
        <w:rPr>
          <w:sz w:val="22"/>
          <w:szCs w:val="22"/>
        </w:rPr>
        <w:t>Missings</w:t>
      </w:r>
      <w:proofErr w:type="spellEnd"/>
      <w:r w:rsidRPr="005C75BB">
        <w:rPr>
          <w:sz w:val="22"/>
          <w:szCs w:val="22"/>
        </w:rPr>
        <w:t xml:space="preserve"> box, it will only show variables that have non-missing data in at least one cycle and at least one country (Germany or the United Kingdom). In other words, when this box is not ticked it will show many variables that exist in PIAAC but are all missing values in the PUFs. Corresponding to this variable in Figure 1.5 is the field for “NON-MISSING in PUF:”, which will populate with the value “No” for every variable when the box is ticked. </w:t>
      </w:r>
    </w:p>
    <w:p w14:paraId="49FC58E0" w14:textId="77777777" w:rsidR="005C75BB" w:rsidRPr="005C75BB" w:rsidRDefault="005C75BB" w:rsidP="005C75BB">
      <w:pPr>
        <w:rPr>
          <w:sz w:val="22"/>
          <w:szCs w:val="22"/>
        </w:rPr>
      </w:pPr>
      <w:r w:rsidRPr="005C75BB">
        <w:rPr>
          <w:sz w:val="22"/>
          <w:szCs w:val="22"/>
        </w:rPr>
        <w:t xml:space="preserve">Figure 1.3 is a link to the User’s Guide which contains the same basic information relayed here, but with a bullet point structure and more details as part of the app’s technical documentation. Directly below this is the preferred citation. The DOI for the app works through Zenodo. This is a free to use service that has a </w:t>
      </w:r>
      <w:proofErr w:type="spellStart"/>
      <w:r w:rsidRPr="005C75BB">
        <w:rPr>
          <w:sz w:val="22"/>
          <w:szCs w:val="22"/>
        </w:rPr>
        <w:t>Github</w:t>
      </w:r>
      <w:proofErr w:type="spellEnd"/>
      <w:r w:rsidRPr="005C75BB">
        <w:rPr>
          <w:sz w:val="22"/>
          <w:szCs w:val="22"/>
        </w:rPr>
        <w:t xml:space="preserve"> plugin. It automatically generates a DOI and keeps up with newer versions of the repository supporting the app. Zenodo works stand alone and with many other workflow and repository services. Thus, Zenodo is an ideal open science tool.</w:t>
      </w:r>
    </w:p>
    <w:p w14:paraId="70EA5C9E" w14:textId="77777777" w:rsidR="005C75BB" w:rsidRPr="005C75BB" w:rsidRDefault="005C75BB" w:rsidP="005C75BB">
      <w:pPr>
        <w:rPr>
          <w:sz w:val="22"/>
          <w:szCs w:val="22"/>
        </w:rPr>
      </w:pPr>
      <w:r w:rsidRPr="005C75BB">
        <w:rPr>
          <w:sz w:val="22"/>
          <w:szCs w:val="22"/>
        </w:rPr>
        <w:t xml:space="preserve">Figure 1.4 is the main results panel in the center-right region of the app. It displays the first 7 variable results in alphabetical order (the order of the </w:t>
      </w:r>
      <w:proofErr w:type="spellStart"/>
      <w:r w:rsidRPr="005C75BB">
        <w:rPr>
          <w:sz w:val="22"/>
          <w:szCs w:val="22"/>
        </w:rPr>
        <w:t>dataframe</w:t>
      </w:r>
      <w:proofErr w:type="spellEnd"/>
      <w:r w:rsidRPr="005C75BB">
        <w:rPr>
          <w:sz w:val="22"/>
          <w:szCs w:val="22"/>
        </w:rPr>
        <w:t xml:space="preserve">). I elected to display 7 per page, because on most devices this seemed to maximize space allowing the other two panels to be viewable on most single monitor screens. These features are all easily customizable. Once a user is familiar with Shiny, it is incredibly easy to use, especially by asking Gen AI. My point is that </w:t>
      </w:r>
      <w:proofErr w:type="spellStart"/>
      <w:r w:rsidRPr="005C75BB">
        <w:rPr>
          <w:sz w:val="22"/>
          <w:szCs w:val="22"/>
        </w:rPr>
        <w:t>user’s</w:t>
      </w:r>
      <w:proofErr w:type="spellEnd"/>
      <w:r w:rsidRPr="005C75BB">
        <w:rPr>
          <w:sz w:val="22"/>
          <w:szCs w:val="22"/>
        </w:rPr>
        <w:t xml:space="preserve"> are encouraged to customize their experience. In addition, feedback is welcome, therefore the final line at the bottom of Figure 1.3 (the side panel) is a link to my email to suggest modifications and report any bugs. </w:t>
      </w:r>
    </w:p>
    <w:p w14:paraId="69F01208" w14:textId="77777777" w:rsidR="005C75BB" w:rsidRPr="005C75BB" w:rsidRDefault="005C75BB" w:rsidP="005C75BB">
      <w:pPr>
        <w:rPr>
          <w:sz w:val="22"/>
          <w:szCs w:val="22"/>
        </w:rPr>
      </w:pPr>
      <w:r w:rsidRPr="005C75BB">
        <w:rPr>
          <w:sz w:val="22"/>
          <w:szCs w:val="22"/>
        </w:rPr>
        <w:t>In the list for Figure 1.4 the user sees the variable name verbatim as it is in the PIAAC data in the column “variable”. Then under “</w:t>
      </w:r>
      <w:proofErr w:type="spellStart"/>
      <w:r w:rsidRPr="005C75BB">
        <w:rPr>
          <w:sz w:val="22"/>
          <w:szCs w:val="22"/>
        </w:rPr>
        <w:t>display_label</w:t>
      </w:r>
      <w:proofErr w:type="spellEnd"/>
      <w:r w:rsidRPr="005C75BB">
        <w:rPr>
          <w:sz w:val="22"/>
          <w:szCs w:val="22"/>
        </w:rPr>
        <w:t xml:space="preserve">” is the value for </w:t>
      </w:r>
      <w:proofErr w:type="spellStart"/>
      <w:r w:rsidRPr="005C75BB">
        <w:rPr>
          <w:sz w:val="22"/>
          <w:szCs w:val="22"/>
        </w:rPr>
        <w:t>variable_label_en</w:t>
      </w:r>
      <w:proofErr w:type="spellEnd"/>
      <w:r w:rsidRPr="005C75BB">
        <w:rPr>
          <w:sz w:val="22"/>
          <w:szCs w:val="22"/>
        </w:rPr>
        <w:t xml:space="preserve"> which is the metadata variable for the English label of the variable taken mostly from the PIAAC’s own labelling. There are exceptions because some countries have their own questions, especially when it comes to the education system. For example, the UK as a variable B_Q01a3UK from the question, “Can you indicate which level in our national education system corresponds most closely with the level of this qualification?”. </w:t>
      </w:r>
      <w:r w:rsidRPr="005C75BB">
        <w:rPr>
          <w:sz w:val="22"/>
          <w:szCs w:val="22"/>
          <w:lang w:val="de-DE"/>
        </w:rPr>
        <w:t xml:space="preserve">In Germany a </w:t>
      </w:r>
      <w:proofErr w:type="spellStart"/>
      <w:r w:rsidRPr="005C75BB">
        <w:rPr>
          <w:sz w:val="22"/>
          <w:szCs w:val="22"/>
          <w:lang w:val="de-DE"/>
        </w:rPr>
        <w:t>similarly</w:t>
      </w:r>
      <w:proofErr w:type="spellEnd"/>
      <w:r w:rsidRPr="005C75BB">
        <w:rPr>
          <w:sz w:val="22"/>
          <w:szCs w:val="22"/>
          <w:lang w:val="de-DE"/>
        </w:rPr>
        <w:t xml:space="preserve"> </w:t>
      </w:r>
      <w:proofErr w:type="spellStart"/>
      <w:r w:rsidRPr="005C75BB">
        <w:rPr>
          <w:sz w:val="22"/>
          <w:szCs w:val="22"/>
          <w:lang w:val="de-DE"/>
        </w:rPr>
        <w:t>unique</w:t>
      </w:r>
      <w:proofErr w:type="spellEnd"/>
      <w:r w:rsidRPr="005C75BB">
        <w:rPr>
          <w:sz w:val="22"/>
          <w:szCs w:val="22"/>
          <w:lang w:val="de-DE"/>
        </w:rPr>
        <w:t xml:space="preserve"> variable B_Q01aDE1 </w:t>
      </w:r>
      <w:proofErr w:type="spellStart"/>
      <w:r w:rsidRPr="005C75BB">
        <w:rPr>
          <w:sz w:val="22"/>
          <w:szCs w:val="22"/>
          <w:lang w:val="de-DE"/>
        </w:rPr>
        <w:t>is</w:t>
      </w:r>
      <w:proofErr w:type="spellEnd"/>
      <w:r w:rsidRPr="005C75BB">
        <w:rPr>
          <w:sz w:val="22"/>
          <w:szCs w:val="22"/>
          <w:lang w:val="de-DE"/>
        </w:rPr>
        <w:t xml:space="preserve"> </w:t>
      </w:r>
      <w:proofErr w:type="spellStart"/>
      <w:r w:rsidRPr="005C75BB">
        <w:rPr>
          <w:sz w:val="22"/>
          <w:szCs w:val="22"/>
          <w:lang w:val="de-DE"/>
        </w:rPr>
        <w:t>measured</w:t>
      </w:r>
      <w:proofErr w:type="spellEnd"/>
      <w:r w:rsidRPr="005C75BB">
        <w:rPr>
          <w:sz w:val="22"/>
          <w:szCs w:val="22"/>
          <w:lang w:val="de-DE"/>
        </w:rPr>
        <w:t xml:space="preserve"> </w:t>
      </w:r>
      <w:proofErr w:type="spellStart"/>
      <w:r w:rsidRPr="005C75BB">
        <w:rPr>
          <w:sz w:val="22"/>
          <w:szCs w:val="22"/>
          <w:lang w:val="de-DE"/>
        </w:rPr>
        <w:t>with</w:t>
      </w:r>
      <w:proofErr w:type="spellEnd"/>
      <w:r w:rsidRPr="005C75BB">
        <w:rPr>
          <w:sz w:val="22"/>
          <w:szCs w:val="22"/>
          <w:lang w:val="de-DE"/>
        </w:rPr>
        <w:t xml:space="preserve"> </w:t>
      </w:r>
      <w:proofErr w:type="spellStart"/>
      <w:r w:rsidRPr="005C75BB">
        <w:rPr>
          <w:sz w:val="22"/>
          <w:szCs w:val="22"/>
          <w:lang w:val="de-DE"/>
        </w:rPr>
        <w:t>the</w:t>
      </w:r>
      <w:proofErr w:type="spellEnd"/>
      <w:r w:rsidRPr="005C75BB">
        <w:rPr>
          <w:sz w:val="22"/>
          <w:szCs w:val="22"/>
          <w:lang w:val="de-DE"/>
        </w:rPr>
        <w:t xml:space="preserve"> </w:t>
      </w:r>
      <w:proofErr w:type="spellStart"/>
      <w:r w:rsidRPr="005C75BB">
        <w:rPr>
          <w:sz w:val="22"/>
          <w:szCs w:val="22"/>
          <w:lang w:val="de-DE"/>
        </w:rPr>
        <w:t>question</w:t>
      </w:r>
      <w:proofErr w:type="spellEnd"/>
      <w:r w:rsidRPr="005C75BB">
        <w:rPr>
          <w:sz w:val="22"/>
          <w:szCs w:val="22"/>
          <w:lang w:val="de-DE"/>
        </w:rPr>
        <w:t xml:space="preserve">, “Welchen höchsten allgemeinbildenden Schulabschluss haben Sie? Bitte sagen Sie es mir anhand dieser Liste.” </w:t>
      </w:r>
      <w:r w:rsidRPr="005C75BB">
        <w:rPr>
          <w:sz w:val="22"/>
          <w:szCs w:val="22"/>
        </w:rPr>
        <w:t xml:space="preserve">These completely country-unique variables as a rule have the country’s two-digit alpha International Standards Organization (iso2c) classification in the variable name. Because these variables do not have labels, I use the question wording from the questionnaires as replacement – I programed it this way, so that if there is no label, then the question wording appears. The last column “cycle” lists from which Cycle the variable derives, or if it is in “both”.  </w:t>
      </w:r>
    </w:p>
    <w:p w14:paraId="39F0A7D4" w14:textId="77777777" w:rsidR="005C75BB" w:rsidRDefault="005C75BB" w:rsidP="005C75BB">
      <w:pPr>
        <w:rPr>
          <w:sz w:val="22"/>
          <w:szCs w:val="22"/>
        </w:rPr>
      </w:pPr>
      <w:r w:rsidRPr="005C75BB">
        <w:rPr>
          <w:sz w:val="22"/>
          <w:szCs w:val="22"/>
        </w:rPr>
        <w:lastRenderedPageBreak/>
        <w:t>Figure 1.5 is a more detailed breakdown of the highlighted variable. This appears blank when the app is launched, and is populated with values only after the user selects (clicks or taps) one of the seven rows in the list so that it is highlighted, i.e., active. Then nearly all available metadata for that variable appears below. Table 1 lists all variables in the metadata that I extracted from the PIAAC documentation and the PIAAC data itself. This provides an explanation for the metadata results in this section.</w:t>
      </w:r>
    </w:p>
    <w:p w14:paraId="3A615923" w14:textId="77777777" w:rsidR="005C75BB" w:rsidRDefault="005C75BB">
      <w:pPr>
        <w:rPr>
          <w:b/>
          <w:bCs/>
        </w:rPr>
      </w:pPr>
      <w:r>
        <w:rPr>
          <w:b/>
          <w:bCs/>
        </w:rPr>
        <w:br w:type="page"/>
      </w:r>
    </w:p>
    <w:p w14:paraId="5567FAA1" w14:textId="114C623C" w:rsidR="005C75BB" w:rsidRPr="00EC6BE3" w:rsidRDefault="005C75BB" w:rsidP="005C75BB">
      <w:pPr>
        <w:rPr>
          <w:b/>
          <w:bCs/>
        </w:rPr>
      </w:pPr>
      <w:r w:rsidRPr="00EC6BE3">
        <w:rPr>
          <w:b/>
          <w:bCs/>
        </w:rPr>
        <w:lastRenderedPageBreak/>
        <w:t xml:space="preserve">Table 1. Metadata Variables in the </w:t>
      </w:r>
      <w:proofErr w:type="spellStart"/>
      <w:r w:rsidRPr="00EC6BE3">
        <w:rPr>
          <w:b/>
          <w:bCs/>
        </w:rPr>
        <w:t>Dataframe</w:t>
      </w:r>
      <w:proofErr w:type="spellEnd"/>
      <w:r w:rsidRPr="00EC6BE3">
        <w:rPr>
          <w:b/>
          <w:bCs/>
        </w:rPr>
        <w:t xml:space="preserve"> Behind the PIAAC Variable Finder</w:t>
      </w:r>
    </w:p>
    <w:tbl>
      <w:tblPr>
        <w:tblStyle w:val="TableGrid"/>
        <w:tblW w:w="0" w:type="auto"/>
        <w:tblLook w:val="04A0" w:firstRow="1" w:lastRow="0" w:firstColumn="1" w:lastColumn="0" w:noHBand="0" w:noVBand="1"/>
      </w:tblPr>
      <w:tblGrid>
        <w:gridCol w:w="2425"/>
        <w:gridCol w:w="2790"/>
        <w:gridCol w:w="3150"/>
        <w:gridCol w:w="1307"/>
      </w:tblGrid>
      <w:tr w:rsidR="005C75BB" w:rsidRPr="009E7432" w14:paraId="3B277ED5" w14:textId="77777777" w:rsidTr="00342D1D">
        <w:tc>
          <w:tcPr>
            <w:tcW w:w="2425" w:type="dxa"/>
          </w:tcPr>
          <w:p w14:paraId="1106E49B" w14:textId="77777777" w:rsidR="005C75BB" w:rsidRPr="009E7432" w:rsidRDefault="005C75BB" w:rsidP="00342D1D">
            <w:pPr>
              <w:jc w:val="center"/>
              <w:rPr>
                <w:b/>
                <w:bCs/>
                <w:sz w:val="22"/>
                <w:szCs w:val="22"/>
                <w:lang w:val="fr-FR"/>
              </w:rPr>
            </w:pPr>
            <w:proofErr w:type="spellStart"/>
            <w:r w:rsidRPr="009E7432">
              <w:rPr>
                <w:b/>
                <w:bCs/>
                <w:sz w:val="22"/>
                <w:szCs w:val="22"/>
                <w:lang w:val="fr-FR"/>
              </w:rPr>
              <w:t>meta</w:t>
            </w:r>
            <w:proofErr w:type="spellEnd"/>
            <w:r w:rsidRPr="009E7432">
              <w:rPr>
                <w:b/>
                <w:bCs/>
                <w:sz w:val="22"/>
                <w:szCs w:val="22"/>
                <w:lang w:val="fr-FR"/>
              </w:rPr>
              <w:t xml:space="preserve"> variable</w:t>
            </w:r>
          </w:p>
        </w:tc>
        <w:tc>
          <w:tcPr>
            <w:tcW w:w="2790" w:type="dxa"/>
          </w:tcPr>
          <w:p w14:paraId="507CDA49" w14:textId="77777777" w:rsidR="005C75BB" w:rsidRPr="009E7432" w:rsidRDefault="005C75BB" w:rsidP="00342D1D">
            <w:pPr>
              <w:jc w:val="center"/>
              <w:rPr>
                <w:b/>
                <w:bCs/>
                <w:sz w:val="22"/>
                <w:szCs w:val="22"/>
              </w:rPr>
            </w:pPr>
            <w:r w:rsidRPr="009E7432">
              <w:rPr>
                <w:b/>
                <w:bCs/>
                <w:sz w:val="22"/>
                <w:szCs w:val="22"/>
              </w:rPr>
              <w:t>purpose</w:t>
            </w:r>
          </w:p>
        </w:tc>
        <w:tc>
          <w:tcPr>
            <w:tcW w:w="3150" w:type="dxa"/>
          </w:tcPr>
          <w:p w14:paraId="60CF0366" w14:textId="77777777" w:rsidR="005C75BB" w:rsidRPr="009E7432" w:rsidRDefault="005C75BB" w:rsidP="00342D1D">
            <w:pPr>
              <w:jc w:val="center"/>
              <w:rPr>
                <w:b/>
                <w:bCs/>
                <w:sz w:val="22"/>
                <w:szCs w:val="22"/>
              </w:rPr>
            </w:pPr>
            <w:r w:rsidRPr="009E7432">
              <w:rPr>
                <w:b/>
                <w:bCs/>
                <w:sz w:val="22"/>
                <w:szCs w:val="22"/>
              </w:rPr>
              <w:t>values</w:t>
            </w:r>
          </w:p>
        </w:tc>
        <w:tc>
          <w:tcPr>
            <w:tcW w:w="1031" w:type="dxa"/>
          </w:tcPr>
          <w:p w14:paraId="00C25AF1" w14:textId="77777777" w:rsidR="005C75BB" w:rsidRPr="009E7432" w:rsidRDefault="005C75BB" w:rsidP="00342D1D">
            <w:pPr>
              <w:jc w:val="center"/>
              <w:rPr>
                <w:b/>
                <w:bCs/>
                <w:sz w:val="22"/>
                <w:szCs w:val="22"/>
              </w:rPr>
            </w:pPr>
            <w:r w:rsidRPr="009E7432">
              <w:rPr>
                <w:b/>
                <w:bCs/>
                <w:sz w:val="22"/>
                <w:szCs w:val="22"/>
              </w:rPr>
              <w:t>displayed?</w:t>
            </w:r>
          </w:p>
        </w:tc>
      </w:tr>
      <w:tr w:rsidR="005C75BB" w:rsidRPr="009E7432" w14:paraId="79B586AD" w14:textId="77777777" w:rsidTr="00342D1D">
        <w:tc>
          <w:tcPr>
            <w:tcW w:w="2425" w:type="dxa"/>
          </w:tcPr>
          <w:p w14:paraId="75397C75" w14:textId="77777777" w:rsidR="005C75BB" w:rsidRPr="009E7432" w:rsidRDefault="005C75BB" w:rsidP="00342D1D">
            <w:pPr>
              <w:rPr>
                <w:sz w:val="22"/>
                <w:szCs w:val="22"/>
              </w:rPr>
            </w:pPr>
            <w:r w:rsidRPr="00BC0B24">
              <w:rPr>
                <w:sz w:val="22"/>
                <w:szCs w:val="22"/>
                <w:lang w:val="fr-FR"/>
              </w:rPr>
              <w:t>variable</w:t>
            </w:r>
          </w:p>
        </w:tc>
        <w:tc>
          <w:tcPr>
            <w:tcW w:w="2790" w:type="dxa"/>
          </w:tcPr>
          <w:p w14:paraId="396879F5" w14:textId="77777777" w:rsidR="005C75BB" w:rsidRPr="009E7432" w:rsidRDefault="005C75BB" w:rsidP="00342D1D">
            <w:pPr>
              <w:rPr>
                <w:sz w:val="22"/>
                <w:szCs w:val="22"/>
              </w:rPr>
            </w:pPr>
            <w:r w:rsidRPr="009E7432">
              <w:rPr>
                <w:sz w:val="22"/>
                <w:szCs w:val="22"/>
              </w:rPr>
              <w:t>variable name in PIAAC data</w:t>
            </w:r>
          </w:p>
        </w:tc>
        <w:tc>
          <w:tcPr>
            <w:tcW w:w="3150" w:type="dxa"/>
          </w:tcPr>
          <w:p w14:paraId="781B83BE" w14:textId="77777777" w:rsidR="005C75BB" w:rsidRPr="009E7432" w:rsidRDefault="005C75BB" w:rsidP="00342D1D">
            <w:pPr>
              <w:rPr>
                <w:sz w:val="22"/>
                <w:szCs w:val="22"/>
              </w:rPr>
            </w:pPr>
            <w:r w:rsidRPr="009E7432">
              <w:rPr>
                <w:sz w:val="22"/>
                <w:szCs w:val="22"/>
              </w:rPr>
              <w:t>verbatim from PUF files</w:t>
            </w:r>
          </w:p>
        </w:tc>
        <w:tc>
          <w:tcPr>
            <w:tcW w:w="1031" w:type="dxa"/>
          </w:tcPr>
          <w:p w14:paraId="529A04C3" w14:textId="77777777" w:rsidR="005C75BB" w:rsidRPr="009E7432" w:rsidRDefault="005C75BB" w:rsidP="00342D1D">
            <w:pPr>
              <w:rPr>
                <w:sz w:val="22"/>
                <w:szCs w:val="22"/>
              </w:rPr>
            </w:pPr>
            <w:r w:rsidRPr="009E7432">
              <w:rPr>
                <w:sz w:val="22"/>
                <w:szCs w:val="22"/>
              </w:rPr>
              <w:t>yes</w:t>
            </w:r>
          </w:p>
        </w:tc>
      </w:tr>
      <w:tr w:rsidR="005C75BB" w:rsidRPr="009E7432" w14:paraId="182E0C80" w14:textId="77777777" w:rsidTr="00342D1D">
        <w:tc>
          <w:tcPr>
            <w:tcW w:w="2425" w:type="dxa"/>
          </w:tcPr>
          <w:p w14:paraId="43FC92E2" w14:textId="77777777" w:rsidR="005C75BB" w:rsidRPr="009E7432" w:rsidRDefault="005C75BB" w:rsidP="00342D1D">
            <w:pPr>
              <w:rPr>
                <w:sz w:val="22"/>
                <w:szCs w:val="22"/>
              </w:rPr>
            </w:pPr>
            <w:proofErr w:type="spellStart"/>
            <w:r w:rsidRPr="00BC0B24">
              <w:rPr>
                <w:sz w:val="22"/>
                <w:szCs w:val="22"/>
                <w:lang w:val="fr-FR"/>
              </w:rPr>
              <w:t>question_text_de</w:t>
            </w:r>
            <w:proofErr w:type="spellEnd"/>
          </w:p>
        </w:tc>
        <w:tc>
          <w:tcPr>
            <w:tcW w:w="2790" w:type="dxa"/>
          </w:tcPr>
          <w:p w14:paraId="4B9BC1A4" w14:textId="77777777" w:rsidR="005C75BB" w:rsidRPr="009E7432" w:rsidRDefault="005C75BB" w:rsidP="00342D1D">
            <w:pPr>
              <w:rPr>
                <w:sz w:val="22"/>
                <w:szCs w:val="22"/>
              </w:rPr>
            </w:pPr>
            <w:r>
              <w:rPr>
                <w:sz w:val="22"/>
                <w:szCs w:val="22"/>
              </w:rPr>
              <w:t>Question</w:t>
            </w:r>
            <w:r w:rsidRPr="009E7432">
              <w:rPr>
                <w:sz w:val="22"/>
                <w:szCs w:val="22"/>
              </w:rPr>
              <w:t xml:space="preserve"> wording German</w:t>
            </w:r>
          </w:p>
        </w:tc>
        <w:tc>
          <w:tcPr>
            <w:tcW w:w="3150" w:type="dxa"/>
          </w:tcPr>
          <w:p w14:paraId="31608CBE" w14:textId="77777777" w:rsidR="005C75BB" w:rsidRPr="009E7432" w:rsidRDefault="005C75BB" w:rsidP="00342D1D">
            <w:pPr>
              <w:rPr>
                <w:sz w:val="22"/>
                <w:szCs w:val="22"/>
              </w:rPr>
            </w:pPr>
            <w:r w:rsidRPr="009E7432">
              <w:rPr>
                <w:sz w:val="22"/>
                <w:szCs w:val="22"/>
              </w:rPr>
              <w:t xml:space="preserve">Verbatim from </w:t>
            </w:r>
            <w:proofErr w:type="spellStart"/>
            <w:r w:rsidRPr="009E7432">
              <w:rPr>
                <w:sz w:val="22"/>
                <w:szCs w:val="22"/>
              </w:rPr>
              <w:t>questionnaire</w:t>
            </w:r>
            <w:r w:rsidRPr="009E7432">
              <w:rPr>
                <w:sz w:val="22"/>
                <w:szCs w:val="22"/>
                <w:vertAlign w:val="superscript"/>
              </w:rPr>
              <w:t>a</w:t>
            </w:r>
            <w:proofErr w:type="spellEnd"/>
          </w:p>
        </w:tc>
        <w:tc>
          <w:tcPr>
            <w:tcW w:w="1031" w:type="dxa"/>
          </w:tcPr>
          <w:p w14:paraId="60041888" w14:textId="77777777" w:rsidR="005C75BB" w:rsidRPr="009E7432" w:rsidRDefault="005C75BB" w:rsidP="00342D1D">
            <w:pPr>
              <w:rPr>
                <w:sz w:val="22"/>
                <w:szCs w:val="22"/>
              </w:rPr>
            </w:pPr>
            <w:r w:rsidRPr="009E7432">
              <w:rPr>
                <w:sz w:val="22"/>
                <w:szCs w:val="22"/>
              </w:rPr>
              <w:t>yes</w:t>
            </w:r>
          </w:p>
        </w:tc>
      </w:tr>
      <w:tr w:rsidR="005C75BB" w:rsidRPr="009E7432" w14:paraId="20F87DCD" w14:textId="77777777" w:rsidTr="00342D1D">
        <w:tc>
          <w:tcPr>
            <w:tcW w:w="2425" w:type="dxa"/>
          </w:tcPr>
          <w:p w14:paraId="39A23DFA" w14:textId="77777777" w:rsidR="005C75BB" w:rsidRPr="009E7432" w:rsidRDefault="005C75BB" w:rsidP="00342D1D">
            <w:pPr>
              <w:rPr>
                <w:sz w:val="22"/>
                <w:szCs w:val="22"/>
              </w:rPr>
            </w:pPr>
            <w:proofErr w:type="spellStart"/>
            <w:r w:rsidRPr="00BC0B24">
              <w:rPr>
                <w:sz w:val="22"/>
                <w:szCs w:val="22"/>
                <w:lang w:val="fr-FR"/>
              </w:rPr>
              <w:t>question_text_en</w:t>
            </w:r>
            <w:proofErr w:type="spellEnd"/>
          </w:p>
        </w:tc>
        <w:tc>
          <w:tcPr>
            <w:tcW w:w="2790" w:type="dxa"/>
          </w:tcPr>
          <w:p w14:paraId="2030717F" w14:textId="77777777" w:rsidR="005C75BB" w:rsidRPr="009E7432" w:rsidRDefault="005C75BB" w:rsidP="00342D1D">
            <w:pPr>
              <w:rPr>
                <w:sz w:val="22"/>
                <w:szCs w:val="22"/>
              </w:rPr>
            </w:pPr>
            <w:r>
              <w:rPr>
                <w:sz w:val="22"/>
                <w:szCs w:val="22"/>
              </w:rPr>
              <w:t>Question</w:t>
            </w:r>
            <w:r w:rsidRPr="009E7432">
              <w:rPr>
                <w:sz w:val="22"/>
                <w:szCs w:val="22"/>
              </w:rPr>
              <w:t xml:space="preserve"> wording English</w:t>
            </w:r>
          </w:p>
        </w:tc>
        <w:tc>
          <w:tcPr>
            <w:tcW w:w="3150" w:type="dxa"/>
          </w:tcPr>
          <w:p w14:paraId="7D7EC829" w14:textId="77777777" w:rsidR="005C75BB" w:rsidRPr="009E7432" w:rsidRDefault="005C75BB" w:rsidP="00342D1D">
            <w:pPr>
              <w:rPr>
                <w:sz w:val="22"/>
                <w:szCs w:val="22"/>
              </w:rPr>
            </w:pPr>
            <w:r w:rsidRPr="009E7432">
              <w:rPr>
                <w:sz w:val="22"/>
                <w:szCs w:val="22"/>
              </w:rPr>
              <w:t xml:space="preserve">Verbatim from </w:t>
            </w:r>
            <w:proofErr w:type="spellStart"/>
            <w:r w:rsidRPr="009E7432">
              <w:rPr>
                <w:sz w:val="22"/>
                <w:szCs w:val="22"/>
              </w:rPr>
              <w:t>questionnaire</w:t>
            </w:r>
            <w:r w:rsidRPr="009E7432">
              <w:rPr>
                <w:sz w:val="22"/>
                <w:szCs w:val="22"/>
                <w:vertAlign w:val="superscript"/>
              </w:rPr>
              <w:t>a</w:t>
            </w:r>
            <w:proofErr w:type="spellEnd"/>
          </w:p>
        </w:tc>
        <w:tc>
          <w:tcPr>
            <w:tcW w:w="1031" w:type="dxa"/>
          </w:tcPr>
          <w:p w14:paraId="03D1C17D" w14:textId="77777777" w:rsidR="005C75BB" w:rsidRPr="009E7432" w:rsidRDefault="005C75BB" w:rsidP="00342D1D">
            <w:pPr>
              <w:rPr>
                <w:sz w:val="22"/>
                <w:szCs w:val="22"/>
              </w:rPr>
            </w:pPr>
            <w:r w:rsidRPr="009E7432">
              <w:rPr>
                <w:sz w:val="22"/>
                <w:szCs w:val="22"/>
              </w:rPr>
              <w:t>yes</w:t>
            </w:r>
          </w:p>
        </w:tc>
      </w:tr>
      <w:tr w:rsidR="005C75BB" w:rsidRPr="009E7432" w14:paraId="64A771A3" w14:textId="77777777" w:rsidTr="00342D1D">
        <w:tc>
          <w:tcPr>
            <w:tcW w:w="2425" w:type="dxa"/>
          </w:tcPr>
          <w:p w14:paraId="77FEED72" w14:textId="77777777" w:rsidR="005C75BB" w:rsidRPr="009E7432" w:rsidRDefault="005C75BB" w:rsidP="00342D1D">
            <w:pPr>
              <w:rPr>
                <w:sz w:val="22"/>
                <w:szCs w:val="22"/>
              </w:rPr>
            </w:pPr>
            <w:proofErr w:type="spellStart"/>
            <w:r w:rsidRPr="00BC0B24">
              <w:rPr>
                <w:sz w:val="22"/>
                <w:szCs w:val="22"/>
                <w:lang w:val="fr-FR"/>
              </w:rPr>
              <w:t>responses_de</w:t>
            </w:r>
            <w:proofErr w:type="spellEnd"/>
          </w:p>
        </w:tc>
        <w:tc>
          <w:tcPr>
            <w:tcW w:w="2790" w:type="dxa"/>
          </w:tcPr>
          <w:p w14:paraId="09E835AA" w14:textId="77777777" w:rsidR="005C75BB" w:rsidRPr="009E7432" w:rsidRDefault="005C75BB" w:rsidP="00342D1D">
            <w:pPr>
              <w:rPr>
                <w:sz w:val="22"/>
                <w:szCs w:val="22"/>
              </w:rPr>
            </w:pPr>
            <w:r>
              <w:rPr>
                <w:sz w:val="22"/>
                <w:szCs w:val="22"/>
              </w:rPr>
              <w:t xml:space="preserve">Response </w:t>
            </w:r>
            <w:r w:rsidRPr="009E7432">
              <w:rPr>
                <w:sz w:val="22"/>
                <w:szCs w:val="22"/>
              </w:rPr>
              <w:t>wording German</w:t>
            </w:r>
          </w:p>
        </w:tc>
        <w:tc>
          <w:tcPr>
            <w:tcW w:w="3150" w:type="dxa"/>
          </w:tcPr>
          <w:p w14:paraId="2C5F68FD" w14:textId="77777777" w:rsidR="005C75BB" w:rsidRPr="009E7432" w:rsidRDefault="005C75BB" w:rsidP="00342D1D">
            <w:pPr>
              <w:rPr>
                <w:sz w:val="22"/>
                <w:szCs w:val="22"/>
              </w:rPr>
            </w:pPr>
            <w:r w:rsidRPr="009E7432">
              <w:rPr>
                <w:sz w:val="22"/>
                <w:szCs w:val="22"/>
              </w:rPr>
              <w:t xml:space="preserve">Verbatim from </w:t>
            </w:r>
            <w:proofErr w:type="spellStart"/>
            <w:r w:rsidRPr="009E7432">
              <w:rPr>
                <w:sz w:val="22"/>
                <w:szCs w:val="22"/>
              </w:rPr>
              <w:t>questionnaire</w:t>
            </w:r>
            <w:r w:rsidRPr="009E7432">
              <w:rPr>
                <w:sz w:val="22"/>
                <w:szCs w:val="22"/>
                <w:vertAlign w:val="superscript"/>
              </w:rPr>
              <w:t>a</w:t>
            </w:r>
            <w:proofErr w:type="spellEnd"/>
          </w:p>
        </w:tc>
        <w:tc>
          <w:tcPr>
            <w:tcW w:w="1031" w:type="dxa"/>
          </w:tcPr>
          <w:p w14:paraId="634B8E85" w14:textId="77777777" w:rsidR="005C75BB" w:rsidRPr="009E7432" w:rsidRDefault="005C75BB" w:rsidP="00342D1D">
            <w:pPr>
              <w:rPr>
                <w:sz w:val="22"/>
                <w:szCs w:val="22"/>
              </w:rPr>
            </w:pPr>
            <w:r w:rsidRPr="009E7432">
              <w:rPr>
                <w:sz w:val="22"/>
                <w:szCs w:val="22"/>
              </w:rPr>
              <w:t>yes</w:t>
            </w:r>
          </w:p>
        </w:tc>
      </w:tr>
      <w:tr w:rsidR="005C75BB" w:rsidRPr="009E7432" w14:paraId="247F73B6" w14:textId="77777777" w:rsidTr="00342D1D">
        <w:tc>
          <w:tcPr>
            <w:tcW w:w="2425" w:type="dxa"/>
          </w:tcPr>
          <w:p w14:paraId="06BF5495" w14:textId="77777777" w:rsidR="005C75BB" w:rsidRPr="009E7432" w:rsidRDefault="005C75BB" w:rsidP="00342D1D">
            <w:pPr>
              <w:rPr>
                <w:sz w:val="22"/>
                <w:szCs w:val="22"/>
              </w:rPr>
            </w:pPr>
            <w:proofErr w:type="spellStart"/>
            <w:r w:rsidRPr="00BC0B24">
              <w:rPr>
                <w:sz w:val="22"/>
                <w:szCs w:val="22"/>
                <w:lang w:val="fr-FR"/>
              </w:rPr>
              <w:t>responses_en</w:t>
            </w:r>
            <w:proofErr w:type="spellEnd"/>
          </w:p>
        </w:tc>
        <w:tc>
          <w:tcPr>
            <w:tcW w:w="2790" w:type="dxa"/>
          </w:tcPr>
          <w:p w14:paraId="751C8DD9" w14:textId="77777777" w:rsidR="005C75BB" w:rsidRPr="009E7432" w:rsidRDefault="005C75BB" w:rsidP="00342D1D">
            <w:pPr>
              <w:rPr>
                <w:sz w:val="22"/>
                <w:szCs w:val="22"/>
              </w:rPr>
            </w:pPr>
            <w:r>
              <w:rPr>
                <w:sz w:val="22"/>
                <w:szCs w:val="22"/>
              </w:rPr>
              <w:t xml:space="preserve">Response </w:t>
            </w:r>
            <w:r w:rsidRPr="009E7432">
              <w:rPr>
                <w:sz w:val="22"/>
                <w:szCs w:val="22"/>
              </w:rPr>
              <w:t>wording German</w:t>
            </w:r>
          </w:p>
        </w:tc>
        <w:tc>
          <w:tcPr>
            <w:tcW w:w="3150" w:type="dxa"/>
          </w:tcPr>
          <w:p w14:paraId="637AC719" w14:textId="77777777" w:rsidR="005C75BB" w:rsidRPr="009E7432" w:rsidRDefault="005C75BB" w:rsidP="00342D1D">
            <w:pPr>
              <w:rPr>
                <w:sz w:val="22"/>
                <w:szCs w:val="22"/>
              </w:rPr>
            </w:pPr>
            <w:r w:rsidRPr="009E7432">
              <w:rPr>
                <w:sz w:val="22"/>
                <w:szCs w:val="22"/>
              </w:rPr>
              <w:t xml:space="preserve">Verbatim from </w:t>
            </w:r>
            <w:proofErr w:type="spellStart"/>
            <w:r w:rsidRPr="009E7432">
              <w:rPr>
                <w:sz w:val="22"/>
                <w:szCs w:val="22"/>
              </w:rPr>
              <w:t>questionnaire</w:t>
            </w:r>
            <w:r w:rsidRPr="009E7432">
              <w:rPr>
                <w:sz w:val="22"/>
                <w:szCs w:val="22"/>
                <w:vertAlign w:val="superscript"/>
              </w:rPr>
              <w:t>a</w:t>
            </w:r>
            <w:proofErr w:type="spellEnd"/>
          </w:p>
        </w:tc>
        <w:tc>
          <w:tcPr>
            <w:tcW w:w="1031" w:type="dxa"/>
          </w:tcPr>
          <w:p w14:paraId="7835014A" w14:textId="77777777" w:rsidR="005C75BB" w:rsidRPr="009E7432" w:rsidRDefault="005C75BB" w:rsidP="00342D1D">
            <w:pPr>
              <w:rPr>
                <w:sz w:val="22"/>
                <w:szCs w:val="22"/>
              </w:rPr>
            </w:pPr>
            <w:r w:rsidRPr="009E7432">
              <w:rPr>
                <w:sz w:val="22"/>
                <w:szCs w:val="22"/>
              </w:rPr>
              <w:t>yes</w:t>
            </w:r>
          </w:p>
        </w:tc>
      </w:tr>
      <w:tr w:rsidR="005C75BB" w:rsidRPr="009E7432" w14:paraId="60D3D572" w14:textId="77777777" w:rsidTr="00342D1D">
        <w:tc>
          <w:tcPr>
            <w:tcW w:w="2425" w:type="dxa"/>
          </w:tcPr>
          <w:p w14:paraId="4886E276" w14:textId="77777777" w:rsidR="005C75BB" w:rsidRPr="009E7432" w:rsidRDefault="005C75BB" w:rsidP="00342D1D">
            <w:pPr>
              <w:rPr>
                <w:sz w:val="22"/>
                <w:szCs w:val="22"/>
              </w:rPr>
            </w:pPr>
            <w:proofErr w:type="spellStart"/>
            <w:r w:rsidRPr="00BC0B24">
              <w:rPr>
                <w:sz w:val="22"/>
                <w:szCs w:val="22"/>
                <w:lang w:val="fr-FR"/>
              </w:rPr>
              <w:t>generic_label_de</w:t>
            </w:r>
            <w:proofErr w:type="spellEnd"/>
          </w:p>
        </w:tc>
        <w:tc>
          <w:tcPr>
            <w:tcW w:w="2790" w:type="dxa"/>
          </w:tcPr>
          <w:p w14:paraId="79AA9E6F" w14:textId="77777777" w:rsidR="005C75BB" w:rsidRPr="009E7432" w:rsidRDefault="005C75BB" w:rsidP="00342D1D">
            <w:pPr>
              <w:rPr>
                <w:sz w:val="22"/>
                <w:szCs w:val="22"/>
              </w:rPr>
            </w:pPr>
            <w:r w:rsidRPr="009E7432">
              <w:rPr>
                <w:sz w:val="22"/>
                <w:szCs w:val="22"/>
              </w:rPr>
              <w:t>Variable label German</w:t>
            </w:r>
          </w:p>
        </w:tc>
        <w:tc>
          <w:tcPr>
            <w:tcW w:w="3150" w:type="dxa"/>
          </w:tcPr>
          <w:p w14:paraId="218CF2CD" w14:textId="77777777" w:rsidR="005C75BB" w:rsidRPr="009E7432" w:rsidRDefault="005C75BB" w:rsidP="00342D1D">
            <w:pPr>
              <w:rPr>
                <w:sz w:val="22"/>
                <w:szCs w:val="22"/>
              </w:rPr>
            </w:pPr>
            <w:r w:rsidRPr="009E7432">
              <w:rPr>
                <w:sz w:val="22"/>
                <w:szCs w:val="22"/>
              </w:rPr>
              <w:t>From PIAAC documentation</w:t>
            </w:r>
          </w:p>
        </w:tc>
        <w:tc>
          <w:tcPr>
            <w:tcW w:w="1031" w:type="dxa"/>
          </w:tcPr>
          <w:p w14:paraId="374B5A4C" w14:textId="77777777" w:rsidR="005C75BB" w:rsidRPr="009E7432" w:rsidRDefault="005C75BB" w:rsidP="00342D1D">
            <w:pPr>
              <w:rPr>
                <w:sz w:val="22"/>
                <w:szCs w:val="22"/>
              </w:rPr>
            </w:pPr>
            <w:r w:rsidRPr="009E7432">
              <w:rPr>
                <w:sz w:val="22"/>
                <w:szCs w:val="22"/>
              </w:rPr>
              <w:t>no</w:t>
            </w:r>
          </w:p>
        </w:tc>
      </w:tr>
      <w:tr w:rsidR="005C75BB" w:rsidRPr="009E7432" w14:paraId="75F665EE" w14:textId="77777777" w:rsidTr="00342D1D">
        <w:tc>
          <w:tcPr>
            <w:tcW w:w="2425" w:type="dxa"/>
          </w:tcPr>
          <w:p w14:paraId="39B06D53" w14:textId="77777777" w:rsidR="005C75BB" w:rsidRPr="009E7432" w:rsidRDefault="005C75BB" w:rsidP="00342D1D">
            <w:pPr>
              <w:rPr>
                <w:sz w:val="22"/>
                <w:szCs w:val="22"/>
              </w:rPr>
            </w:pPr>
            <w:proofErr w:type="spellStart"/>
            <w:r w:rsidRPr="00BC0B24">
              <w:rPr>
                <w:sz w:val="22"/>
                <w:szCs w:val="22"/>
                <w:lang w:val="fr-FR"/>
              </w:rPr>
              <w:t>generic_label_en</w:t>
            </w:r>
            <w:proofErr w:type="spellEnd"/>
          </w:p>
        </w:tc>
        <w:tc>
          <w:tcPr>
            <w:tcW w:w="2790" w:type="dxa"/>
          </w:tcPr>
          <w:p w14:paraId="405EED1B" w14:textId="77777777" w:rsidR="005C75BB" w:rsidRPr="009E7432" w:rsidRDefault="005C75BB" w:rsidP="00342D1D">
            <w:pPr>
              <w:rPr>
                <w:sz w:val="22"/>
                <w:szCs w:val="22"/>
              </w:rPr>
            </w:pPr>
            <w:r w:rsidRPr="009E7432">
              <w:rPr>
                <w:sz w:val="22"/>
                <w:szCs w:val="22"/>
              </w:rPr>
              <w:t>Variable label English</w:t>
            </w:r>
          </w:p>
        </w:tc>
        <w:tc>
          <w:tcPr>
            <w:tcW w:w="3150" w:type="dxa"/>
          </w:tcPr>
          <w:p w14:paraId="14BB0A7D" w14:textId="77777777" w:rsidR="005C75BB" w:rsidRPr="009E7432" w:rsidRDefault="005C75BB" w:rsidP="00342D1D">
            <w:pPr>
              <w:rPr>
                <w:sz w:val="22"/>
                <w:szCs w:val="22"/>
              </w:rPr>
            </w:pPr>
            <w:r w:rsidRPr="009E7432">
              <w:rPr>
                <w:sz w:val="22"/>
                <w:szCs w:val="22"/>
              </w:rPr>
              <w:t>From PIAAC documentation</w:t>
            </w:r>
          </w:p>
        </w:tc>
        <w:tc>
          <w:tcPr>
            <w:tcW w:w="1031" w:type="dxa"/>
          </w:tcPr>
          <w:p w14:paraId="668E238A" w14:textId="77777777" w:rsidR="005C75BB" w:rsidRPr="009E7432" w:rsidRDefault="005C75BB" w:rsidP="00342D1D">
            <w:pPr>
              <w:rPr>
                <w:sz w:val="22"/>
                <w:szCs w:val="22"/>
              </w:rPr>
            </w:pPr>
            <w:r w:rsidRPr="009E7432">
              <w:rPr>
                <w:sz w:val="22"/>
                <w:szCs w:val="22"/>
              </w:rPr>
              <w:t>yes</w:t>
            </w:r>
          </w:p>
        </w:tc>
      </w:tr>
      <w:tr w:rsidR="005C75BB" w:rsidRPr="009E7432" w14:paraId="0521A548" w14:textId="77777777" w:rsidTr="00342D1D">
        <w:tc>
          <w:tcPr>
            <w:tcW w:w="2425" w:type="dxa"/>
          </w:tcPr>
          <w:p w14:paraId="08B164E2" w14:textId="77777777" w:rsidR="005C75BB" w:rsidRPr="009E7432" w:rsidRDefault="005C75BB" w:rsidP="00342D1D">
            <w:pPr>
              <w:rPr>
                <w:sz w:val="22"/>
                <w:szCs w:val="22"/>
              </w:rPr>
            </w:pPr>
            <w:proofErr w:type="spellStart"/>
            <w:r w:rsidRPr="00BC0B24">
              <w:rPr>
                <w:sz w:val="22"/>
                <w:szCs w:val="22"/>
                <w:lang w:val="fr-FR"/>
              </w:rPr>
              <w:t>constructed_vars</w:t>
            </w:r>
            <w:proofErr w:type="spellEnd"/>
          </w:p>
        </w:tc>
        <w:tc>
          <w:tcPr>
            <w:tcW w:w="2790" w:type="dxa"/>
          </w:tcPr>
          <w:p w14:paraId="1877EAAD" w14:textId="77777777" w:rsidR="005C75BB" w:rsidRPr="009E7432" w:rsidRDefault="005C75BB" w:rsidP="00342D1D">
            <w:pPr>
              <w:rPr>
                <w:sz w:val="22"/>
                <w:szCs w:val="22"/>
              </w:rPr>
            </w:pPr>
            <w:r w:rsidRPr="009E7432">
              <w:rPr>
                <w:sz w:val="22"/>
                <w:szCs w:val="22"/>
              </w:rPr>
              <w:t>Rules for variable construction</w:t>
            </w:r>
          </w:p>
        </w:tc>
        <w:tc>
          <w:tcPr>
            <w:tcW w:w="3150" w:type="dxa"/>
          </w:tcPr>
          <w:p w14:paraId="4B72A7A5" w14:textId="77777777" w:rsidR="005C75BB" w:rsidRPr="009E7432" w:rsidRDefault="005C75BB" w:rsidP="00342D1D">
            <w:pPr>
              <w:rPr>
                <w:sz w:val="22"/>
                <w:szCs w:val="22"/>
              </w:rPr>
            </w:pPr>
            <w:r w:rsidRPr="009E7432">
              <w:rPr>
                <w:sz w:val="22"/>
                <w:szCs w:val="22"/>
              </w:rPr>
              <w:t>From PIAAC documentation</w:t>
            </w:r>
          </w:p>
        </w:tc>
        <w:tc>
          <w:tcPr>
            <w:tcW w:w="1031" w:type="dxa"/>
          </w:tcPr>
          <w:p w14:paraId="089632A5" w14:textId="77777777" w:rsidR="005C75BB" w:rsidRPr="009E7432" w:rsidRDefault="005C75BB" w:rsidP="00342D1D">
            <w:pPr>
              <w:rPr>
                <w:sz w:val="22"/>
                <w:szCs w:val="22"/>
              </w:rPr>
            </w:pPr>
            <w:r w:rsidRPr="009E7432">
              <w:rPr>
                <w:sz w:val="22"/>
                <w:szCs w:val="22"/>
              </w:rPr>
              <w:t>no</w:t>
            </w:r>
          </w:p>
        </w:tc>
      </w:tr>
      <w:tr w:rsidR="005C75BB" w:rsidRPr="009E7432" w14:paraId="0CD4E48A" w14:textId="77777777" w:rsidTr="00342D1D">
        <w:tc>
          <w:tcPr>
            <w:tcW w:w="2425" w:type="dxa"/>
          </w:tcPr>
          <w:p w14:paraId="76CE7D9D" w14:textId="77777777" w:rsidR="005C75BB" w:rsidRPr="009E7432" w:rsidRDefault="005C75BB" w:rsidP="00342D1D">
            <w:pPr>
              <w:rPr>
                <w:sz w:val="22"/>
                <w:szCs w:val="22"/>
              </w:rPr>
            </w:pPr>
            <w:proofErr w:type="spellStart"/>
            <w:r w:rsidRPr="00BC0B24">
              <w:rPr>
                <w:sz w:val="22"/>
                <w:szCs w:val="22"/>
                <w:lang w:val="fr-FR"/>
              </w:rPr>
              <w:t>ref_variables</w:t>
            </w:r>
            <w:proofErr w:type="spellEnd"/>
          </w:p>
        </w:tc>
        <w:tc>
          <w:tcPr>
            <w:tcW w:w="2790" w:type="dxa"/>
          </w:tcPr>
          <w:p w14:paraId="6AB5F4A8" w14:textId="77777777" w:rsidR="005C75BB" w:rsidRPr="009E7432" w:rsidRDefault="005C75BB" w:rsidP="00342D1D">
            <w:pPr>
              <w:rPr>
                <w:sz w:val="22"/>
                <w:szCs w:val="22"/>
              </w:rPr>
            </w:pPr>
            <w:r w:rsidRPr="009E7432">
              <w:rPr>
                <w:sz w:val="22"/>
                <w:szCs w:val="22"/>
              </w:rPr>
              <w:t>A list of related variables, including those used to construct th</w:t>
            </w:r>
            <w:r>
              <w:rPr>
                <w:sz w:val="22"/>
                <w:szCs w:val="22"/>
              </w:rPr>
              <w:t>is</w:t>
            </w:r>
            <w:r w:rsidRPr="009E7432">
              <w:rPr>
                <w:sz w:val="22"/>
                <w:szCs w:val="22"/>
              </w:rPr>
              <w:t xml:space="preserve"> </w:t>
            </w:r>
            <w:proofErr w:type="spellStart"/>
            <w:r w:rsidRPr="009E7432">
              <w:rPr>
                <w:sz w:val="22"/>
                <w:szCs w:val="22"/>
              </w:rPr>
              <w:t>variable</w:t>
            </w:r>
            <w:r w:rsidRPr="009E7432">
              <w:rPr>
                <w:sz w:val="22"/>
                <w:szCs w:val="22"/>
                <w:vertAlign w:val="superscript"/>
              </w:rPr>
              <w:t>b</w:t>
            </w:r>
            <w:proofErr w:type="spellEnd"/>
          </w:p>
        </w:tc>
        <w:tc>
          <w:tcPr>
            <w:tcW w:w="3150" w:type="dxa"/>
          </w:tcPr>
          <w:p w14:paraId="6177BE5A" w14:textId="77777777" w:rsidR="005C75BB" w:rsidRPr="009E7432" w:rsidRDefault="005C75BB" w:rsidP="00342D1D">
            <w:pPr>
              <w:rPr>
                <w:sz w:val="22"/>
                <w:szCs w:val="22"/>
              </w:rPr>
            </w:pPr>
            <w:r w:rsidRPr="009E7432">
              <w:rPr>
                <w:sz w:val="22"/>
                <w:szCs w:val="22"/>
              </w:rPr>
              <w:t>If/then rules</w:t>
            </w:r>
          </w:p>
        </w:tc>
        <w:tc>
          <w:tcPr>
            <w:tcW w:w="1031" w:type="dxa"/>
          </w:tcPr>
          <w:p w14:paraId="49CE5D0F" w14:textId="77777777" w:rsidR="005C75BB" w:rsidRPr="009E7432" w:rsidRDefault="005C75BB" w:rsidP="00342D1D">
            <w:pPr>
              <w:rPr>
                <w:sz w:val="22"/>
                <w:szCs w:val="22"/>
              </w:rPr>
            </w:pPr>
            <w:r w:rsidRPr="009E7432">
              <w:rPr>
                <w:sz w:val="22"/>
                <w:szCs w:val="22"/>
              </w:rPr>
              <w:t>no</w:t>
            </w:r>
          </w:p>
        </w:tc>
      </w:tr>
      <w:tr w:rsidR="005C75BB" w:rsidRPr="009E7432" w14:paraId="6411D72B" w14:textId="77777777" w:rsidTr="00342D1D">
        <w:tc>
          <w:tcPr>
            <w:tcW w:w="2425" w:type="dxa"/>
          </w:tcPr>
          <w:p w14:paraId="5E503EAC" w14:textId="77777777" w:rsidR="005C75BB" w:rsidRPr="009E7432" w:rsidRDefault="005C75BB" w:rsidP="00342D1D">
            <w:pPr>
              <w:rPr>
                <w:sz w:val="22"/>
                <w:szCs w:val="22"/>
              </w:rPr>
            </w:pPr>
            <w:r w:rsidRPr="00BC0B24">
              <w:rPr>
                <w:sz w:val="22"/>
                <w:szCs w:val="22"/>
                <w:lang w:val="fr-FR"/>
              </w:rPr>
              <w:t>cycle</w:t>
            </w:r>
          </w:p>
        </w:tc>
        <w:tc>
          <w:tcPr>
            <w:tcW w:w="2790" w:type="dxa"/>
          </w:tcPr>
          <w:p w14:paraId="478143B2" w14:textId="77777777" w:rsidR="005C75BB" w:rsidRPr="009E7432" w:rsidRDefault="005C75BB" w:rsidP="00342D1D">
            <w:pPr>
              <w:rPr>
                <w:sz w:val="22"/>
                <w:szCs w:val="22"/>
              </w:rPr>
            </w:pPr>
            <w:r w:rsidRPr="009E7432">
              <w:rPr>
                <w:sz w:val="22"/>
                <w:szCs w:val="22"/>
              </w:rPr>
              <w:t>Cycle identifier</w:t>
            </w:r>
          </w:p>
        </w:tc>
        <w:tc>
          <w:tcPr>
            <w:tcW w:w="3150" w:type="dxa"/>
          </w:tcPr>
          <w:p w14:paraId="450EDD21" w14:textId="77777777" w:rsidR="005C75BB" w:rsidRPr="009E7432" w:rsidRDefault="005C75BB" w:rsidP="005C75BB">
            <w:pPr>
              <w:pStyle w:val="ListParagraph"/>
              <w:numPr>
                <w:ilvl w:val="0"/>
                <w:numId w:val="2"/>
              </w:numPr>
              <w:spacing w:line="216" w:lineRule="auto"/>
              <w:ind w:left="310" w:hanging="267"/>
              <w:rPr>
                <w:sz w:val="22"/>
                <w:szCs w:val="22"/>
              </w:rPr>
            </w:pPr>
            <w:r w:rsidRPr="009E7432">
              <w:rPr>
                <w:sz w:val="22"/>
                <w:szCs w:val="22"/>
              </w:rPr>
              <w:t>Cy 1</w:t>
            </w:r>
          </w:p>
          <w:p w14:paraId="6646102E" w14:textId="77777777" w:rsidR="005C75BB" w:rsidRPr="009E7432" w:rsidRDefault="005C75BB" w:rsidP="005C75BB">
            <w:pPr>
              <w:pStyle w:val="ListParagraph"/>
              <w:numPr>
                <w:ilvl w:val="0"/>
                <w:numId w:val="2"/>
              </w:numPr>
              <w:spacing w:line="216" w:lineRule="auto"/>
              <w:ind w:left="310" w:hanging="267"/>
              <w:rPr>
                <w:sz w:val="22"/>
                <w:szCs w:val="22"/>
              </w:rPr>
            </w:pPr>
            <w:r w:rsidRPr="009E7432">
              <w:rPr>
                <w:sz w:val="22"/>
                <w:szCs w:val="22"/>
              </w:rPr>
              <w:t>Cy 2</w:t>
            </w:r>
          </w:p>
          <w:p w14:paraId="28E7A2B5" w14:textId="77777777" w:rsidR="005C75BB" w:rsidRPr="009E7432" w:rsidRDefault="005C75BB" w:rsidP="005C75BB">
            <w:pPr>
              <w:pStyle w:val="ListParagraph"/>
              <w:numPr>
                <w:ilvl w:val="0"/>
                <w:numId w:val="2"/>
              </w:numPr>
              <w:spacing w:line="216" w:lineRule="auto"/>
              <w:ind w:left="310" w:hanging="267"/>
              <w:rPr>
                <w:sz w:val="22"/>
                <w:szCs w:val="22"/>
              </w:rPr>
            </w:pPr>
            <w:r w:rsidRPr="009E7432">
              <w:rPr>
                <w:sz w:val="22"/>
                <w:szCs w:val="22"/>
              </w:rPr>
              <w:t>both</w:t>
            </w:r>
          </w:p>
        </w:tc>
        <w:tc>
          <w:tcPr>
            <w:tcW w:w="1031" w:type="dxa"/>
          </w:tcPr>
          <w:p w14:paraId="5959C61B" w14:textId="77777777" w:rsidR="005C75BB" w:rsidRPr="009E7432" w:rsidRDefault="005C75BB" w:rsidP="00342D1D">
            <w:pPr>
              <w:rPr>
                <w:sz w:val="22"/>
                <w:szCs w:val="22"/>
              </w:rPr>
            </w:pPr>
            <w:r w:rsidRPr="009E7432">
              <w:rPr>
                <w:sz w:val="22"/>
                <w:szCs w:val="22"/>
              </w:rPr>
              <w:t>yes</w:t>
            </w:r>
          </w:p>
        </w:tc>
      </w:tr>
      <w:tr w:rsidR="005C75BB" w:rsidRPr="009E7432" w14:paraId="55EBC35D" w14:textId="77777777" w:rsidTr="00342D1D">
        <w:tc>
          <w:tcPr>
            <w:tcW w:w="2425" w:type="dxa"/>
          </w:tcPr>
          <w:p w14:paraId="1B7872E7" w14:textId="77777777" w:rsidR="005C75BB" w:rsidRPr="009E7432" w:rsidRDefault="005C75BB" w:rsidP="00342D1D">
            <w:pPr>
              <w:rPr>
                <w:sz w:val="22"/>
                <w:szCs w:val="22"/>
              </w:rPr>
            </w:pPr>
            <w:r w:rsidRPr="00BC0B24">
              <w:rPr>
                <w:sz w:val="22"/>
                <w:szCs w:val="22"/>
                <w:lang w:val="fr-FR"/>
              </w:rPr>
              <w:t>trend</w:t>
            </w:r>
          </w:p>
        </w:tc>
        <w:tc>
          <w:tcPr>
            <w:tcW w:w="2790" w:type="dxa"/>
          </w:tcPr>
          <w:p w14:paraId="76DCB911" w14:textId="77777777" w:rsidR="005C75BB" w:rsidRPr="009E7432" w:rsidRDefault="005C75BB" w:rsidP="00342D1D">
            <w:pPr>
              <w:rPr>
                <w:sz w:val="22"/>
                <w:szCs w:val="22"/>
              </w:rPr>
            </w:pPr>
            <w:r w:rsidRPr="009E7432">
              <w:rPr>
                <w:sz w:val="22"/>
                <w:szCs w:val="22"/>
              </w:rPr>
              <w:t>Identifies a trend variable</w:t>
            </w:r>
          </w:p>
        </w:tc>
        <w:tc>
          <w:tcPr>
            <w:tcW w:w="3150" w:type="dxa"/>
          </w:tcPr>
          <w:p w14:paraId="0CB4C760" w14:textId="77777777" w:rsidR="005C75BB" w:rsidRPr="009E7432" w:rsidRDefault="005C75BB" w:rsidP="005C75BB">
            <w:pPr>
              <w:pStyle w:val="ListParagraph"/>
              <w:numPr>
                <w:ilvl w:val="0"/>
                <w:numId w:val="2"/>
              </w:numPr>
              <w:spacing w:line="216" w:lineRule="auto"/>
              <w:ind w:left="317" w:hanging="274"/>
              <w:rPr>
                <w:sz w:val="22"/>
                <w:szCs w:val="22"/>
              </w:rPr>
            </w:pPr>
            <w:r w:rsidRPr="009E7432">
              <w:rPr>
                <w:sz w:val="22"/>
                <w:szCs w:val="22"/>
              </w:rPr>
              <w:t>Strict</w:t>
            </w:r>
          </w:p>
          <w:p w14:paraId="0E516DA4" w14:textId="77777777" w:rsidR="005C75BB" w:rsidRPr="009E7432" w:rsidRDefault="005C75BB" w:rsidP="005C75BB">
            <w:pPr>
              <w:pStyle w:val="ListParagraph"/>
              <w:numPr>
                <w:ilvl w:val="0"/>
                <w:numId w:val="2"/>
              </w:numPr>
              <w:spacing w:line="216" w:lineRule="auto"/>
              <w:ind w:left="317" w:hanging="274"/>
              <w:rPr>
                <w:sz w:val="22"/>
                <w:szCs w:val="22"/>
              </w:rPr>
            </w:pPr>
            <w:r w:rsidRPr="009E7432">
              <w:rPr>
                <w:sz w:val="22"/>
                <w:szCs w:val="22"/>
              </w:rPr>
              <w:t>Soft</w:t>
            </w:r>
          </w:p>
          <w:p w14:paraId="64E7F628" w14:textId="77777777" w:rsidR="005C75BB" w:rsidRPr="009E7432" w:rsidRDefault="005C75BB" w:rsidP="005C75BB">
            <w:pPr>
              <w:pStyle w:val="ListParagraph"/>
              <w:numPr>
                <w:ilvl w:val="0"/>
                <w:numId w:val="2"/>
              </w:numPr>
              <w:spacing w:line="216" w:lineRule="auto"/>
              <w:ind w:left="317" w:hanging="274"/>
              <w:rPr>
                <w:sz w:val="22"/>
                <w:szCs w:val="22"/>
              </w:rPr>
            </w:pPr>
            <w:r w:rsidRPr="009E7432">
              <w:rPr>
                <w:sz w:val="22"/>
                <w:szCs w:val="22"/>
              </w:rPr>
              <w:t>Derived</w:t>
            </w:r>
            <w:r w:rsidRPr="009E7432">
              <w:rPr>
                <w:sz w:val="22"/>
                <w:szCs w:val="22"/>
                <w:vertAlign w:val="superscript"/>
              </w:rPr>
              <w:t xml:space="preserve"> c</w:t>
            </w:r>
          </w:p>
          <w:p w14:paraId="31DB449C" w14:textId="77777777" w:rsidR="005C75BB" w:rsidRPr="009E7432" w:rsidRDefault="005C75BB" w:rsidP="005C75BB">
            <w:pPr>
              <w:pStyle w:val="ListParagraph"/>
              <w:numPr>
                <w:ilvl w:val="0"/>
                <w:numId w:val="2"/>
              </w:numPr>
              <w:spacing w:line="216" w:lineRule="auto"/>
              <w:ind w:left="317" w:hanging="274"/>
              <w:rPr>
                <w:sz w:val="22"/>
                <w:szCs w:val="22"/>
              </w:rPr>
            </w:pPr>
            <w:r w:rsidRPr="009E7432">
              <w:rPr>
                <w:sz w:val="22"/>
                <w:szCs w:val="22"/>
              </w:rPr>
              <w:t>Cy1 only</w:t>
            </w:r>
          </w:p>
          <w:p w14:paraId="43E3D39D" w14:textId="77777777" w:rsidR="005C75BB" w:rsidRPr="009E7432" w:rsidRDefault="005C75BB" w:rsidP="005C75BB">
            <w:pPr>
              <w:pStyle w:val="ListParagraph"/>
              <w:numPr>
                <w:ilvl w:val="0"/>
                <w:numId w:val="2"/>
              </w:numPr>
              <w:spacing w:line="216" w:lineRule="auto"/>
              <w:ind w:left="317" w:hanging="274"/>
              <w:rPr>
                <w:sz w:val="22"/>
                <w:szCs w:val="22"/>
              </w:rPr>
            </w:pPr>
            <w:r w:rsidRPr="009E7432">
              <w:rPr>
                <w:sz w:val="22"/>
                <w:szCs w:val="22"/>
              </w:rPr>
              <w:t>Cy2 only</w:t>
            </w:r>
          </w:p>
          <w:p w14:paraId="1639F7B1" w14:textId="77777777" w:rsidR="005C75BB" w:rsidRPr="009E7432" w:rsidRDefault="005C75BB" w:rsidP="005C75BB">
            <w:pPr>
              <w:pStyle w:val="ListParagraph"/>
              <w:numPr>
                <w:ilvl w:val="0"/>
                <w:numId w:val="2"/>
              </w:numPr>
              <w:spacing w:line="216" w:lineRule="auto"/>
              <w:ind w:left="317" w:hanging="274"/>
              <w:rPr>
                <w:sz w:val="22"/>
                <w:szCs w:val="22"/>
              </w:rPr>
            </w:pPr>
            <w:r w:rsidRPr="009E7432">
              <w:rPr>
                <w:sz w:val="22"/>
                <w:szCs w:val="22"/>
              </w:rPr>
              <w:t>NA (not a trend)</w:t>
            </w:r>
          </w:p>
        </w:tc>
        <w:tc>
          <w:tcPr>
            <w:tcW w:w="1031" w:type="dxa"/>
          </w:tcPr>
          <w:p w14:paraId="48E009FB" w14:textId="77777777" w:rsidR="005C75BB" w:rsidRPr="009E7432" w:rsidRDefault="005C75BB" w:rsidP="00342D1D">
            <w:pPr>
              <w:rPr>
                <w:sz w:val="22"/>
                <w:szCs w:val="22"/>
              </w:rPr>
            </w:pPr>
            <w:r w:rsidRPr="009E7432">
              <w:rPr>
                <w:sz w:val="22"/>
                <w:szCs w:val="22"/>
              </w:rPr>
              <w:t>yes</w:t>
            </w:r>
          </w:p>
        </w:tc>
      </w:tr>
      <w:tr w:rsidR="005C75BB" w:rsidRPr="009E7432" w14:paraId="0FECCB23" w14:textId="77777777" w:rsidTr="00342D1D">
        <w:tc>
          <w:tcPr>
            <w:tcW w:w="2425" w:type="dxa"/>
          </w:tcPr>
          <w:p w14:paraId="50B2B72D" w14:textId="77777777" w:rsidR="005C75BB" w:rsidRPr="009E7432" w:rsidRDefault="005C75BB" w:rsidP="00342D1D">
            <w:pPr>
              <w:rPr>
                <w:sz w:val="22"/>
                <w:szCs w:val="22"/>
              </w:rPr>
            </w:pPr>
            <w:proofErr w:type="spellStart"/>
            <w:r w:rsidRPr="00BC0B24">
              <w:rPr>
                <w:sz w:val="22"/>
                <w:szCs w:val="22"/>
                <w:lang w:val="fr-FR"/>
              </w:rPr>
              <w:t>trend_var</w:t>
            </w:r>
            <w:proofErr w:type="spellEnd"/>
          </w:p>
        </w:tc>
        <w:tc>
          <w:tcPr>
            <w:tcW w:w="2790" w:type="dxa"/>
          </w:tcPr>
          <w:p w14:paraId="732A24DE" w14:textId="77777777" w:rsidR="005C75BB" w:rsidRPr="009E7432" w:rsidRDefault="005C75BB" w:rsidP="00342D1D">
            <w:pPr>
              <w:rPr>
                <w:sz w:val="22"/>
                <w:szCs w:val="22"/>
              </w:rPr>
            </w:pPr>
            <w:r w:rsidRPr="009E7432">
              <w:rPr>
                <w:sz w:val="22"/>
                <w:szCs w:val="22"/>
              </w:rPr>
              <w:t>Identifies trend pair</w:t>
            </w:r>
          </w:p>
        </w:tc>
        <w:tc>
          <w:tcPr>
            <w:tcW w:w="3150" w:type="dxa"/>
          </w:tcPr>
          <w:p w14:paraId="32D54B97" w14:textId="77777777" w:rsidR="005C75BB" w:rsidRPr="009E7432" w:rsidRDefault="005C75BB" w:rsidP="00342D1D">
            <w:pPr>
              <w:rPr>
                <w:sz w:val="22"/>
                <w:szCs w:val="22"/>
              </w:rPr>
            </w:pPr>
            <w:r w:rsidRPr="009E7432">
              <w:rPr>
                <w:sz w:val="22"/>
                <w:szCs w:val="22"/>
              </w:rPr>
              <w:t xml:space="preserve">If different between Cycles, the name of the corresponding trend variable </w:t>
            </w:r>
          </w:p>
        </w:tc>
        <w:tc>
          <w:tcPr>
            <w:tcW w:w="1031" w:type="dxa"/>
          </w:tcPr>
          <w:p w14:paraId="3BC1ABE9" w14:textId="77777777" w:rsidR="005C75BB" w:rsidRPr="009E7432" w:rsidRDefault="005C75BB" w:rsidP="00342D1D">
            <w:pPr>
              <w:rPr>
                <w:sz w:val="22"/>
                <w:szCs w:val="22"/>
              </w:rPr>
            </w:pPr>
            <w:r w:rsidRPr="009E7432">
              <w:rPr>
                <w:sz w:val="22"/>
                <w:szCs w:val="22"/>
              </w:rPr>
              <w:t>yes</w:t>
            </w:r>
          </w:p>
        </w:tc>
      </w:tr>
      <w:tr w:rsidR="005C75BB" w:rsidRPr="009E7432" w14:paraId="432EAE35" w14:textId="77777777" w:rsidTr="00342D1D">
        <w:tc>
          <w:tcPr>
            <w:tcW w:w="2425" w:type="dxa"/>
          </w:tcPr>
          <w:p w14:paraId="0A39A7C1" w14:textId="77777777" w:rsidR="005C75BB" w:rsidRPr="009E7432" w:rsidRDefault="005C75BB" w:rsidP="00342D1D">
            <w:pPr>
              <w:rPr>
                <w:sz w:val="22"/>
                <w:szCs w:val="22"/>
              </w:rPr>
            </w:pPr>
            <w:proofErr w:type="spellStart"/>
            <w:r w:rsidRPr="00BC0B24">
              <w:rPr>
                <w:sz w:val="22"/>
                <w:szCs w:val="22"/>
                <w:lang w:val="fr-FR"/>
              </w:rPr>
              <w:t>soft_trend_explanation</w:t>
            </w:r>
            <w:proofErr w:type="spellEnd"/>
          </w:p>
        </w:tc>
        <w:tc>
          <w:tcPr>
            <w:tcW w:w="2790" w:type="dxa"/>
          </w:tcPr>
          <w:p w14:paraId="60E546C4" w14:textId="77777777" w:rsidR="005C75BB" w:rsidRPr="009E7432" w:rsidRDefault="005C75BB" w:rsidP="00342D1D">
            <w:pPr>
              <w:rPr>
                <w:sz w:val="22"/>
                <w:szCs w:val="22"/>
              </w:rPr>
            </w:pPr>
            <w:r w:rsidRPr="009E7432">
              <w:rPr>
                <w:sz w:val="22"/>
                <w:szCs w:val="22"/>
              </w:rPr>
              <w:t>Differences between Cycles</w:t>
            </w:r>
          </w:p>
        </w:tc>
        <w:tc>
          <w:tcPr>
            <w:tcW w:w="3150" w:type="dxa"/>
          </w:tcPr>
          <w:p w14:paraId="56D8BB1F" w14:textId="77777777" w:rsidR="005C75BB" w:rsidRPr="009E7432" w:rsidRDefault="005C75BB" w:rsidP="00342D1D">
            <w:pPr>
              <w:rPr>
                <w:sz w:val="22"/>
                <w:szCs w:val="22"/>
              </w:rPr>
            </w:pPr>
            <w:r w:rsidRPr="009E7432">
              <w:rPr>
                <w:sz w:val="22"/>
                <w:szCs w:val="22"/>
              </w:rPr>
              <w:t xml:space="preserve">PIAAC’s documented explanation </w:t>
            </w:r>
          </w:p>
        </w:tc>
        <w:tc>
          <w:tcPr>
            <w:tcW w:w="1031" w:type="dxa"/>
          </w:tcPr>
          <w:p w14:paraId="538F8002" w14:textId="77777777" w:rsidR="005C75BB" w:rsidRPr="009E7432" w:rsidRDefault="005C75BB" w:rsidP="00342D1D">
            <w:pPr>
              <w:rPr>
                <w:sz w:val="22"/>
                <w:szCs w:val="22"/>
              </w:rPr>
            </w:pPr>
            <w:r w:rsidRPr="009E7432">
              <w:rPr>
                <w:sz w:val="22"/>
                <w:szCs w:val="22"/>
              </w:rPr>
              <w:t xml:space="preserve">yes, </w:t>
            </w:r>
            <w:r>
              <w:rPr>
                <w:sz w:val="22"/>
                <w:szCs w:val="22"/>
              </w:rPr>
              <w:t>if</w:t>
            </w:r>
            <w:r w:rsidRPr="009E7432">
              <w:rPr>
                <w:sz w:val="22"/>
                <w:szCs w:val="22"/>
              </w:rPr>
              <w:t xml:space="preserve"> trend = “Soft”</w:t>
            </w:r>
          </w:p>
        </w:tc>
      </w:tr>
      <w:tr w:rsidR="005C75BB" w:rsidRPr="009E7432" w14:paraId="2071B7BE" w14:textId="77777777" w:rsidTr="00342D1D">
        <w:tc>
          <w:tcPr>
            <w:tcW w:w="2425" w:type="dxa"/>
          </w:tcPr>
          <w:p w14:paraId="70DE0D27" w14:textId="77777777" w:rsidR="005C75BB" w:rsidRPr="009E7432" w:rsidRDefault="005C75BB" w:rsidP="00342D1D">
            <w:pPr>
              <w:rPr>
                <w:sz w:val="22"/>
                <w:szCs w:val="22"/>
                <w:lang w:val="fr-FR"/>
              </w:rPr>
            </w:pPr>
            <w:proofErr w:type="spellStart"/>
            <w:r w:rsidRPr="00BC0B24">
              <w:rPr>
                <w:sz w:val="22"/>
                <w:szCs w:val="22"/>
                <w:lang w:val="fr-FR"/>
              </w:rPr>
              <w:t>c_vars</w:t>
            </w:r>
            <w:proofErr w:type="spellEnd"/>
          </w:p>
        </w:tc>
        <w:tc>
          <w:tcPr>
            <w:tcW w:w="2790" w:type="dxa"/>
          </w:tcPr>
          <w:p w14:paraId="11AB9293" w14:textId="77777777" w:rsidR="005C75BB" w:rsidRPr="009E7432" w:rsidRDefault="005C75BB" w:rsidP="00342D1D">
            <w:pPr>
              <w:rPr>
                <w:sz w:val="22"/>
                <w:szCs w:val="22"/>
              </w:rPr>
            </w:pPr>
            <w:r w:rsidRPr="009E7432">
              <w:rPr>
                <w:sz w:val="22"/>
                <w:szCs w:val="22"/>
              </w:rPr>
              <w:t>Related variables</w:t>
            </w:r>
          </w:p>
        </w:tc>
        <w:tc>
          <w:tcPr>
            <w:tcW w:w="3150" w:type="dxa"/>
          </w:tcPr>
          <w:p w14:paraId="7E22B930" w14:textId="77777777" w:rsidR="005C75BB" w:rsidRPr="009E7432" w:rsidRDefault="005C75BB" w:rsidP="00342D1D">
            <w:pPr>
              <w:rPr>
                <w:sz w:val="22"/>
                <w:szCs w:val="22"/>
              </w:rPr>
            </w:pPr>
            <w:r w:rsidRPr="009E7432">
              <w:rPr>
                <w:sz w:val="22"/>
                <w:szCs w:val="22"/>
              </w:rPr>
              <w:t>Compiles base variables for derived measures, and similar variables</w:t>
            </w:r>
          </w:p>
        </w:tc>
        <w:tc>
          <w:tcPr>
            <w:tcW w:w="1031" w:type="dxa"/>
          </w:tcPr>
          <w:p w14:paraId="15275197" w14:textId="77777777" w:rsidR="005C75BB" w:rsidRPr="009E7432" w:rsidRDefault="005C75BB" w:rsidP="00342D1D">
            <w:pPr>
              <w:rPr>
                <w:sz w:val="22"/>
                <w:szCs w:val="22"/>
              </w:rPr>
            </w:pPr>
            <w:r w:rsidRPr="009E7432">
              <w:rPr>
                <w:sz w:val="22"/>
                <w:szCs w:val="22"/>
              </w:rPr>
              <w:t>yes</w:t>
            </w:r>
          </w:p>
        </w:tc>
      </w:tr>
      <w:tr w:rsidR="005C75BB" w:rsidRPr="009E7432" w14:paraId="3A4AE8AC" w14:textId="77777777" w:rsidTr="00342D1D">
        <w:tc>
          <w:tcPr>
            <w:tcW w:w="2425" w:type="dxa"/>
          </w:tcPr>
          <w:p w14:paraId="45A2BC1B" w14:textId="77777777" w:rsidR="005C75BB" w:rsidRPr="009E7432" w:rsidRDefault="005C75BB" w:rsidP="00342D1D">
            <w:pPr>
              <w:rPr>
                <w:sz w:val="22"/>
                <w:szCs w:val="22"/>
                <w:lang w:val="fr-FR"/>
              </w:rPr>
            </w:pPr>
            <w:proofErr w:type="spellStart"/>
            <w:r w:rsidRPr="00BC0B24">
              <w:rPr>
                <w:sz w:val="22"/>
                <w:szCs w:val="22"/>
              </w:rPr>
              <w:t>notin</w:t>
            </w:r>
            <w:proofErr w:type="spellEnd"/>
          </w:p>
        </w:tc>
        <w:tc>
          <w:tcPr>
            <w:tcW w:w="2790" w:type="dxa"/>
          </w:tcPr>
          <w:p w14:paraId="0F17279C" w14:textId="77777777" w:rsidR="005C75BB" w:rsidRPr="009E7432" w:rsidRDefault="005C75BB" w:rsidP="00342D1D">
            <w:pPr>
              <w:rPr>
                <w:sz w:val="22"/>
                <w:szCs w:val="22"/>
              </w:rPr>
            </w:pPr>
            <w:r w:rsidRPr="009E7432">
              <w:rPr>
                <w:sz w:val="22"/>
                <w:szCs w:val="22"/>
              </w:rPr>
              <w:t>If all missing in PUF for DE &amp; UK Cycle 1</w:t>
            </w:r>
          </w:p>
        </w:tc>
        <w:tc>
          <w:tcPr>
            <w:tcW w:w="3150" w:type="dxa"/>
          </w:tcPr>
          <w:p w14:paraId="0657504F" w14:textId="77777777" w:rsidR="005C75BB" w:rsidRPr="009E7432" w:rsidRDefault="005C75BB" w:rsidP="00342D1D">
            <w:pPr>
              <w:rPr>
                <w:sz w:val="22"/>
                <w:szCs w:val="22"/>
              </w:rPr>
            </w:pPr>
            <w:r w:rsidRPr="009E7432">
              <w:rPr>
                <w:sz w:val="22"/>
                <w:szCs w:val="22"/>
              </w:rPr>
              <w:t>1 = Yes</w:t>
            </w:r>
          </w:p>
        </w:tc>
        <w:tc>
          <w:tcPr>
            <w:tcW w:w="1031" w:type="dxa"/>
          </w:tcPr>
          <w:p w14:paraId="5EB0A8DC" w14:textId="77777777" w:rsidR="005C75BB" w:rsidRPr="009E7432" w:rsidRDefault="005C75BB" w:rsidP="00342D1D">
            <w:pPr>
              <w:rPr>
                <w:sz w:val="22"/>
                <w:szCs w:val="22"/>
              </w:rPr>
            </w:pPr>
            <w:r w:rsidRPr="009E7432">
              <w:rPr>
                <w:sz w:val="22"/>
                <w:szCs w:val="22"/>
              </w:rPr>
              <w:t>no</w:t>
            </w:r>
          </w:p>
        </w:tc>
      </w:tr>
      <w:tr w:rsidR="005C75BB" w:rsidRPr="009E7432" w14:paraId="199AC4EB" w14:textId="77777777" w:rsidTr="00342D1D">
        <w:tc>
          <w:tcPr>
            <w:tcW w:w="2425" w:type="dxa"/>
          </w:tcPr>
          <w:p w14:paraId="66CCE5C6" w14:textId="77777777" w:rsidR="005C75BB" w:rsidRPr="009E7432" w:rsidRDefault="005C75BB" w:rsidP="00342D1D">
            <w:pPr>
              <w:rPr>
                <w:sz w:val="22"/>
                <w:szCs w:val="22"/>
              </w:rPr>
            </w:pPr>
            <w:r w:rsidRPr="00BC0B24">
              <w:rPr>
                <w:sz w:val="22"/>
                <w:szCs w:val="22"/>
              </w:rPr>
              <w:t>notin2</w:t>
            </w:r>
          </w:p>
        </w:tc>
        <w:tc>
          <w:tcPr>
            <w:tcW w:w="2790" w:type="dxa"/>
          </w:tcPr>
          <w:p w14:paraId="5D97CE38" w14:textId="77777777" w:rsidR="005C75BB" w:rsidRPr="009E7432" w:rsidRDefault="005C75BB" w:rsidP="00342D1D">
            <w:pPr>
              <w:rPr>
                <w:sz w:val="22"/>
                <w:szCs w:val="22"/>
              </w:rPr>
            </w:pPr>
            <w:r w:rsidRPr="009E7432">
              <w:rPr>
                <w:sz w:val="22"/>
                <w:szCs w:val="22"/>
              </w:rPr>
              <w:t>If all missing in PUR for DE &amp; UK Cycle 2</w:t>
            </w:r>
          </w:p>
        </w:tc>
        <w:tc>
          <w:tcPr>
            <w:tcW w:w="3150" w:type="dxa"/>
          </w:tcPr>
          <w:p w14:paraId="23CF2CC3" w14:textId="77777777" w:rsidR="005C75BB" w:rsidRPr="009E7432" w:rsidRDefault="005C75BB" w:rsidP="00342D1D">
            <w:pPr>
              <w:rPr>
                <w:sz w:val="22"/>
                <w:szCs w:val="22"/>
                <w:lang w:val="it-IT"/>
              </w:rPr>
            </w:pPr>
            <w:r w:rsidRPr="009E7432">
              <w:rPr>
                <w:sz w:val="22"/>
                <w:szCs w:val="22"/>
                <w:lang w:val="it-IT"/>
              </w:rPr>
              <w:t>1 = Yes</w:t>
            </w:r>
          </w:p>
        </w:tc>
        <w:tc>
          <w:tcPr>
            <w:tcW w:w="1031" w:type="dxa"/>
          </w:tcPr>
          <w:p w14:paraId="5DF4F653" w14:textId="77777777" w:rsidR="005C75BB" w:rsidRPr="009E7432" w:rsidRDefault="005C75BB" w:rsidP="00342D1D">
            <w:pPr>
              <w:rPr>
                <w:sz w:val="22"/>
                <w:szCs w:val="22"/>
                <w:lang w:val="it-IT"/>
              </w:rPr>
            </w:pPr>
            <w:r w:rsidRPr="009E7432">
              <w:rPr>
                <w:sz w:val="22"/>
                <w:szCs w:val="22"/>
                <w:lang w:val="it-IT"/>
              </w:rPr>
              <w:t>no</w:t>
            </w:r>
          </w:p>
        </w:tc>
      </w:tr>
      <w:tr w:rsidR="005C75BB" w:rsidRPr="009E7432" w14:paraId="18AB972D" w14:textId="77777777" w:rsidTr="00342D1D">
        <w:trPr>
          <w:trHeight w:val="589"/>
        </w:trPr>
        <w:tc>
          <w:tcPr>
            <w:tcW w:w="2425" w:type="dxa"/>
          </w:tcPr>
          <w:p w14:paraId="61811B06" w14:textId="77777777" w:rsidR="005C75BB" w:rsidRPr="009E7432" w:rsidRDefault="005C75BB" w:rsidP="00342D1D">
            <w:pPr>
              <w:rPr>
                <w:sz w:val="22"/>
                <w:szCs w:val="22"/>
              </w:rPr>
            </w:pPr>
            <w:r w:rsidRPr="00BC0B24">
              <w:rPr>
                <w:sz w:val="22"/>
                <w:szCs w:val="22"/>
              </w:rPr>
              <w:t>none</w:t>
            </w:r>
          </w:p>
        </w:tc>
        <w:tc>
          <w:tcPr>
            <w:tcW w:w="2790" w:type="dxa"/>
          </w:tcPr>
          <w:p w14:paraId="30F6A31A" w14:textId="77777777" w:rsidR="005C75BB" w:rsidRPr="009E7432" w:rsidRDefault="005C75BB" w:rsidP="00342D1D">
            <w:pPr>
              <w:rPr>
                <w:sz w:val="22"/>
                <w:szCs w:val="22"/>
              </w:rPr>
            </w:pPr>
            <w:r w:rsidRPr="009E7432">
              <w:rPr>
                <w:sz w:val="22"/>
                <w:szCs w:val="22"/>
              </w:rPr>
              <w:t>If missing for both Cycles and countr</w:t>
            </w:r>
            <w:r>
              <w:rPr>
                <w:sz w:val="22"/>
                <w:szCs w:val="22"/>
              </w:rPr>
              <w:t>ies</w:t>
            </w:r>
          </w:p>
        </w:tc>
        <w:tc>
          <w:tcPr>
            <w:tcW w:w="3150" w:type="dxa"/>
          </w:tcPr>
          <w:p w14:paraId="00DBE1D5" w14:textId="77777777" w:rsidR="005C75BB" w:rsidRPr="009E7432" w:rsidRDefault="005C75BB" w:rsidP="005C75BB">
            <w:pPr>
              <w:pStyle w:val="ListParagraph"/>
              <w:numPr>
                <w:ilvl w:val="0"/>
                <w:numId w:val="2"/>
              </w:numPr>
              <w:spacing w:after="160" w:line="216" w:lineRule="auto"/>
              <w:ind w:left="310" w:hanging="267"/>
              <w:rPr>
                <w:sz w:val="22"/>
                <w:szCs w:val="22"/>
              </w:rPr>
            </w:pPr>
            <w:r w:rsidRPr="009E7432">
              <w:rPr>
                <w:sz w:val="22"/>
                <w:szCs w:val="22"/>
              </w:rPr>
              <w:t>Yes</w:t>
            </w:r>
          </w:p>
          <w:p w14:paraId="0E736380" w14:textId="77777777" w:rsidR="005C75BB" w:rsidRPr="009E7432" w:rsidRDefault="005C75BB" w:rsidP="005C75BB">
            <w:pPr>
              <w:pStyle w:val="ListParagraph"/>
              <w:numPr>
                <w:ilvl w:val="0"/>
                <w:numId w:val="2"/>
              </w:numPr>
              <w:spacing w:after="160" w:line="216" w:lineRule="auto"/>
              <w:ind w:left="310" w:hanging="267"/>
              <w:rPr>
                <w:sz w:val="22"/>
                <w:szCs w:val="22"/>
              </w:rPr>
            </w:pPr>
            <w:r w:rsidRPr="009E7432">
              <w:rPr>
                <w:sz w:val="22"/>
                <w:szCs w:val="22"/>
              </w:rPr>
              <w:t>No</w:t>
            </w:r>
          </w:p>
        </w:tc>
        <w:tc>
          <w:tcPr>
            <w:tcW w:w="1031" w:type="dxa"/>
          </w:tcPr>
          <w:p w14:paraId="7BBCE509" w14:textId="77777777" w:rsidR="005C75BB" w:rsidRPr="009E7432" w:rsidRDefault="005C75BB" w:rsidP="00342D1D">
            <w:pPr>
              <w:rPr>
                <w:sz w:val="22"/>
                <w:szCs w:val="22"/>
              </w:rPr>
            </w:pPr>
            <w:r w:rsidRPr="009E7432">
              <w:rPr>
                <w:sz w:val="22"/>
                <w:szCs w:val="22"/>
              </w:rPr>
              <w:t>yes</w:t>
            </w:r>
          </w:p>
        </w:tc>
      </w:tr>
    </w:tbl>
    <w:p w14:paraId="09D34FD3" w14:textId="77777777" w:rsidR="005C75BB" w:rsidRDefault="005C75BB" w:rsidP="005C75BB">
      <w:pPr>
        <w:spacing w:after="0"/>
        <w:rPr>
          <w:sz w:val="20"/>
          <w:szCs w:val="20"/>
        </w:rPr>
      </w:pPr>
      <w:proofErr w:type="spellStart"/>
      <w:r w:rsidRPr="00BC0B24">
        <w:rPr>
          <w:sz w:val="20"/>
          <w:szCs w:val="20"/>
          <w:vertAlign w:val="superscript"/>
        </w:rPr>
        <w:t>a</w:t>
      </w:r>
      <w:r w:rsidRPr="00BC0B24">
        <w:rPr>
          <w:sz w:val="20"/>
          <w:szCs w:val="20"/>
        </w:rPr>
        <w:t>Except</w:t>
      </w:r>
      <w:proofErr w:type="spellEnd"/>
      <w:r w:rsidRPr="00BC0B24">
        <w:rPr>
          <w:sz w:val="20"/>
          <w:szCs w:val="20"/>
        </w:rPr>
        <w:t xml:space="preserve"> for derived variables which use the PIAAC documentation descriptive wording</w:t>
      </w:r>
    </w:p>
    <w:p w14:paraId="0AAA0728" w14:textId="77777777" w:rsidR="005C75BB" w:rsidRDefault="005C75BB" w:rsidP="005C75BB">
      <w:pPr>
        <w:spacing w:after="0"/>
        <w:rPr>
          <w:sz w:val="20"/>
          <w:szCs w:val="20"/>
        </w:rPr>
      </w:pPr>
      <w:proofErr w:type="spellStart"/>
      <w:r w:rsidRPr="003A2510">
        <w:rPr>
          <w:sz w:val="20"/>
          <w:szCs w:val="20"/>
          <w:vertAlign w:val="superscript"/>
        </w:rPr>
        <w:t>b</w:t>
      </w:r>
      <w:r>
        <w:rPr>
          <w:sz w:val="20"/>
          <w:szCs w:val="20"/>
        </w:rPr>
        <w:t>There</w:t>
      </w:r>
      <w:proofErr w:type="spellEnd"/>
      <w:r>
        <w:rPr>
          <w:sz w:val="20"/>
          <w:szCs w:val="20"/>
        </w:rPr>
        <w:t xml:space="preserve"> uncertainty here (room for development) because of the diverse sources for this information</w:t>
      </w:r>
    </w:p>
    <w:p w14:paraId="37E1312B" w14:textId="77777777" w:rsidR="005C75BB" w:rsidRPr="00BC0B24" w:rsidRDefault="005C75BB" w:rsidP="005C75BB">
      <w:pPr>
        <w:spacing w:after="0"/>
        <w:rPr>
          <w:sz w:val="20"/>
          <w:szCs w:val="20"/>
        </w:rPr>
      </w:pPr>
      <w:proofErr w:type="spellStart"/>
      <w:r w:rsidRPr="00A13CCA">
        <w:rPr>
          <w:sz w:val="20"/>
          <w:szCs w:val="20"/>
          <w:vertAlign w:val="superscript"/>
        </w:rPr>
        <w:t>c</w:t>
      </w:r>
      <w:r>
        <w:rPr>
          <w:sz w:val="20"/>
          <w:szCs w:val="20"/>
        </w:rPr>
        <w:t>“Derived</w:t>
      </w:r>
      <w:proofErr w:type="spellEnd"/>
      <w:r>
        <w:rPr>
          <w:sz w:val="20"/>
          <w:szCs w:val="20"/>
        </w:rPr>
        <w:t>” indicates a constructed variable that exists in both Cycles, thus theoretically a trend, but measurement can differ. Should be investigated on a case-by-case basis for comparison</w:t>
      </w:r>
    </w:p>
    <w:p w14:paraId="0707D80C" w14:textId="77777777" w:rsidR="005C75BB" w:rsidRPr="005C75BB" w:rsidRDefault="005C75BB" w:rsidP="005C75BB">
      <w:pPr>
        <w:rPr>
          <w:sz w:val="22"/>
          <w:szCs w:val="22"/>
        </w:rPr>
      </w:pPr>
    </w:p>
    <w:p w14:paraId="65B124CB" w14:textId="77777777" w:rsidR="005C75BB" w:rsidRPr="005C75BB" w:rsidRDefault="005C75BB" w:rsidP="005C75BB"/>
    <w:sectPr w:rsidR="005C75BB" w:rsidRPr="005C75BB" w:rsidSect="005C75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4A0E07"/>
    <w:multiLevelType w:val="hybridMultilevel"/>
    <w:tmpl w:val="49FA7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21B84"/>
    <w:multiLevelType w:val="hybridMultilevel"/>
    <w:tmpl w:val="50600330"/>
    <w:lvl w:ilvl="0" w:tplc="137CC8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219134">
    <w:abstractNumId w:val="0"/>
  </w:num>
  <w:num w:numId="2" w16cid:durableId="1724598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CD"/>
    <w:rsid w:val="0001274B"/>
    <w:rsid w:val="00207631"/>
    <w:rsid w:val="00275F19"/>
    <w:rsid w:val="00436321"/>
    <w:rsid w:val="00451593"/>
    <w:rsid w:val="005C75BB"/>
    <w:rsid w:val="007272AF"/>
    <w:rsid w:val="00782DCD"/>
    <w:rsid w:val="009466DC"/>
    <w:rsid w:val="00B375EB"/>
    <w:rsid w:val="00D10515"/>
    <w:rsid w:val="00E26F8F"/>
    <w:rsid w:val="00EB1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049C"/>
  <w15:chartTrackingRefBased/>
  <w15:docId w15:val="{11E58AD9-189A-49BA-88C2-772530AC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321"/>
    <w:pPr>
      <w:outlineLvl w:val="0"/>
    </w:pPr>
    <w:rPr>
      <w:b/>
      <w:bCs/>
    </w:rPr>
  </w:style>
  <w:style w:type="paragraph" w:styleId="Heading2">
    <w:name w:val="heading 2"/>
    <w:basedOn w:val="Normal"/>
    <w:next w:val="Normal"/>
    <w:link w:val="Heading2Char"/>
    <w:uiPriority w:val="9"/>
    <w:semiHidden/>
    <w:unhideWhenUsed/>
    <w:qFormat/>
    <w:rsid w:val="00782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D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D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D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321"/>
    <w:rPr>
      <w:b/>
      <w:bCs/>
    </w:rPr>
  </w:style>
  <w:style w:type="character" w:customStyle="1" w:styleId="Heading2Char">
    <w:name w:val="Heading 2 Char"/>
    <w:basedOn w:val="DefaultParagraphFont"/>
    <w:link w:val="Heading2"/>
    <w:uiPriority w:val="9"/>
    <w:semiHidden/>
    <w:rsid w:val="00782D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D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D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D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DCD"/>
    <w:rPr>
      <w:rFonts w:eastAsiaTheme="majorEastAsia" w:cstheme="majorBidi"/>
      <w:color w:val="272727" w:themeColor="text1" w:themeTint="D8"/>
    </w:rPr>
  </w:style>
  <w:style w:type="paragraph" w:styleId="Title">
    <w:name w:val="Title"/>
    <w:basedOn w:val="Normal"/>
    <w:next w:val="Normal"/>
    <w:link w:val="TitleChar"/>
    <w:uiPriority w:val="10"/>
    <w:qFormat/>
    <w:rsid w:val="00782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DCD"/>
    <w:pPr>
      <w:spacing w:before="160"/>
      <w:jc w:val="center"/>
    </w:pPr>
    <w:rPr>
      <w:i/>
      <w:iCs/>
      <w:color w:val="404040" w:themeColor="text1" w:themeTint="BF"/>
    </w:rPr>
  </w:style>
  <w:style w:type="character" w:customStyle="1" w:styleId="QuoteChar">
    <w:name w:val="Quote Char"/>
    <w:basedOn w:val="DefaultParagraphFont"/>
    <w:link w:val="Quote"/>
    <w:uiPriority w:val="29"/>
    <w:rsid w:val="00782DCD"/>
    <w:rPr>
      <w:i/>
      <w:iCs/>
      <w:color w:val="404040" w:themeColor="text1" w:themeTint="BF"/>
    </w:rPr>
  </w:style>
  <w:style w:type="paragraph" w:styleId="ListParagraph">
    <w:name w:val="List Paragraph"/>
    <w:basedOn w:val="Normal"/>
    <w:uiPriority w:val="34"/>
    <w:qFormat/>
    <w:rsid w:val="00782DCD"/>
    <w:pPr>
      <w:ind w:left="720"/>
      <w:contextualSpacing/>
    </w:pPr>
  </w:style>
  <w:style w:type="character" w:styleId="IntenseEmphasis">
    <w:name w:val="Intense Emphasis"/>
    <w:basedOn w:val="DefaultParagraphFont"/>
    <w:uiPriority w:val="21"/>
    <w:qFormat/>
    <w:rsid w:val="00782DCD"/>
    <w:rPr>
      <w:i/>
      <w:iCs/>
      <w:color w:val="0F4761" w:themeColor="accent1" w:themeShade="BF"/>
    </w:rPr>
  </w:style>
  <w:style w:type="paragraph" w:styleId="IntenseQuote">
    <w:name w:val="Intense Quote"/>
    <w:basedOn w:val="Normal"/>
    <w:next w:val="Normal"/>
    <w:link w:val="IntenseQuoteChar"/>
    <w:uiPriority w:val="30"/>
    <w:qFormat/>
    <w:rsid w:val="00782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DCD"/>
    <w:rPr>
      <w:i/>
      <w:iCs/>
      <w:color w:val="0F4761" w:themeColor="accent1" w:themeShade="BF"/>
    </w:rPr>
  </w:style>
  <w:style w:type="character" w:styleId="IntenseReference">
    <w:name w:val="Intense Reference"/>
    <w:basedOn w:val="DefaultParagraphFont"/>
    <w:uiPriority w:val="32"/>
    <w:qFormat/>
    <w:rsid w:val="00782DCD"/>
    <w:rPr>
      <w:b/>
      <w:bCs/>
      <w:smallCaps/>
      <w:color w:val="0F4761" w:themeColor="accent1" w:themeShade="BF"/>
      <w:spacing w:val="5"/>
    </w:rPr>
  </w:style>
  <w:style w:type="character" w:styleId="Hyperlink">
    <w:name w:val="Hyperlink"/>
    <w:basedOn w:val="DefaultParagraphFont"/>
    <w:uiPriority w:val="99"/>
    <w:unhideWhenUsed/>
    <w:rsid w:val="00782DCD"/>
    <w:rPr>
      <w:color w:val="467886" w:themeColor="hyperlink"/>
      <w:u w:val="single"/>
    </w:rPr>
  </w:style>
  <w:style w:type="character" w:styleId="UnresolvedMention">
    <w:name w:val="Unresolved Mention"/>
    <w:basedOn w:val="DefaultParagraphFont"/>
    <w:uiPriority w:val="99"/>
    <w:semiHidden/>
    <w:unhideWhenUsed/>
    <w:rsid w:val="00782DCD"/>
    <w:rPr>
      <w:color w:val="605E5C"/>
      <w:shd w:val="clear" w:color="auto" w:fill="E1DFDD"/>
    </w:rPr>
  </w:style>
  <w:style w:type="table" w:styleId="TableGrid">
    <w:name w:val="Table Grid"/>
    <w:basedOn w:val="TableNormal"/>
    <w:uiPriority w:val="39"/>
    <w:rsid w:val="005C7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489490">
      <w:bodyDiv w:val="1"/>
      <w:marLeft w:val="0"/>
      <w:marRight w:val="0"/>
      <w:marTop w:val="0"/>
      <w:marBottom w:val="0"/>
      <w:divBdr>
        <w:top w:val="none" w:sz="0" w:space="0" w:color="auto"/>
        <w:left w:val="none" w:sz="0" w:space="0" w:color="auto"/>
        <w:bottom w:val="none" w:sz="0" w:space="0" w:color="auto"/>
        <w:right w:val="none" w:sz="0" w:space="0" w:color="auto"/>
      </w:divBdr>
      <w:divsChild>
        <w:div w:id="264533316">
          <w:marLeft w:val="480"/>
          <w:marRight w:val="0"/>
          <w:marTop w:val="0"/>
          <w:marBottom w:val="0"/>
          <w:divBdr>
            <w:top w:val="none" w:sz="0" w:space="0" w:color="auto"/>
            <w:left w:val="none" w:sz="0" w:space="0" w:color="auto"/>
            <w:bottom w:val="none" w:sz="0" w:space="0" w:color="auto"/>
            <w:right w:val="none" w:sz="0" w:space="0" w:color="auto"/>
          </w:divBdr>
          <w:divsChild>
            <w:div w:id="20444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5749">
      <w:bodyDiv w:val="1"/>
      <w:marLeft w:val="0"/>
      <w:marRight w:val="0"/>
      <w:marTop w:val="0"/>
      <w:marBottom w:val="0"/>
      <w:divBdr>
        <w:top w:val="none" w:sz="0" w:space="0" w:color="auto"/>
        <w:left w:val="none" w:sz="0" w:space="0" w:color="auto"/>
        <w:bottom w:val="none" w:sz="0" w:space="0" w:color="auto"/>
        <w:right w:val="none" w:sz="0" w:space="0" w:color="auto"/>
      </w:divBdr>
      <w:divsChild>
        <w:div w:id="1943565839">
          <w:marLeft w:val="480"/>
          <w:marRight w:val="0"/>
          <w:marTop w:val="0"/>
          <w:marBottom w:val="0"/>
          <w:divBdr>
            <w:top w:val="none" w:sz="0" w:space="0" w:color="auto"/>
            <w:left w:val="none" w:sz="0" w:space="0" w:color="auto"/>
            <w:bottom w:val="none" w:sz="0" w:space="0" w:color="auto"/>
            <w:right w:val="none" w:sz="0" w:space="0" w:color="auto"/>
          </w:divBdr>
          <w:divsChild>
            <w:div w:id="3429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nbreznau/PIAAC_VET_bas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rcid.org/0000-0003-4983-3137" TargetMode="External"/><Relationship Id="rId11" Type="http://schemas.openxmlformats.org/officeDocument/2006/relationships/hyperlink" Target="https://github.com/nbreznau/PIAAC_Variable_Finder/blob/main/Shiny.zip" TargetMode="External"/><Relationship Id="rId5" Type="http://schemas.openxmlformats.org/officeDocument/2006/relationships/hyperlink" Target="mailto:breznau.nate@gmail.com" TargetMode="External"/><Relationship Id="rId15" Type="http://schemas.openxmlformats.org/officeDocument/2006/relationships/fontTable" Target="fontTable.xml"/><Relationship Id="rId10" Type="http://schemas.openxmlformats.org/officeDocument/2006/relationships/hyperlink" Target="https://nate-breznau.shinyapps.io/PIAAC_Variable_Finder/" TargetMode="External"/><Relationship Id="rId4" Type="http://schemas.openxmlformats.org/officeDocument/2006/relationships/webSettings" Target="webSettings.xml"/><Relationship Id="rId9" Type="http://schemas.openxmlformats.org/officeDocument/2006/relationships/hyperlink" Target="https://doi.org/10.31235/osf.io/xp4ja_v1" TargetMode="External"/><Relationship Id="rId14" Type="http://schemas.openxmlformats.org/officeDocument/2006/relationships/hyperlink" Target="https://doi.org/10.5281/zenodo.158176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Breznau, Nathan</dc:creator>
  <cp:keywords/>
  <dc:description/>
  <cp:lastModifiedBy>Breznau, Nathan</cp:lastModifiedBy>
  <cp:revision>4</cp:revision>
  <dcterms:created xsi:type="dcterms:W3CDTF">2025-07-05T15:52:00Z</dcterms:created>
  <dcterms:modified xsi:type="dcterms:W3CDTF">2025-07-24T09:30:00Z</dcterms:modified>
</cp:coreProperties>
</file>