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A3. Linear mixed models of literacy, within- and between-country effects (ML, equal country weights)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9"/>
        <w:gridCol w:w="1549"/>
        <w:gridCol w:w="1549"/>
        <w:gridCol w:w="1549"/>
        <w:gridCol w:w="1638"/>
        <w:gridCol w:w="1549"/>
        <w:gridCol w:w="1549"/>
      </w:tblGrid>
      <w:tr>
        <w:trPr>
          <w:trHeight w:val="52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M2.3b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M2.5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247.18*** (3.09)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269.12*** (2.49)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265.33*** (2.32)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189.20*** (40.97)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265.40*** (2.33)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265.41*** (2.34)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20.84***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14.91*** (1.20)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15.86***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15.86***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15.97*** (1.23)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16.08*** (1.23)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-0.70**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-0.51* (0.25)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-0.51* (0.25)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-0.49* (0.25)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-0.53* (0.25)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-7.30*** (0.95)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-0.88** (0.31)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-1.88***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-1.87***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-1.84***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-1.83*** (0.30)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-21.15*** (0.88)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-15.44***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-21.52***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-21.52***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-21.39***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-21.34*** (0.51)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42.61*** 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35.87*** 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36.75***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36.75***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36.78***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36.83*** (0.27)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14.03*** (3.03)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18.49***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19.37***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17.84*** (2.89)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19.36***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19.41*** (2.96)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-4.19* (2.09)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-5.42* (2.24)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-4.82* (2.16)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-3.51 (2.17)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-4.87* (2.16)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-4.85* (2.16)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-5.50* (2.44)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-7.79*** (2.37)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-8.56*** (2.33)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-7.21** (2.30)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-8.52*** (2.33)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-8.53*** (2.33)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-1.78 (2.37)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-4.75 (2.47)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-4.63 (2.90)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-2.52 (2.79)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-2.59 (2.79)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-3.83 (2.72)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-1.74 (2.54)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-2.45 (2.49)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-3.44 (2.42)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 (2.48)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-2.16 (2.49)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 (1.81)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2.12***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2.01***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2.01***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1.98***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1.85** (0.57)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 (1.86)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-1.52*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-1.53**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-1.50* (0.58)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-5.09** (1.90)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-9.09***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-8.62***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-8.63***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-8.65***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-8.57*** (0.59)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-12.28*** (1.95)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-22.38*** (0.60)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-20.90***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-20.90***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-20.96***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-20.98*** (0.58)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-18.93** (6.51)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-12.12** (4.10)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-21.06*** (3.35)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-21.06*** (3.35)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-21.15*** (3.35)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-20.92*** (3.35)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-18.60***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-18.60***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-18.55***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-18.56*** (0.45)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-5.13 (2.94)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-5.69* (2.80)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-4.98 (2.94)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-4.95 (2.94)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gdppc_k_log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21.05 (11.31)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7.66***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4.79*** (0.93)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-2.40*** (0.52)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-3.11*** (0.56)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6.32*** (1.07)</w:t>
            </w:r>
          </w:p>
        </w:tc>
      </w:tr>
      <w:tr>
        <w:trPr>
          <w:trHeight w:val="54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</w:t>
            </w:r>
          </w:p>
        </w:tc>
      </w:tr>
      <w:tr>
        <w:trPr>
          <w:trHeight w:val="52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</w:tr>
      <w:tr>
        <w:trPr>
          <w:trHeight w:val="55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-92,496.5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-565,744.8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-659,438.7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-659,437.1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-659,389.4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-659,342.6</w:t>
            </w:r>
          </w:p>
        </w:tc>
      </w:tr>
      <w:tr>
        <w:trPr>
          <w:trHeight w:val="54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185,033.0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1,131,529.6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1,318,921.5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1,318,920.2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1,318,824.8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1,318,737.2</w:t>
            </w:r>
          </w:p>
        </w:tc>
      </w:tr>
      <w:tr>
        <w:trPr>
          <w:trHeight w:val="548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185,188.1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1,131,721.7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1,319,136.0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1,319,144.5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1,319,049.0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1,318,990.7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2026-10-06T14:56:44Z</dcterms:modified>
  <cp:category/>
</cp:coreProperties>
</file>