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A4. Linear mixed model with four-way intersections (M4)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13"/>
        <w:gridCol w:w="1549"/>
      </w:tblGrid>
      <w:tr>
        <w:trPr>
          <w:trHeight w:val="52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M4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265.98*** (2.33)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15.75*** (1.23)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-0.68* (0.27)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-1.82*** (0.33)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-19.50*** (0.64)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36.74*** (0.27)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-17.82*** (0.47)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19.42*** (2.96)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-4.86* (2.16)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-8.53*** (2.33)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-2.55 (2.79)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-2.17 (2.49)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-4.92 (2.95)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1.81** (0.57)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-1.53** (0.58)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-8.67*** (0.59)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-21.16*** (0.58)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-20.77*** (3.34)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-0.70 (0.93)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-3.85*** (0.59)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-2.48* (1.00)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4.26*** (1.25)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-5.97*** (1.06)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-2.43 (1.31)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-2.31*** (0.58)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4.10*** (0.97)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-3.09*** (0.62)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4.76*** (1.32)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(2.01)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3.34 (1.96)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(2.60)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-1.97 (2.07)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 (1.92)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(1.24)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3.34 (2.06)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2.93 (2.56)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3.17 (2.20)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-1.28 (2.66)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3.96 (4.13)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 (4.13)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 (4.09)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-1.43 (5.30)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3.50 (4.30)</w:t>
            </w:r>
          </w:p>
        </w:tc>
      </w:tr>
      <w:tr>
        <w:trPr>
          <w:trHeight w:val="56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9.70 (8.57)</w:t>
            </w:r>
          </w:p>
        </w:tc>
      </w:tr>
      <w:tr>
        <w:trPr>
          <w:trHeight w:val="54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</w:t>
            </w:r>
          </w:p>
        </w:tc>
      </w:tr>
      <w:tr>
        <w:trPr>
          <w:trHeight w:val="528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</w:tr>
      <w:tr>
        <w:trPr>
          <w:trHeight w:val="55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-659,258.4</w:t>
            </w:r>
          </w:p>
        </w:tc>
      </w:tr>
      <w:tr>
        <w:trPr>
          <w:trHeight w:val="548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1,318,612.9</w:t>
            </w:r>
          </w:p>
        </w:tc>
      </w:tr>
      <w:tr>
        <w:trPr>
          <w:trHeight w:val="548" w:hRule="auto"/>
        </w:trPr>
        body51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1,319,080.8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2026-10-06T14:57:04Z</dcterms:modified>
  <cp:category/>
</cp:coreProperties>
</file>