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pPr>
      <w:r>
        <w:rPr>
          <w:rFonts w:ascii="Arial" w:cs="Arial" w:eastAsia="Arial" w:hAnsi="Arial"/>
          <w:b/>
          <w:bCs/>
          <w:color w:val="1B2A4A"/>
          <w:sz w:val="44"/>
          <w:szCs w:val="44"/>
        </w:rPr>
        <w:t xml:space="preserve">MARKET AGENT</w:t>
      </w:r>
    </w:p>
    <w:p>
      <w:pPr>
        <w:pBdr>
          <w:bottom w:val="single" w:color="2E75B6" w:sz="8" w:space="1"/>
        </w:pBdr>
        <w:spacing w:after="200"/>
      </w:pPr>
      <w:r>
        <w:rPr>
          <w:rFonts w:ascii="Arial" w:cs="Arial" w:eastAsia="Arial" w:hAnsi="Arial"/>
          <w:color w:val="2E75B6"/>
          <w:sz w:val="28"/>
          <w:szCs w:val="28"/>
        </w:rPr>
        <w:t xml:space="preserve">Aggressive Production Plan</w:t>
      </w:r>
    </w:p>
    <w:p>
      <w:pPr>
        <w:spacing w:after="40"/>
      </w:pPr>
      <w:r>
        <w:rPr>
          <w:rFonts w:ascii="Arial" w:cs="Arial" w:eastAsia="Arial" w:hAnsi="Arial"/>
          <w:b/>
          <w:bCs/>
          <w:color w:val="666666"/>
          <w:sz w:val="20"/>
          <w:szCs w:val="20"/>
        </w:rPr>
        <w:t xml:space="preserve">Date: </w:t>
      </w:r>
      <w:r>
        <w:rPr>
          <w:rFonts w:ascii="Arial" w:cs="Arial" w:eastAsia="Arial" w:hAnsi="Arial"/>
          <w:color w:val="666666"/>
          <w:sz w:val="20"/>
          <w:szCs w:val="20"/>
        </w:rPr>
        <w:t xml:space="preserve">March 31, 2026</w:t>
      </w:r>
    </w:p>
    <w:p>
      <w:pPr>
        <w:spacing w:after="40"/>
      </w:pPr>
      <w:r>
        <w:rPr>
          <w:rFonts w:ascii="Arial" w:cs="Arial" w:eastAsia="Arial" w:hAnsi="Arial"/>
          <w:b/>
          <w:bCs/>
          <w:color w:val="666666"/>
          <w:sz w:val="20"/>
          <w:szCs w:val="20"/>
        </w:rPr>
        <w:t xml:space="preserve">Classification: </w:t>
      </w:r>
      <w:r>
        <w:rPr>
          <w:rFonts w:ascii="Arial" w:cs="Arial" w:eastAsia="Arial" w:hAnsi="Arial"/>
          <w:color w:val="666666"/>
          <w:sz w:val="20"/>
          <w:szCs w:val="20"/>
        </w:rPr>
        <w:t xml:space="preserve">Internal — Engineering &amp; Strategy</w:t>
      </w:r>
    </w:p>
    <w:p>
      <w:pPr>
        <w:spacing w:after="300"/>
      </w:pPr>
      <w:r>
        <w:rPr>
          <w:rFonts w:ascii="Arial" w:cs="Arial" w:eastAsia="Arial" w:hAnsi="Arial"/>
          <w:b/>
          <w:bCs/>
          <w:color w:val="666666"/>
          <w:sz w:val="20"/>
          <w:szCs w:val="20"/>
        </w:rPr>
        <w:t xml:space="preserve">Objective: </w:t>
      </w:r>
      <w:r>
        <w:rPr>
          <w:rFonts w:ascii="Arial" w:cs="Arial" w:eastAsia="Arial" w:hAnsi="Arial"/>
          <w:color w:val="666666"/>
          <w:sz w:val="20"/>
          <w:szCs w:val="20"/>
        </w:rPr>
        <w:t xml:space="preserve">Compress Phase 1 → Phase 2 → Phase 3 in the shortest defensible timeline</w:t>
      </w:r>
    </w:p>
    <w:p>
      <w:pPr>
        <w:pStyle w:val="Heading1"/>
      </w:pPr>
      <w:r>
        <w:t xml:space="preserve">Executive Summary</w:t>
      </w:r>
    </w:p>
    <w:p>
      <w:pPr>
        <w:spacing w:after="200"/>
      </w:pPr>
      <w:r>
        <w:rPr>
          <w:rFonts w:ascii="Arial" w:cs="Arial" w:eastAsia="Arial" w:hAnsi="Arial"/>
          <w:sz w:val="22"/>
          <w:szCs w:val="22"/>
        </w:rPr>
        <w:t xml:space="preserve">Market Agent and Sentinel are one system. Sentinel generates proprietary risk intelligence. Market Agent acts on it. Together they form a vertically integrated information-to-execution pipeline where the Sentinel trust signal constrains the Market Agent’s autonomy — and every Market Agent query is a paying Sentinel transaction. The strategic imperative is to compress the path from intelligence-only (Phase 1) to paper trading with Sentinel verification (Phase 3) as fast as possible without skipping the signal validation that makes the system trustworthy.</w:t>
      </w:r>
    </w:p>
    <w:p>
      <w:pPr>
        <w:spacing w:after="200"/>
      </w:pPr>
      <w:r>
        <w:rPr>
          <w:rFonts w:ascii="Arial" w:cs="Arial" w:eastAsia="Arial" w:hAnsi="Arial"/>
          <w:sz w:val="22"/>
          <w:szCs w:val="22"/>
        </w:rPr>
        <w:t xml:space="preserve">This document provides the week-by-week build sequence, the raw data persistence plan that must start immediately, the exact Sentinel decision object specification, the cbBTC/USDC arbitrage validation protocol, the API cost management strategy, and the public narrative playbook for telling the integrated system story to the x402 community.</w:t>
      </w:r>
    </w:p>
    <w:p>
      <w:pPr>
        <w:spacing w:after="200"/>
      </w:pPr>
      <w:r>
        <w:rPr>
          <w:rFonts w:ascii="Arial" w:cs="Arial" w:eastAsia="Arial" w:hAnsi="Arial"/>
          <w:b/>
          <w:bCs/>
          <w:sz w:val="22"/>
          <w:szCs w:val="22"/>
        </w:rPr>
        <w:t xml:space="preserve">Timeline target: </w:t>
      </w:r>
      <w:r>
        <w:rPr>
          <w:rFonts w:ascii="Arial" w:cs="Arial" w:eastAsia="Arial" w:hAnsi="Arial"/>
          <w:sz w:val="22"/>
          <w:szCs w:val="22"/>
        </w:rPr>
        <w:t xml:space="preserve">Phase 1 stabilization complete by end of Week 2 (April 14). Phase 2 backtesting engine operational by end of Week 6 (May 11). Phase 3 paper trading with live Sentinel verification by end of Week 10 (June 8). This is aggressive but defensible because the architecture already supports it — pure function signals, backtesting-ready parameters in the arb module, and a marked Sentinel hook point in the agent orchestrator.</w:t>
      </w:r>
    </w:p>
    <w:p>
      <w:r>
        <w:br w:type="page"/>
      </w:r>
    </w:p>
    <w:p>
      <w:pPr>
        <w:pStyle w:val="Heading1"/>
      </w:pPr>
      <w:r>
        <w:t xml:space="preserve">Week-by-Week Build Sequence</w:t>
      </w:r>
    </w:p>
    <w:p>
      <w:pPr>
        <w:pStyle w:val="Heading2"/>
      </w:pPr>
      <w:r>
        <w:t xml:space="preserve">Phase 1 Completion: Weeks 1–2 (April 1–14)</w:t>
      </w:r>
    </w:p>
    <w:p>
      <w:pPr>
        <w:spacing w:after="200"/>
      </w:pPr>
      <w:r>
        <w:rPr>
          <w:rFonts w:ascii="Arial" w:cs="Arial" w:eastAsia="Arial" w:hAnsi="Arial"/>
          <w:sz w:val="22"/>
          <w:szCs w:val="22"/>
        </w:rPr>
        <w:t xml:space="preserve">Goal: Stabilize the intelligence layer, begin raw data persistence, and establish the signal validation baseline. No new features — this is about making what exists reliable and observable.</w:t>
      </w:r>
    </w:p>
    <w:p>
      <w:pPr>
        <w:pStyle w:val="Heading3"/>
      </w:pPr>
      <w:r>
        <w:t xml:space="preserve">Week 1 (April 1–7)</w:t>
      </w:r>
    </w:p>
    <w:p>
      <w:pPr>
        <w:pStyle w:val="ListParagraph"/>
        <w:numPr>
          <w:ilvl w:val="0"/>
          <w:numId w:val="2"/>
        </w:numPr>
        <w:spacing w:after="100"/>
      </w:pPr>
      <w:r>
        <w:rPr>
          <w:rFonts w:ascii="Arial" w:cs="Arial" w:eastAsia="Arial" w:hAnsi="Arial"/>
          <w:b/>
          <w:bCs/>
          <w:sz w:val="22"/>
          <w:szCs w:val="22"/>
        </w:rPr>
        <w:t xml:space="preserve">Raw data persistence table: </w:t>
      </w:r>
      <w:r>
        <w:rPr>
          <w:rFonts w:ascii="Arial" w:cs="Arial" w:eastAsia="Arial" w:hAnsi="Arial"/>
          <w:sz w:val="22"/>
          <w:szCs w:val="22"/>
        </w:rPr>
        <w:t xml:space="preserve">Add an ingestion_snapshots table to Postgres (schema below). Every cycle’s ingestAll() output gets persisted as a JSONB blob alongside normalized price rows. This is the single most time-sensitive item — every cycle that runs without persistence is data you can never recover for backtesting.</w:t>
      </w:r>
    </w:p>
    <w:p>
      <w:pPr>
        <w:pStyle w:val="ListParagraph"/>
        <w:numPr>
          <w:ilvl w:val="0"/>
          <w:numId w:val="2"/>
        </w:numPr>
        <w:spacing w:after="100"/>
      </w:pPr>
      <w:r>
        <w:rPr>
          <w:rFonts w:ascii="Arial" w:cs="Arial" w:eastAsia="Arial" w:hAnsi="Arial"/>
          <w:b/>
          <w:bCs/>
          <w:sz w:val="22"/>
          <w:szCs w:val="22"/>
        </w:rPr>
        <w:t xml:space="preserve">Arb signal logging: </w:t>
      </w:r>
      <w:r>
        <w:rPr>
          <w:rFonts w:ascii="Arial" w:cs="Arial" w:eastAsia="Arial" w:hAnsi="Arial"/>
          <w:sz w:val="22"/>
          <w:szCs w:val="22"/>
        </w:rPr>
        <w:t xml:space="preserve">Add a dedicated arb_observations table that captures every spread measurement (cex_price, dex_price, spread_bps, timestamp) from the arbitrage module. Currently this is in-memory only (spreadHistory array, rolling 200 points). Persisting it creates the validation dataset.</w:t>
      </w:r>
    </w:p>
    <w:p>
      <w:pPr>
        <w:pStyle w:val="ListParagraph"/>
        <w:numPr>
          <w:ilvl w:val="0"/>
          <w:numId w:val="2"/>
        </w:numPr>
        <w:spacing w:after="100"/>
      </w:pPr>
      <w:r>
        <w:rPr>
          <w:rFonts w:ascii="Arial" w:cs="Arial" w:eastAsia="Arial" w:hAnsi="Arial"/>
          <w:b/>
          <w:bCs/>
          <w:sz w:val="22"/>
          <w:szCs w:val="22"/>
        </w:rPr>
        <w:t xml:space="preserve">API cost instrumentation: </w:t>
      </w:r>
      <w:r>
        <w:rPr>
          <w:rFonts w:ascii="Arial" w:cs="Arial" w:eastAsia="Arial" w:hAnsi="Arial"/>
          <w:sz w:val="22"/>
          <w:szCs w:val="22"/>
        </w:rPr>
        <w:t xml:space="preserve">The qualitative context module already logs tokens_in and tokens_out per Claude call (context.js line 88). Add a cost_usd field computed from the token counts and write it to a new api_costs table. Track daily and weekly totals. You cannot manage what you don’t measure.</w:t>
      </w:r>
    </w:p>
    <w:p>
      <w:pPr>
        <w:pStyle w:val="ListParagraph"/>
        <w:numPr>
          <w:ilvl w:val="0"/>
          <w:numId w:val="2"/>
        </w:numPr>
        <w:spacing w:after="100"/>
      </w:pPr>
      <w:r>
        <w:rPr>
          <w:rFonts w:ascii="Arial" w:cs="Arial" w:eastAsia="Arial" w:hAnsi="Arial"/>
          <w:b/>
          <w:bCs/>
          <w:sz w:val="22"/>
          <w:szCs w:val="22"/>
        </w:rPr>
        <w:t xml:space="preserve">Cycle health monitoring: </w:t>
      </w:r>
      <w:r>
        <w:rPr>
          <w:rFonts w:ascii="Arial" w:cs="Arial" w:eastAsia="Arial" w:hAnsi="Arial"/>
          <w:sz w:val="22"/>
          <w:szCs w:val="22"/>
        </w:rPr>
        <w:t xml:space="preserve">Add a cycle_metrics table that captures per-cycle: duration, sources responding, signals generated, Claude API latency, any layer failures. Surface this on the dashboard. This is the reliability baseline for Phase 2.</w:t>
      </w:r>
    </w:p>
    <w:p>
      <w:pPr>
        <w:pStyle w:val="Heading3"/>
      </w:pPr>
      <w:r>
        <w:t xml:space="preserve">Week 2 (April 8–14)</w:t>
      </w:r>
    </w:p>
    <w:p>
      <w:pPr>
        <w:pStyle w:val="ListParagraph"/>
        <w:numPr>
          <w:ilvl w:val="0"/>
          <w:numId w:val="3"/>
        </w:numPr>
        <w:spacing w:after="100"/>
      </w:pPr>
      <w:r>
        <w:rPr>
          <w:rFonts w:ascii="Arial" w:cs="Arial" w:eastAsia="Arial" w:hAnsi="Arial"/>
          <w:b/>
          <w:bCs/>
          <w:sz w:val="22"/>
          <w:szCs w:val="22"/>
        </w:rPr>
        <w:t xml:space="preserve">Stabilize all 7 data sources: </w:t>
      </w:r>
      <w:r>
        <w:rPr>
          <w:rFonts w:ascii="Arial" w:cs="Arial" w:eastAsia="Arial" w:hAnsi="Arial"/>
          <w:sz w:val="22"/>
          <w:szCs w:val="22"/>
        </w:rPr>
        <w:t xml:space="preserve">Run the agent continuously for 7 days. Document which sources fail, how often, and whether graceful degradation works as designed. Fix any sources that fail more than 10% of cycles.</w:t>
      </w:r>
    </w:p>
    <w:p>
      <w:pPr>
        <w:pStyle w:val="ListParagraph"/>
        <w:numPr>
          <w:ilvl w:val="0"/>
          <w:numId w:val="3"/>
        </w:numPr>
        <w:spacing w:after="100"/>
      </w:pPr>
      <w:r>
        <w:rPr>
          <w:rFonts w:ascii="Arial" w:cs="Arial" w:eastAsia="Arial" w:hAnsi="Arial"/>
          <w:b/>
          <w:bCs/>
          <w:sz w:val="22"/>
          <w:szCs w:val="22"/>
        </w:rPr>
        <w:t xml:space="preserve">Dashboard upgrade: </w:t>
      </w:r>
      <w:r>
        <w:rPr>
          <w:rFonts w:ascii="Arial" w:cs="Arial" w:eastAsia="Arial" w:hAnsi="Arial"/>
          <w:sz w:val="22"/>
          <w:szCs w:val="22"/>
        </w:rPr>
        <w:t xml:space="preserve">Add arb spread chart (historical spread_bps over time), cycle health timeline (green/yellow/red per cycle), and API cost running total. The dashboard becomes your daily operational tool.</w:t>
      </w:r>
    </w:p>
    <w:p>
      <w:pPr>
        <w:pStyle w:val="ListParagraph"/>
        <w:numPr>
          <w:ilvl w:val="0"/>
          <w:numId w:val="3"/>
        </w:numPr>
        <w:spacing w:after="100"/>
      </w:pPr>
      <w:r>
        <w:rPr>
          <w:rFonts w:ascii="Arial" w:cs="Arial" w:eastAsia="Arial" w:hAnsi="Arial"/>
          <w:b/>
          <w:bCs/>
          <w:sz w:val="22"/>
          <w:szCs w:val="22"/>
        </w:rPr>
        <w:t xml:space="preserve">Manual arb validation begins: </w:t>
      </w:r>
      <w:r>
        <w:rPr>
          <w:rFonts w:ascii="Arial" w:cs="Arial" w:eastAsia="Arial" w:hAnsi="Arial"/>
          <w:sz w:val="22"/>
          <w:szCs w:val="22"/>
        </w:rPr>
        <w:t xml:space="preserve">Start the manual logging protocol (detailed in Section 5). Every time the arb signal fires above 50bps, log the observation and check whether the spread was real and exploitable.</w:t>
      </w:r>
    </w:p>
    <w:p>
      <w:pPr>
        <w:pStyle w:val="ListParagraph"/>
        <w:numPr>
          <w:ilvl w:val="0"/>
          <w:numId w:val="3"/>
        </w:numPr>
        <w:spacing w:after="100"/>
      </w:pPr>
      <w:r>
        <w:rPr>
          <w:rFonts w:ascii="Arial" w:cs="Arial" w:eastAsia="Arial" w:hAnsi="Arial"/>
          <w:b/>
          <w:bCs/>
          <w:sz w:val="22"/>
          <w:szCs w:val="22"/>
        </w:rPr>
        <w:t xml:space="preserve">Phase 1 checkpoint: </w:t>
      </w:r>
      <w:r>
        <w:rPr>
          <w:rFonts w:ascii="Arial" w:cs="Arial" w:eastAsia="Arial" w:hAnsi="Arial"/>
          <w:sz w:val="22"/>
          <w:szCs w:val="22"/>
        </w:rPr>
        <w:t xml:space="preserve">By April 14, you should have: 14 days of persisted raw data, a functioning arb observation log, measured API costs, and a reliability baseline. If any of these are missing, do not proceed to Phase 2.</w:t>
      </w:r>
    </w:p>
    <w:p>
      <w:pPr>
        <w:pStyle w:val="Heading2"/>
      </w:pPr>
      <w:r>
        <w:t xml:space="preserve">Phase 2: Backtesting Engine — Weeks 3–6 (April 15 – May 11)</w:t>
      </w:r>
    </w:p>
    <w:p>
      <w:pPr>
        <w:spacing w:after="200"/>
      </w:pPr>
      <w:r>
        <w:rPr>
          <w:rFonts w:ascii="Arial" w:cs="Arial" w:eastAsia="Arial" w:hAnsi="Arial"/>
          <w:sz w:val="22"/>
          <w:szCs w:val="22"/>
        </w:rPr>
        <w:t xml:space="preserve">Goal: Build the backtesting infrastructure, validate signals against historical data, and establish strategy graduation criteria.</w:t>
      </w:r>
    </w:p>
    <w:p>
      <w:pPr>
        <w:pStyle w:val="Heading3"/>
      </w:pPr>
      <w:r>
        <w:t xml:space="preserve">Week 3 (April 15–21)</w:t>
      </w:r>
    </w:p>
    <w:p>
      <w:pPr>
        <w:pStyle w:val="ListParagraph"/>
        <w:numPr>
          <w:ilvl w:val="0"/>
          <w:numId w:val="4"/>
        </w:numPr>
        <w:spacing w:after="100"/>
      </w:pPr>
      <w:r>
        <w:rPr>
          <w:rFonts w:ascii="Arial" w:cs="Arial" w:eastAsia="Arial" w:hAnsi="Arial"/>
          <w:b/>
          <w:bCs/>
          <w:sz w:val="22"/>
          <w:szCs w:val="22"/>
        </w:rPr>
        <w:t xml:space="preserve">Historical data loader: </w:t>
      </w:r>
      <w:r>
        <w:rPr>
          <w:rFonts w:ascii="Arial" w:cs="Arial" w:eastAsia="Arial" w:hAnsi="Arial"/>
          <w:sz w:val="22"/>
          <w:szCs w:val="22"/>
        </w:rPr>
        <w:t xml:space="preserve">Build a module that reads from ingestion_snapshots and arb_observations tables and replays them through the signal engine. The arbitrage module already accepts inputPrices and inputHistory parameters for exactly this purpose — it was designed for backtesting from day one.</w:t>
      </w:r>
    </w:p>
    <w:p>
      <w:pPr>
        <w:pStyle w:val="ListParagraph"/>
        <w:numPr>
          <w:ilvl w:val="0"/>
          <w:numId w:val="4"/>
        </w:numPr>
        <w:spacing w:after="100"/>
      </w:pPr>
      <w:r>
        <w:rPr>
          <w:rFonts w:ascii="Arial" w:cs="Arial" w:eastAsia="Arial" w:hAnsi="Arial"/>
          <w:b/>
          <w:bCs/>
          <w:sz w:val="22"/>
          <w:szCs w:val="22"/>
        </w:rPr>
        <w:t xml:space="preserve">OHLCV construction: </w:t>
      </w:r>
      <w:r>
        <w:rPr>
          <w:rFonts w:ascii="Arial" w:cs="Arial" w:eastAsia="Arial" w:hAnsi="Arial"/>
          <w:sz w:val="22"/>
          <w:szCs w:val="22"/>
        </w:rPr>
        <w:t xml:space="preserve">Construct OHLCV candles from the persisted price data. You’ll have 2+ weeks of 60-second granularity by now. Aggregate to 5m, 15m, 1h, 4h candles for the trend and reversion modules.</w:t>
      </w:r>
    </w:p>
    <w:p>
      <w:pPr>
        <w:pStyle w:val="ListParagraph"/>
        <w:numPr>
          <w:ilvl w:val="0"/>
          <w:numId w:val="4"/>
        </w:numPr>
        <w:spacing w:after="100"/>
      </w:pPr>
      <w:r>
        <w:rPr>
          <w:rFonts w:ascii="Arial" w:cs="Arial" w:eastAsia="Arial" w:hAnsi="Arial"/>
          <w:b/>
          <w:bCs/>
          <w:sz w:val="22"/>
          <w:szCs w:val="22"/>
        </w:rPr>
        <w:t xml:space="preserve">Backtest harness v1: </w:t>
      </w:r>
      <w:r>
        <w:rPr>
          <w:rFonts w:ascii="Arial" w:cs="Arial" w:eastAsia="Arial" w:hAnsi="Arial"/>
          <w:sz w:val="22"/>
          <w:szCs w:val="22"/>
        </w:rPr>
        <w:t xml:space="preserve">A runner that takes a date range, replays ingestion snapshots through signal modules, and outputs signal-by-signal results with timestamps. No P&amp;L calculation yet — just signal replay.</w:t>
      </w:r>
    </w:p>
    <w:p>
      <w:pPr>
        <w:pStyle w:val="Heading3"/>
      </w:pPr>
      <w:r>
        <w:t xml:space="preserve">Week 4 (April 22–28)</w:t>
      </w:r>
    </w:p>
    <w:p>
      <w:pPr>
        <w:pStyle w:val="ListParagraph"/>
        <w:numPr>
          <w:ilvl w:val="0"/>
          <w:numId w:val="5"/>
        </w:numPr>
        <w:spacing w:after="100"/>
      </w:pPr>
      <w:r>
        <w:rPr>
          <w:rFonts w:ascii="Arial" w:cs="Arial" w:eastAsia="Arial" w:hAnsi="Arial"/>
          <w:b/>
          <w:bCs/>
          <w:sz w:val="22"/>
          <w:szCs w:val="22"/>
        </w:rPr>
        <w:t xml:space="preserve">P&amp;L simulation engine: </w:t>
      </w:r>
      <w:r>
        <w:rPr>
          <w:rFonts w:ascii="Arial" w:cs="Arial" w:eastAsia="Arial" w:hAnsi="Arial"/>
          <w:sz w:val="22"/>
          <w:szCs w:val="22"/>
        </w:rPr>
        <w:t xml:space="preserve">Given a signal (pair, direction, confidence, entry zone) and a price series, compute what would have happened. Simple model: enter at mid of entry zone, exit after N candles or at stop-loss. Track hit rate, average P&amp;L, max drawdown.</w:t>
      </w:r>
    </w:p>
    <w:p>
      <w:pPr>
        <w:pStyle w:val="ListParagraph"/>
        <w:numPr>
          <w:ilvl w:val="0"/>
          <w:numId w:val="5"/>
        </w:numPr>
        <w:spacing w:after="100"/>
      </w:pPr>
      <w:r>
        <w:rPr>
          <w:rFonts w:ascii="Arial" w:cs="Arial" w:eastAsia="Arial" w:hAnsi="Arial"/>
          <w:b/>
          <w:bCs/>
          <w:sz w:val="22"/>
          <w:szCs w:val="22"/>
        </w:rPr>
        <w:t xml:space="preserve">Signal weight optimization: </w:t>
      </w:r>
      <w:r>
        <w:rPr>
          <w:rFonts w:ascii="Arial" w:cs="Arial" w:eastAsia="Arial" w:hAnsi="Arial"/>
          <w:sz w:val="22"/>
          <w:szCs w:val="22"/>
        </w:rPr>
        <w:t xml:space="preserve">The scorer currently uses hardcoded weights (trend: 0.30, reversion: 0.20, volatility: 0.15, arbitrage: 0.20, onchain: 0.15). Run the backtest across weight permutations to find optimal allocation. This is where you learn whether the arb signal actually contributes alpha or just noise.</w:t>
      </w:r>
    </w:p>
    <w:p>
      <w:pPr>
        <w:pStyle w:val="ListParagraph"/>
        <w:numPr>
          <w:ilvl w:val="0"/>
          <w:numId w:val="5"/>
        </w:numPr>
        <w:spacing w:after="100"/>
      </w:pPr>
      <w:r>
        <w:rPr>
          <w:rFonts w:ascii="Arial" w:cs="Arial" w:eastAsia="Arial" w:hAnsi="Arial"/>
          <w:b/>
          <w:bCs/>
          <w:sz w:val="22"/>
          <w:szCs w:val="22"/>
        </w:rPr>
        <w:t xml:space="preserve">Qualitative layer replay: </w:t>
      </w:r>
      <w:r>
        <w:rPr>
          <w:rFonts w:ascii="Arial" w:cs="Arial" w:eastAsia="Arial" w:hAnsi="Arial"/>
          <w:sz w:val="22"/>
          <w:szCs w:val="22"/>
        </w:rPr>
        <w:t xml:space="preserve">Replay historical news and macro data through the Claude prompts. Compare regime classifications against what actually happened. This validates the conviction modifier — does the ±30% adjustment improve or degrade performance?</w:t>
      </w:r>
    </w:p>
    <w:p>
      <w:pPr>
        <w:pStyle w:val="Heading3"/>
      </w:pPr>
      <w:r>
        <w:t xml:space="preserve">Week 5 (April 29 – May 5)</w:t>
      </w:r>
    </w:p>
    <w:p>
      <w:pPr>
        <w:pStyle w:val="ListParagraph"/>
        <w:numPr>
          <w:ilvl w:val="0"/>
          <w:numId w:val="6"/>
        </w:numPr>
        <w:spacing w:after="100"/>
      </w:pPr>
      <w:r>
        <w:rPr>
          <w:rFonts w:ascii="Arial" w:cs="Arial" w:eastAsia="Arial" w:hAnsi="Arial"/>
          <w:b/>
          <w:bCs/>
          <w:sz w:val="22"/>
          <w:szCs w:val="22"/>
        </w:rPr>
        <w:t xml:space="preserve">Strategy graduation criteria: </w:t>
      </w:r>
      <w:r>
        <w:rPr>
          <w:rFonts w:ascii="Arial" w:cs="Arial" w:eastAsia="Arial" w:hAnsi="Arial"/>
          <w:sz w:val="22"/>
          <w:szCs w:val="22"/>
        </w:rPr>
        <w:t xml:space="preserve">Define the minimum performance thresholds a signal must meet to be promoted to Phase 3 paper trading. Proposed criteria: (a) positive expected value over 30+ observations, (b) Sharpe ratio above 1.0, (c) max drawdown below 15%, (d) hit rate above 40% for directional signals. These numbers are starting points — adjust based on backtest results.</w:t>
      </w:r>
    </w:p>
    <w:p>
      <w:pPr>
        <w:pStyle w:val="ListParagraph"/>
        <w:numPr>
          <w:ilvl w:val="0"/>
          <w:numId w:val="6"/>
        </w:numPr>
        <w:spacing w:after="100"/>
      </w:pPr>
      <w:r>
        <w:rPr>
          <w:rFonts w:ascii="Arial" w:cs="Arial" w:eastAsia="Arial" w:hAnsi="Arial"/>
          <w:b/>
          <w:bCs/>
          <w:sz w:val="22"/>
          <w:szCs w:val="22"/>
        </w:rPr>
        <w:t xml:space="preserve">Signal report card: </w:t>
      </w:r>
      <w:r>
        <w:rPr>
          <w:rFonts w:ascii="Arial" w:cs="Arial" w:eastAsia="Arial" w:hAnsi="Arial"/>
          <w:sz w:val="22"/>
          <w:szCs w:val="22"/>
        </w:rPr>
        <w:t xml:space="preserve">Generate a per-signal-type performance report. This becomes the evidence base for which signals are ready for Phase 3 and which need more development.</w:t>
      </w:r>
    </w:p>
    <w:p>
      <w:pPr>
        <w:pStyle w:val="ListParagraph"/>
        <w:numPr>
          <w:ilvl w:val="0"/>
          <w:numId w:val="6"/>
        </w:numPr>
        <w:spacing w:after="100"/>
      </w:pPr>
      <w:r>
        <w:rPr>
          <w:rFonts w:ascii="Arial" w:cs="Arial" w:eastAsia="Arial" w:hAnsi="Arial"/>
          <w:b/>
          <w:bCs/>
          <w:sz w:val="22"/>
          <w:szCs w:val="22"/>
        </w:rPr>
        <w:t xml:space="preserve">Sentinel decision object draft: </w:t>
      </w:r>
      <w:r>
        <w:rPr>
          <w:rFonts w:ascii="Arial" w:cs="Arial" w:eastAsia="Arial" w:hAnsi="Arial"/>
          <w:sz w:val="22"/>
          <w:szCs w:val="22"/>
        </w:rPr>
        <w:t xml:space="preserve">Using backtest results, define the exact fields and format for what Market Agent sends to Sentinel at the Phase 3 hook point (detailed specification in Section 4).</w:t>
      </w:r>
    </w:p>
    <w:p>
      <w:pPr>
        <w:pStyle w:val="Heading3"/>
      </w:pPr>
      <w:r>
        <w:t xml:space="preserve">Week 6 (May 6–11)</w:t>
      </w:r>
    </w:p>
    <w:p>
      <w:pPr>
        <w:pStyle w:val="ListParagraph"/>
        <w:numPr>
          <w:ilvl w:val="0"/>
          <w:numId w:val="7"/>
        </w:numPr>
        <w:spacing w:after="100"/>
      </w:pPr>
      <w:r>
        <w:rPr>
          <w:rFonts w:ascii="Arial" w:cs="Arial" w:eastAsia="Arial" w:hAnsi="Arial"/>
          <w:b/>
          <w:bCs/>
          <w:sz w:val="22"/>
          <w:szCs w:val="22"/>
        </w:rPr>
        <w:t xml:space="preserve">Phase 2 checkpoint: </w:t>
      </w:r>
      <w:r>
        <w:rPr>
          <w:rFonts w:ascii="Arial" w:cs="Arial" w:eastAsia="Arial" w:hAnsi="Arial"/>
          <w:sz w:val="22"/>
          <w:szCs w:val="22"/>
        </w:rPr>
        <w:t xml:space="preserve">Compile backtest results. Review signal report cards. Make go/no-go decision on each signal type for Phase 3 promotion. It is acceptable — and likely — that not all five signal types graduate. The arb signal is the most likely to graduate first.</w:t>
      </w:r>
    </w:p>
    <w:p>
      <w:pPr>
        <w:pStyle w:val="ListParagraph"/>
        <w:numPr>
          <w:ilvl w:val="0"/>
          <w:numId w:val="7"/>
        </w:numPr>
        <w:spacing w:after="100"/>
      </w:pPr>
      <w:r>
        <w:rPr>
          <w:rFonts w:ascii="Arial" w:cs="Arial" w:eastAsia="Arial" w:hAnsi="Arial"/>
          <w:b/>
          <w:bCs/>
          <w:sz w:val="22"/>
          <w:szCs w:val="22"/>
        </w:rPr>
        <w:t xml:space="preserve">Backtest documentation: </w:t>
      </w:r>
      <w:r>
        <w:rPr>
          <w:rFonts w:ascii="Arial" w:cs="Arial" w:eastAsia="Arial" w:hAnsi="Arial"/>
          <w:sz w:val="22"/>
          <w:szCs w:val="22"/>
        </w:rPr>
        <w:t xml:space="preserve">Write up methodology, results, and graduation decisions. This document becomes part of the public credibility story later.</w:t>
      </w:r>
    </w:p>
    <w:p>
      <w:pPr>
        <w:pStyle w:val="ListParagraph"/>
        <w:numPr>
          <w:ilvl w:val="0"/>
          <w:numId w:val="7"/>
        </w:numPr>
        <w:spacing w:after="100"/>
      </w:pPr>
      <w:r>
        <w:rPr>
          <w:rFonts w:ascii="Arial" w:cs="Arial" w:eastAsia="Arial" w:hAnsi="Arial"/>
          <w:b/>
          <w:bCs/>
          <w:sz w:val="22"/>
          <w:szCs w:val="22"/>
        </w:rPr>
        <w:t xml:space="preserve">Sentinel integration build begins: </w:t>
      </w:r>
      <w:r>
        <w:rPr>
          <w:rFonts w:ascii="Arial" w:cs="Arial" w:eastAsia="Arial" w:hAnsi="Arial"/>
          <w:sz w:val="22"/>
          <w:szCs w:val="22"/>
        </w:rPr>
        <w:t xml:space="preserve">Start implementing the actual Sentinel verification call at the Phase 3 hook point in agent.js, using the decision object spec.</w:t>
      </w:r>
    </w:p>
    <w:p>
      <w:pPr>
        <w:pStyle w:val="Heading2"/>
      </w:pPr>
      <w:r>
        <w:t xml:space="preserve">Phase 3: Paper Trading with Sentinel — Weeks 7–10 (May 12 – June 8)</w:t>
      </w:r>
    </w:p>
    <w:p>
      <w:pPr>
        <w:spacing w:after="200"/>
      </w:pPr>
      <w:r>
        <w:rPr>
          <w:rFonts w:ascii="Arial" w:cs="Arial" w:eastAsia="Arial" w:hAnsi="Arial"/>
          <w:sz w:val="22"/>
          <w:szCs w:val="22"/>
        </w:rPr>
        <w:t xml:space="preserve">Goal: Execute paper trades verified by Sentinel. Establish the trust progression model. Generate real Sentinel queries.</w:t>
      </w:r>
    </w:p>
    <w:p>
      <w:pPr>
        <w:pStyle w:val="Heading3"/>
      </w:pPr>
      <w:r>
        <w:t xml:space="preserve">Week 7 (May 12–18)</w:t>
      </w:r>
    </w:p>
    <w:p>
      <w:pPr>
        <w:pStyle w:val="ListParagraph"/>
        <w:numPr>
          <w:ilvl w:val="0"/>
          <w:numId w:val="8"/>
        </w:numPr>
        <w:spacing w:after="100"/>
      </w:pPr>
      <w:r>
        <w:rPr>
          <w:rFonts w:ascii="Arial" w:cs="Arial" w:eastAsia="Arial" w:hAnsi="Arial"/>
          <w:b/>
          <w:bCs/>
          <w:sz w:val="22"/>
          <w:szCs w:val="22"/>
        </w:rPr>
        <w:t xml:space="preserve">Sentinel integration live: </w:t>
      </w:r>
      <w:r>
        <w:rPr>
          <w:rFonts w:ascii="Arial" w:cs="Arial" w:eastAsia="Arial" w:hAnsi="Arial"/>
          <w:sz w:val="22"/>
          <w:szCs w:val="22"/>
        </w:rPr>
        <w:t xml:space="preserve">The Phase 3 hook point in agent.js calls Sentinel’s /verify endpoint with the decision object. Sentinel returns verdict, grade, score, risk flags, and spending ceiling. Market Agent logs the full exchange.</w:t>
      </w:r>
    </w:p>
    <w:p>
      <w:pPr>
        <w:pStyle w:val="ListParagraph"/>
        <w:numPr>
          <w:ilvl w:val="0"/>
          <w:numId w:val="8"/>
        </w:numPr>
        <w:spacing w:after="100"/>
      </w:pPr>
      <w:r>
        <w:rPr>
          <w:rFonts w:ascii="Arial" w:cs="Arial" w:eastAsia="Arial" w:hAnsi="Arial"/>
          <w:b/>
          <w:bCs/>
          <w:sz w:val="22"/>
          <w:szCs w:val="22"/>
        </w:rPr>
        <w:t xml:space="preserve">Paper trading engine: </w:t>
      </w:r>
      <w:r>
        <w:rPr>
          <w:rFonts w:ascii="Arial" w:cs="Arial" w:eastAsia="Arial" w:hAnsi="Arial"/>
          <w:sz w:val="22"/>
          <w:szCs w:val="22"/>
        </w:rPr>
        <w:t xml:space="preserve">Track virtual positions. On each cycle, if a graduated signal fires and Sentinel approves, open a paper position. Track entry, exit, P&amp;L, and Sentinel’s assessment at time of entry.</w:t>
      </w:r>
    </w:p>
    <w:p>
      <w:pPr>
        <w:pStyle w:val="ListParagraph"/>
        <w:numPr>
          <w:ilvl w:val="0"/>
          <w:numId w:val="8"/>
        </w:numPr>
        <w:spacing w:after="100"/>
      </w:pPr>
      <w:r>
        <w:rPr>
          <w:rFonts w:ascii="Arial" w:cs="Arial" w:eastAsia="Arial" w:hAnsi="Arial"/>
          <w:b/>
          <w:bCs/>
          <w:sz w:val="22"/>
          <w:szCs w:val="22"/>
        </w:rPr>
        <w:t xml:space="preserve">Human approval gate v1: </w:t>
      </w:r>
      <w:r>
        <w:rPr>
          <w:rFonts w:ascii="Arial" w:cs="Arial" w:eastAsia="Arial" w:hAnsi="Arial"/>
          <w:sz w:val="22"/>
          <w:szCs w:val="22"/>
        </w:rPr>
        <w:t xml:space="preserve">All paper trades require human approval via the dashboard. Display: the trade idea, Sentinel’s verdict, confidence scores, and a one-click approve/reject interface.</w:t>
      </w:r>
    </w:p>
    <w:p>
      <w:pPr>
        <w:pStyle w:val="Heading3"/>
      </w:pPr>
      <w:r>
        <w:t xml:space="preserve">Weeks 8–9 (May 19 – June 1)</w:t>
      </w:r>
    </w:p>
    <w:p>
      <w:pPr>
        <w:pStyle w:val="ListParagraph"/>
        <w:numPr>
          <w:ilvl w:val="0"/>
          <w:numId w:val="9"/>
        </w:numPr>
        <w:spacing w:after="100"/>
      </w:pPr>
      <w:r>
        <w:rPr>
          <w:rFonts w:ascii="Arial" w:cs="Arial" w:eastAsia="Arial" w:hAnsi="Arial"/>
          <w:b/>
          <w:bCs/>
          <w:sz w:val="22"/>
          <w:szCs w:val="22"/>
        </w:rPr>
        <w:t xml:space="preserve">Paper trading validation: </w:t>
      </w:r>
      <w:r>
        <w:rPr>
          <w:rFonts w:ascii="Arial" w:cs="Arial" w:eastAsia="Arial" w:hAnsi="Arial"/>
          <w:sz w:val="22"/>
          <w:szCs w:val="22"/>
        </w:rPr>
        <w:t xml:space="preserve">Run for 2 weeks of market conditions. Compare paper P&amp;L against backtest expectations. Track Sentinel query patterns, latency, and any false positives/negatives.</w:t>
      </w:r>
    </w:p>
    <w:p>
      <w:pPr>
        <w:pStyle w:val="ListParagraph"/>
        <w:numPr>
          <w:ilvl w:val="0"/>
          <w:numId w:val="9"/>
        </w:numPr>
        <w:spacing w:after="100"/>
      </w:pPr>
      <w:r>
        <w:rPr>
          <w:rFonts w:ascii="Arial" w:cs="Arial" w:eastAsia="Arial" w:hAnsi="Arial"/>
          <w:b/>
          <w:bCs/>
          <w:sz w:val="22"/>
          <w:szCs w:val="22"/>
        </w:rPr>
        <w:t xml:space="preserve">Trust progression data: </w:t>
      </w:r>
      <w:r>
        <w:rPr>
          <w:rFonts w:ascii="Arial" w:cs="Arial" w:eastAsia="Arial" w:hAnsi="Arial"/>
          <w:sz w:val="22"/>
          <w:szCs w:val="22"/>
        </w:rPr>
        <w:t xml:space="preserve">Begin collecting the data needed for trust tier calibration. How often does Sentinel disagree with Market Agent? When Sentinel says DANGER, was it right? When Market Agent overrides a cautious Sentinel score, what happens?</w:t>
      </w:r>
    </w:p>
    <w:p>
      <w:pPr>
        <w:pStyle w:val="ListParagraph"/>
        <w:numPr>
          <w:ilvl w:val="0"/>
          <w:numId w:val="9"/>
        </w:numPr>
        <w:spacing w:after="100"/>
      </w:pPr>
      <w:r>
        <w:rPr>
          <w:rFonts w:ascii="Arial" w:cs="Arial" w:eastAsia="Arial" w:hAnsi="Arial"/>
          <w:b/>
          <w:bCs/>
          <w:sz w:val="22"/>
          <w:szCs w:val="22"/>
        </w:rPr>
        <w:t xml:space="preserve">Sentinel spending ceiling integration: </w:t>
      </w:r>
      <w:r>
        <w:rPr>
          <w:rFonts w:ascii="Arial" w:cs="Arial" w:eastAsia="Arial" w:hAnsi="Arial"/>
          <w:sz w:val="22"/>
          <w:szCs w:val="22"/>
        </w:rPr>
        <w:t xml:space="preserve">Market Agent uses Sentinel’s recommended ceiling to constrain paper position sizes. Validate that the ceiling logic produces reasonable constraints.</w:t>
      </w:r>
    </w:p>
    <w:p>
      <w:pPr>
        <w:pStyle w:val="Heading3"/>
      </w:pPr>
      <w:r>
        <w:t xml:space="preserve">Week 10 (June 2–8)</w:t>
      </w:r>
    </w:p>
    <w:p>
      <w:pPr>
        <w:pStyle w:val="ListParagraph"/>
        <w:numPr>
          <w:ilvl w:val="0"/>
          <w:numId w:val="10"/>
        </w:numPr>
        <w:spacing w:after="100"/>
      </w:pPr>
      <w:r>
        <w:rPr>
          <w:rFonts w:ascii="Arial" w:cs="Arial" w:eastAsia="Arial" w:hAnsi="Arial"/>
          <w:b/>
          <w:bCs/>
          <w:sz w:val="22"/>
          <w:szCs w:val="22"/>
        </w:rPr>
        <w:t xml:space="preserve">Phase 3 checkpoint: </w:t>
      </w:r>
      <w:r>
        <w:rPr>
          <w:rFonts w:ascii="Arial" w:cs="Arial" w:eastAsia="Arial" w:hAnsi="Arial"/>
          <w:sz w:val="22"/>
          <w:szCs w:val="22"/>
        </w:rPr>
        <w:t xml:space="preserve">Compile paper trading results. Compare against backtest expectations. Assess Sentinel integration reliability. Make go/no-go decision on whether the system is ready for real capital (Phase 4) or needs another iteration.</w:t>
      </w:r>
    </w:p>
    <w:p>
      <w:pPr>
        <w:pStyle w:val="ListParagraph"/>
        <w:numPr>
          <w:ilvl w:val="0"/>
          <w:numId w:val="10"/>
        </w:numPr>
        <w:spacing w:after="100"/>
      </w:pPr>
      <w:r>
        <w:rPr>
          <w:rFonts w:ascii="Arial" w:cs="Arial" w:eastAsia="Arial" w:hAnsi="Arial"/>
          <w:b/>
          <w:bCs/>
          <w:sz w:val="22"/>
          <w:szCs w:val="22"/>
        </w:rPr>
        <w:t xml:space="preserve">Performance documentation: </w:t>
      </w:r>
      <w:r>
        <w:rPr>
          <w:rFonts w:ascii="Arial" w:cs="Arial" w:eastAsia="Arial" w:hAnsi="Arial"/>
          <w:sz w:val="22"/>
          <w:szCs w:val="22"/>
        </w:rPr>
        <w:t xml:space="preserve">Full write-up of paper trading results, Sentinel integration metrics, and trust progression data. This is the evidence base for Phase 4 and the public narrative.</w:t>
      </w:r>
    </w:p>
    <w:p>
      <w:r>
        <w:br w:type="page"/>
      </w:r>
    </w:p>
    <w:p>
      <w:pPr>
        <w:pStyle w:val="Heading1"/>
      </w:pPr>
      <w:r>
        <w:t xml:space="preserve">Raw Data Persistence Plan</w:t>
      </w:r>
    </w:p>
    <w:p>
      <w:pPr>
        <w:spacing w:after="200"/>
      </w:pPr>
      <w:r>
        <w:rPr>
          <w:rFonts w:ascii="Arial" w:cs="Arial" w:eastAsia="Arial" w:hAnsi="Arial"/>
          <w:b/>
          <w:bCs/>
          <w:color w:val="D35400"/>
          <w:sz w:val="22"/>
          <w:szCs w:val="22"/>
        </w:rPr>
        <w:t xml:space="preserve">Priority: IMMEDIATE. </w:t>
      </w:r>
      <w:r>
        <w:rPr>
          <w:rFonts w:ascii="Arial" w:cs="Arial" w:eastAsia="Arial" w:hAnsi="Arial"/>
          <w:sz w:val="22"/>
          <w:szCs w:val="22"/>
        </w:rPr>
        <w:t xml:space="preserve">Every 60-second cycle that runs without raw data persistence is an irreplaceable loss. Signals and briefings are already persisted, but the underlying data points from ingestion are not. Without raw data, backtesting is impossible.</w:t>
      </w:r>
    </w:p>
    <w:p>
      <w:pPr>
        <w:pStyle w:val="Heading2"/>
      </w:pPr>
      <w:r>
        <w:t xml:space="preserve">What to Persist</w:t>
      </w:r>
    </w:p>
    <w:p>
      <w:pPr>
        <w:pStyle w:val="Heading3"/>
      </w:pPr>
      <w:r>
        <w:t xml:space="preserve">Table 1: ingestion_snapshots</w:t>
      </w:r>
    </w:p>
    <w:p>
      <w:pPr>
        <w:spacing w:after="200"/>
      </w:pPr>
      <w:r>
        <w:rPr>
          <w:rFonts w:ascii="Arial" w:cs="Arial" w:eastAsia="Arial" w:hAnsi="Arial"/>
          <w:sz w:val="22"/>
          <w:szCs w:val="22"/>
        </w:rPr>
        <w:t xml:space="preserve">One row per cycle. Captures the complete output of ingestAll() — the normalized data points array and the source summary. This is the replay dataset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SERIAL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Cycle number, indexes to signals and composites tables</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Cycle start time (UTC)</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points_json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data points array from ingestAll(). Compressed. Replay input for Phase 2</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summary_json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 summary: counts, latencies, errors per source</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source_count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sources that responded (for quick health queries)</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point_count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data points ingested (for quick health queries)</w:t>
            </w:r>
          </w:p>
        </w:tc>
      </w:tr>
    </w:tbl>
    <w:p>
      <w:pPr>
        <w:spacing w:after="200"/>
      </w:pPr>
    </w:p>
    <w:p>
      <w:pPr>
        <w:pStyle w:val="Heading3"/>
      </w:pPr>
      <w:r>
        <w:t xml:space="preserve">Table 2: arb_observations</w:t>
      </w:r>
    </w:p>
    <w:p>
      <w:pPr>
        <w:spacing w:after="200"/>
      </w:pPr>
      <w:r>
        <w:rPr>
          <w:rFonts w:ascii="Arial" w:cs="Arial" w:eastAsia="Arial" w:hAnsi="Arial"/>
          <w:sz w:val="22"/>
          <w:szCs w:val="22"/>
        </w:rPr>
        <w:t xml:space="preserve">One row per spread measurement per cycle. Replaces the in-memory spreadHistory array with persistent storage. The arbitrage module’s inputHistory parameter already accepts an external array — load from this table for backtesting.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SERIAL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Cycle number</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Observation time (UTC)</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pair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Trading pair (cbBTC/USDC primary)</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cex_price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NUMERIC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Coinbase spot price at observation time</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dex_price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NUMERIC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Aerodrome pool price at observation time</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spread_bps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NUMERIC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Spread in basis points ((cex - dex) / cex * 10000)</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signal_fired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Whether spread exceeded alert threshold (50bps)</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signal_strength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 / alert (50bps+) / strong (100bps+)</w:t>
            </w:r>
          </w:p>
        </w:tc>
      </w:tr>
    </w:tbl>
    <w:p>
      <w:pPr>
        <w:spacing w:after="200"/>
      </w:pPr>
    </w:p>
    <w:p>
      <w:pPr>
        <w:pStyle w:val="Heading3"/>
      </w:pPr>
      <w:r>
        <w:t xml:space="preserve">Table 3: api_costs</w:t>
      </w:r>
    </w:p>
    <w:p>
      <w:pPr>
        <w:spacing w:after="200"/>
      </w:pPr>
      <w:r>
        <w:rPr>
          <w:rFonts w:ascii="Arial" w:cs="Arial" w:eastAsia="Arial" w:hAnsi="Arial"/>
          <w:sz w:val="22"/>
          <w:szCs w:val="22"/>
        </w:rPr>
        <w:t xml:space="preserve">One row per Claude API call. The qualitative context module already logs input and output token counts. Add cost computation and persist.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SERIAL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 primary key</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Cycle number</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call time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prompt_type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news / macro / contradiction</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used (for Haiku vs Sonnet tracking)</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tokens_in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tokens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tokens_out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 tokens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cost_usd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NUMERIC(10,6)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Computed cost based on model pricing</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latency_ms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call round-trip time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prompt_version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 version (currently 1.1) for A/B analysis</w:t>
            </w:r>
          </w:p>
        </w:tc>
      </w:tr>
    </w:tbl>
    <w:p>
      <w:pPr>
        <w:spacing w:after="200"/>
      </w:pPr>
    </w:p>
    <w:p>
      <w:pPr>
        <w:pStyle w:val="Heading3"/>
      </w:pPr>
      <w:r>
        <w:t xml:space="preserve">Implementation</w:t>
      </w:r>
    </w:p>
    <w:p>
      <w:pPr>
        <w:spacing w:after="200"/>
      </w:pPr>
      <w:r>
        <w:rPr>
          <w:rFonts w:ascii="Arial" w:cs="Arial" w:eastAsia="Arial" w:hAnsi="Arial"/>
          <w:sz w:val="22"/>
          <w:szCs w:val="22"/>
        </w:rPr>
        <w:t xml:space="preserve">Add the three tables as a new migration in db/migrate.js. Modify agent.js to persist raw ingestion output after Layer 1 completes. Modify the arbitrage module to write spread observations after each analyze() call. Modify context.js to write API costs after each callClaude() invocation. Total implementation estimate: 3–4 hours. This is the highest-priority single task in this entire plan.</w:t>
      </w:r>
    </w:p>
    <w:p>
      <w:r>
        <w:br w:type="page"/>
      </w:r>
    </w:p>
    <w:p>
      <w:pPr>
        <w:pStyle w:val="Heading1"/>
      </w:pPr>
      <w:r>
        <w:t xml:space="preserve">Sentinel Decision Object Specification</w:t>
      </w:r>
    </w:p>
    <w:p>
      <w:pPr>
        <w:spacing w:after="200"/>
      </w:pPr>
      <w:r>
        <w:rPr>
          <w:rFonts w:ascii="Arial" w:cs="Arial" w:eastAsia="Arial" w:hAnsi="Arial"/>
          <w:sz w:val="22"/>
          <w:szCs w:val="22"/>
        </w:rPr>
        <w:t xml:space="preserve">The decision object is what Market Agent sends to Sentinel at the Phase 3 hook point (agent.js lines 79–82). It must map cleanly to Sentinel’s existing endpoint structure while carrying enough context for meaningful risk assessment.</w:t>
      </w:r>
    </w:p>
    <w:p>
      <w:pPr>
        <w:pStyle w:val="Heading2"/>
      </w:pPr>
      <w:r>
        <w:t xml:space="preserve">Object Structure</w:t>
      </w:r>
    </w:p>
    <w:p>
      <w:pPr>
        <w:spacing w:after="200"/>
      </w:pPr>
      <w:r>
        <w:rPr>
          <w:rFonts w:ascii="Arial" w:cs="Arial" w:eastAsia="Arial" w:hAnsi="Arial"/>
          <w:sz w:val="22"/>
          <w:szCs w:val="22"/>
        </w:rPr>
        <w:t xml:space="preserve">The decision object is derived from the adjusted composite signal. One decision object per pair per cycle where the composite exceeds the graduation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agent_id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 Agent’s wallet address on Base (caller identity)</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"swap" | "provide_liquidity" | "remove_liquidity"</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target_contract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Aerodrome pool contract address for the pair</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token_in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being sold (maps to Sentinel /token endpoint)</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token_out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being bought (maps to Sentinel /token endpoint)</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amount_usd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Proposed position size in USD (Sentinel returns ceiling constraint)</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direction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 "short" from composite signal</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confidence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0.0–1.0 adjusted composite confidence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regime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regime classification from qualitative layer</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signal_agreement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0.0–1.0 agreement ratio from scorer</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entry_zone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 mid, high } price levels from briefing engine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thesis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Composite thesis string for audit trail</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cycle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Cycle number for cross-referencing with briefing data</w:t>
            </w:r>
          </w:p>
        </w:tc>
      </w:tr>
    </w:tbl>
    <w:p>
      <w:pPr>
        <w:spacing w:after="200"/>
      </w:pPr>
    </w:p>
    <w:p>
      <w:pPr>
        <w:pStyle w:val="Heading2"/>
      </w:pPr>
      <w:r>
        <w:t xml:space="preserve">Sentinel Endpoint Mapping</w:t>
      </w:r>
    </w:p>
    <w:p>
      <w:pPr>
        <w:spacing w:after="200"/>
      </w:pPr>
      <w:r>
        <w:rPr>
          <w:rFonts w:ascii="Arial" w:cs="Arial" w:eastAsia="Arial" w:hAnsi="Arial"/>
          <w:sz w:val="22"/>
          <w:szCs w:val="22"/>
        </w:rPr>
        <w:t xml:space="preserve">Each decision object triggers a sequence of Sentinel calls. The combined cost per decision is $0.035–$0.055, paid automatically via x402 micropayment.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2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Sentinel Endpoint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 from Decision Object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/verify/contract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target_contract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Pool contract safety</w:t>
            </w:r>
          </w:p>
        </w:tc>
      </w:tr>
      <w:tr>
        <w:tc>
          <w:tcPr>
            <w:tcW w:type="dxa" w:w="2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/verify/token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token_in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risk (sell side)</w:t>
            </w:r>
          </w:p>
        </w:tc>
      </w:tr>
      <w:tr>
        <w:tc>
          <w:tcPr>
            <w:tcW w:type="dxa" w:w="2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/verify/token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token_out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risk (buy side)</w:t>
            </w:r>
          </w:p>
        </w:tc>
      </w:tr>
      <w:tr>
        <w:tc>
          <w:tcPr>
            <w:tcW w:type="dxa" w:w="2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/verify/transaction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decision object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Holistic assessment + ceiling</w:t>
            </w:r>
          </w:p>
        </w:tc>
      </w:tr>
    </w:tbl>
    <w:p>
      <w:pPr>
        <w:spacing w:after="200"/>
      </w:pPr>
    </w:p>
    <w:p>
      <w:pPr>
        <w:pStyle w:val="Heading2"/>
      </w:pPr>
      <w:r>
        <w:t xml:space="preserve">Sentinel Response Handling</w:t>
      </w:r>
    </w:p>
    <w:p>
      <w:pPr>
        <w:spacing w:after="200"/>
      </w:pPr>
      <w:r>
        <w:rPr>
          <w:rFonts w:ascii="Arial" w:cs="Arial" w:eastAsia="Arial" w:hAnsi="Arial"/>
          <w:sz w:val="22"/>
          <w:szCs w:val="22"/>
        </w:rPr>
        <w:t xml:space="preserve">Market Agent processes Sentinel’s response as follows. If the verdict is SAFE or CAUTION with a score above 70, and the spending ceiling is greater than or equal to the proposed amount_usd, the trade proceeds to the human approval gate. If the verdict is WARNING, the trade is flagged for human review with Sentinel’s risk flags prominently displayed. If the verdict is DANGER, the trade is blocked automatically — no human override in Phase 3. This hard block on DANGER is a trust-building constraint that can be relaxed later as the system proves itself.</w:t>
      </w:r>
    </w:p>
    <w:p>
      <w:r>
        <w:br w:type="page"/>
      </w:r>
    </w:p>
    <w:p>
      <w:pPr>
        <w:pStyle w:val="Heading1"/>
      </w:pPr>
      <w:r>
        <w:t xml:space="preserve">cbBTC/USDC Arbitrage Validation Protocol</w:t>
      </w:r>
    </w:p>
    <w:p>
      <w:pPr>
        <w:spacing w:after="200"/>
      </w:pPr>
      <w:r>
        <w:rPr>
          <w:rFonts w:ascii="Arial" w:cs="Arial" w:eastAsia="Arial" w:hAnsi="Arial"/>
          <w:sz w:val="22"/>
          <w:szCs w:val="22"/>
        </w:rPr>
        <w:t xml:space="preserve">The arbitrage signal is the highest-probability candidate for Phase 3 graduation because it has a concrete, measurable profit mechanism: buy the cheap side, sell the expensive side, capture the spread. But the signal must be validated before any capital is committed. The current alert threshold is 50bps (0.5%) and strong threshold is 100bps (1.0%).</w:t>
      </w:r>
    </w:p>
    <w:p>
      <w:pPr>
        <w:pStyle w:val="Heading2"/>
      </w:pPr>
      <w:r>
        <w:t xml:space="preserve">Manual Logging Structure</w:t>
      </w:r>
    </w:p>
    <w:p>
      <w:pPr>
        <w:spacing w:after="200"/>
      </w:pPr>
      <w:r>
        <w:rPr>
          <w:rFonts w:ascii="Arial" w:cs="Arial" w:eastAsia="Arial" w:hAnsi="Arial"/>
          <w:sz w:val="22"/>
          <w:szCs w:val="22"/>
        </w:rPr>
        <w:t xml:space="preserve">Starting Week 2, every time the arb signal fires (spread_bps exceeds 50), log the following observation. This can be done manually in a spreadsheet or structured log for the first two weeks, then automated once the arb_observations table is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Record</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Timestamp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Exact time the signal fired (from Market Agent cycle)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CEX Price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Coinbase spot price at signal time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DEX Price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Aerodrome pool price at signal time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Spread (bps)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Computed spread in basis points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Real Check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Manually verify on Aerodrome UI: is the pool price actually what the API reported?</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Exploitable?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Could a real trade capture the spread? Check pool liquidity, gas cost, slippage estimate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Duration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many cycles did the spread persist? (1 cycle = 60 seconds)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Outcome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you had traded: net P&amp;L after gas and slippage estimate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context: market event, pool imbalance, data lag suspected, etc.</w:t>
            </w:r>
          </w:p>
        </w:tc>
      </w:tr>
    </w:tbl>
    <w:p>
      <w:pPr>
        <w:spacing w:after="200"/>
      </w:pPr>
    </w:p>
    <w:p>
      <w:pPr>
        <w:pStyle w:val="Heading2"/>
      </w:pPr>
      <w:r>
        <w:t xml:space="preserve">What Constitutes Proof the Signal Is Real</w:t>
      </w:r>
    </w:p>
    <w:p>
      <w:pPr>
        <w:spacing w:after="200"/>
      </w:pPr>
      <w:r>
        <w:rPr>
          <w:rFonts w:ascii="Arial" w:cs="Arial" w:eastAsia="Arial" w:hAnsi="Arial"/>
          <w:sz w:val="22"/>
          <w:szCs w:val="22"/>
        </w:rPr>
        <w:t xml:space="preserve">The arb signal graduates to Phase 3 when the following criteria are met over 30+ observations:</w:t>
      </w:r>
    </w:p>
    <w:p>
      <w:pPr>
        <w:pStyle w:val="ListParagraph"/>
        <w:numPr>
          <w:ilvl w:val="0"/>
          <w:numId w:val="11"/>
        </w:numPr>
        <w:spacing w:after="100"/>
      </w:pPr>
      <w:r>
        <w:rPr>
          <w:rFonts w:ascii="Arial" w:cs="Arial" w:eastAsia="Arial" w:hAnsi="Arial"/>
          <w:b/>
          <w:bCs/>
          <w:sz w:val="22"/>
          <w:szCs w:val="22"/>
        </w:rPr>
        <w:t xml:space="preserve">Price accuracy: </w:t>
      </w:r>
      <w:r>
        <w:rPr>
          <w:rFonts w:ascii="Arial" w:cs="Arial" w:eastAsia="Arial" w:hAnsi="Arial"/>
          <w:sz w:val="22"/>
          <w:szCs w:val="22"/>
        </w:rPr>
        <w:t xml:space="preserve">CEX and DEX prices reported by Market Agent match actual on-chain/exchange prices within 0.1% at time of observation, at least 90% of the time. If Market Agent is reporting stale prices, the arb signal is detecting phantom spreads.</w:t>
      </w:r>
    </w:p>
    <w:p>
      <w:pPr>
        <w:pStyle w:val="ListParagraph"/>
        <w:numPr>
          <w:ilvl w:val="0"/>
          <w:numId w:val="11"/>
        </w:numPr>
        <w:spacing w:after="100"/>
      </w:pPr>
      <w:r>
        <w:rPr>
          <w:rFonts w:ascii="Arial" w:cs="Arial" w:eastAsia="Arial" w:hAnsi="Arial"/>
          <w:b/>
          <w:bCs/>
          <w:sz w:val="22"/>
          <w:szCs w:val="22"/>
        </w:rPr>
        <w:t xml:space="preserve">Exploitability rate: </w:t>
      </w:r>
      <w:r>
        <w:rPr>
          <w:rFonts w:ascii="Arial" w:cs="Arial" w:eastAsia="Arial" w:hAnsi="Arial"/>
          <w:sz w:val="22"/>
          <w:szCs w:val="22"/>
        </w:rPr>
        <w:t xml:space="preserve">At least 60% of signals above 50bps represent spreads that could have been captured after accounting for Base gas costs (~$0.01–$0.05), Aerodrome swap fees (typically 0.3% for volatile pools), and realistic slippage (estimate 0.1–0.3% for cbBTC pools).</w:t>
      </w:r>
    </w:p>
    <w:p>
      <w:pPr>
        <w:pStyle w:val="ListParagraph"/>
        <w:numPr>
          <w:ilvl w:val="0"/>
          <w:numId w:val="11"/>
        </w:numPr>
        <w:spacing w:after="100"/>
      </w:pPr>
      <w:r>
        <w:rPr>
          <w:rFonts w:ascii="Arial" w:cs="Arial" w:eastAsia="Arial" w:hAnsi="Arial"/>
          <w:b/>
          <w:bCs/>
          <w:sz w:val="22"/>
          <w:szCs w:val="22"/>
        </w:rPr>
        <w:t xml:space="preserve">Persistence: </w:t>
      </w:r>
      <w:r>
        <w:rPr>
          <w:rFonts w:ascii="Arial" w:cs="Arial" w:eastAsia="Arial" w:hAnsi="Arial"/>
          <w:sz w:val="22"/>
          <w:szCs w:val="22"/>
        </w:rPr>
        <w:t xml:space="preserve">Spreads persist for at least 2 cycles (120 seconds) on average. A spread that exists for one 60-second cycle and closes before execution is not tradeable.</w:t>
      </w:r>
    </w:p>
    <w:p>
      <w:pPr>
        <w:pStyle w:val="ListParagraph"/>
        <w:numPr>
          <w:ilvl w:val="0"/>
          <w:numId w:val="11"/>
        </w:numPr>
        <w:spacing w:after="100"/>
      </w:pPr>
      <w:r>
        <w:rPr>
          <w:rFonts w:ascii="Arial" w:cs="Arial" w:eastAsia="Arial" w:hAnsi="Arial"/>
          <w:b/>
          <w:bCs/>
          <w:sz w:val="22"/>
          <w:szCs w:val="22"/>
        </w:rPr>
        <w:t xml:space="preserve">Net positive expectation: </w:t>
      </w:r>
      <w:r>
        <w:rPr>
          <w:rFonts w:ascii="Arial" w:cs="Arial" w:eastAsia="Arial" w:hAnsi="Arial"/>
          <w:sz w:val="22"/>
          <w:szCs w:val="22"/>
        </w:rPr>
        <w:t xml:space="preserve">Average net P&amp;L per exploitable signal is positive after all costs. The breakeven spread is approximately 40–60bps (gas + swap fee + slippage), which validates the 50bps alert threshold.</w:t>
      </w:r>
    </w:p>
    <w:p>
      <w:pPr>
        <w:pStyle w:val="Heading2"/>
      </w:pPr>
      <w:r>
        <w:t xml:space="preserve">Known Risk: Data Lag</w:t>
      </w:r>
    </w:p>
    <w:p>
      <w:pPr>
        <w:spacing w:after="200"/>
      </w:pPr>
      <w:r>
        <w:rPr>
          <w:rFonts w:ascii="Arial" w:cs="Arial" w:eastAsia="Arial" w:hAnsi="Arial"/>
          <w:sz w:val="22"/>
          <w:szCs w:val="22"/>
        </w:rPr>
        <w:t xml:space="preserve">The most likely failure mode is that the arb signal is detecting data lag rather than real market spreads. Coinbase prices update in real-time via WebSocket. Aerodrome pool prices come from The Graph subgraph, which can lag 1–5 minutes behind on-chain state. If most “spreads” disappear when checked against real-time on-chain data, the signal is measuring infrastructure latency, not market inefficiency. This is the first thing to validate in Week 2.</w:t>
      </w:r>
    </w:p>
    <w:p>
      <w:pPr>
        <w:spacing w:after="200"/>
      </w:pPr>
      <w:r>
        <w:rPr>
          <w:rFonts w:ascii="Arial" w:cs="Arial" w:eastAsia="Arial" w:hAnsi="Arial"/>
          <w:sz w:val="22"/>
          <w:szCs w:val="22"/>
        </w:rPr>
        <w:t xml:space="preserve">Mitigation: Add a direct Alchemy RPC call to read the Aerodrome pool’s current reserves and compute spot price on-chain in real-time, bypassing The Graph. Compare against subgraph price to measure lag. If lag exceeds 60 seconds consistently, switch the arb module’s primary price source to the direct RPC call.</w:t>
      </w:r>
    </w:p>
    <w:p>
      <w:r>
        <w:br w:type="page"/>
      </w:r>
    </w:p>
    <w:p>
      <w:pPr>
        <w:pStyle w:val="Heading1"/>
      </w:pPr>
      <w:r>
        <w:t xml:space="preserve">API Cost Management: Haiku vs. Sonnet</w:t>
      </w:r>
    </w:p>
    <w:p>
      <w:pPr>
        <w:spacing w:after="200"/>
      </w:pPr>
      <w:r>
        <w:rPr>
          <w:rFonts w:ascii="Arial" w:cs="Arial" w:eastAsia="Arial" w:hAnsi="Arial"/>
          <w:sz w:val="22"/>
          <w:szCs w:val="22"/>
        </w:rPr>
        <w:t xml:space="preserve">The qualitative layer makes up to 3 Claude API calls per 60-second cycle: news synthesis, macro analysis, and contradiction detection. At 1,440 cycles per day, the cost varies significantly by model.</w:t>
      </w:r>
    </w:p>
    <w:p>
      <w:pPr>
        <w:pStyle w:val="Heading2"/>
      </w:pPr>
      <w:r>
        <w:t xml:space="preserve">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780"/>
        <w:gridCol w:w="17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Sonnet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Haiku</w:t>
            </w:r>
          </w:p>
        </w:tc>
        <w:tc>
          <w:tcPr>
            <w:tcW w:type="dxa" w:w="1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Hybrid</w:t>
            </w:r>
          </w:p>
        </w:tc>
        <w:tc>
          <w:tcPr>
            <w:tcW w:type="dxa" w:w="1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Savings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Input price / MTok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$0.80</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Mixed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Output price / MTok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Mixed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Est. cost / 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$0.003–$0.008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$0.0008–$0.002</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~$0.002–$0.004</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Calls / day (3/cycle)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4,320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4,320</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4,320</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Daily cost estimate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$3.50–$9</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$6–$15</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55–70%</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Monthly cost estimate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$390–$1,050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$105–$270</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$180–$450</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55–70%</w:t>
            </w:r>
          </w:p>
        </w:tc>
      </w:tr>
    </w:tbl>
    <w:p>
      <w:pPr>
        <w:spacing w:after="200"/>
      </w:pPr>
    </w:p>
    <w:p>
      <w:pPr>
        <w:pStyle w:val="Heading2"/>
      </w:pPr>
      <w:r>
        <w:t xml:space="preserve">Recommended Hybrid Strategy</w:t>
      </w:r>
    </w:p>
    <w:p>
      <w:pPr>
        <w:spacing w:after="200"/>
      </w:pPr>
      <w:r>
        <w:rPr>
          <w:rFonts w:ascii="Arial" w:cs="Arial" w:eastAsia="Arial" w:hAnsi="Arial"/>
          <w:sz w:val="22"/>
          <w:szCs w:val="22"/>
        </w:rPr>
        <w:t xml:space="preserve">Not all three prompt types require Sonnet-level reasoning. The recommended approach uses Haiku for routine cycles and reserves Sonnet for high-stakes analysis.</w:t>
      </w:r>
    </w:p>
    <w:p>
      <w:pPr>
        <w:pStyle w:val="ListParagraph"/>
        <w:numPr>
          <w:ilvl w:val="0"/>
          <w:numId w:val="11"/>
        </w:numPr>
        <w:spacing w:after="100"/>
      </w:pPr>
      <w:r>
        <w:rPr>
          <w:rFonts w:ascii="Arial" w:cs="Arial" w:eastAsia="Arial" w:hAnsi="Arial"/>
          <w:b/>
          <w:bCs/>
          <w:sz w:val="22"/>
          <w:szCs w:val="22"/>
        </w:rPr>
        <w:t xml:space="preserve">News synthesis → Haiku: </w:t>
      </w:r>
      <w:r>
        <w:rPr>
          <w:rFonts w:ascii="Arial" w:cs="Arial" w:eastAsia="Arial" w:hAnsi="Arial"/>
          <w:sz w:val="22"/>
          <w:szCs w:val="22"/>
        </w:rPr>
        <w:t xml:space="preserve">News relevance scoring and sentiment extraction is a structured classification task. Haiku handles this well. Switch immediately. Monitor for quality degradation by comparing Haiku’s output distribution against the Sonnet baseline from the first 2 weeks.</w:t>
      </w:r>
    </w:p>
    <w:p>
      <w:pPr>
        <w:pStyle w:val="ListParagraph"/>
        <w:numPr>
          <w:ilvl w:val="0"/>
          <w:numId w:val="11"/>
        </w:numPr>
        <w:spacing w:after="100"/>
      </w:pPr>
      <w:r>
        <w:rPr>
          <w:rFonts w:ascii="Arial" w:cs="Arial" w:eastAsia="Arial" w:hAnsi="Arial"/>
          <w:b/>
          <w:bCs/>
          <w:sz w:val="22"/>
          <w:szCs w:val="22"/>
        </w:rPr>
        <w:t xml:space="preserve">Macro analysis → Haiku with Sonnet escalation: </w:t>
      </w:r>
      <w:r>
        <w:rPr>
          <w:rFonts w:ascii="Arial" w:cs="Arial" w:eastAsia="Arial" w:hAnsi="Arial"/>
          <w:sz w:val="22"/>
          <w:szCs w:val="22"/>
        </w:rPr>
        <w:t xml:space="preserve">Routine macro indicator processing (no significant changes in Fed funds rate, CPI, etc.) can use Haiku. When indicators show significant deltas (&gt;2 standard deviations from recent values), escalate to Sonnet for deeper regime analysis. Implement a simple threshold check before the API call.</w:t>
      </w:r>
    </w:p>
    <w:p>
      <w:pPr>
        <w:pStyle w:val="ListParagraph"/>
        <w:numPr>
          <w:ilvl w:val="0"/>
          <w:numId w:val="11"/>
        </w:numPr>
        <w:spacing w:after="100"/>
      </w:pPr>
      <w:r>
        <w:rPr>
          <w:rFonts w:ascii="Arial" w:cs="Arial" w:eastAsia="Arial" w:hAnsi="Arial"/>
          <w:b/>
          <w:bCs/>
          <w:sz w:val="22"/>
          <w:szCs w:val="22"/>
        </w:rPr>
        <w:t xml:space="preserve">Contradiction detection → Sonnet: </w:t>
      </w:r>
      <w:r>
        <w:rPr>
          <w:rFonts w:ascii="Arial" w:cs="Arial" w:eastAsia="Arial" w:hAnsi="Arial"/>
          <w:sz w:val="22"/>
          <w:szCs w:val="22"/>
        </w:rPr>
        <w:t xml:space="preserve">This is the highest-value prompt. It synthesizes quant signals against qualitative context and produces the conviction adjustments that directly affect trade sizing. Keep on Sonnet. The ±30% conviction modifier is too important to risk on a smaller model.</w:t>
      </w:r>
    </w:p>
    <w:p>
      <w:pPr>
        <w:pStyle w:val="Heading2"/>
      </w:pPr>
      <w:r>
        <w:t xml:space="preserve">Implementation</w:t>
      </w:r>
    </w:p>
    <w:p>
      <w:pPr>
        <w:spacing w:after="200"/>
      </w:pPr>
      <w:r>
        <w:rPr>
          <w:rFonts w:ascii="Arial" w:cs="Arial" w:eastAsia="Arial" w:hAnsi="Arial"/>
          <w:sz w:val="22"/>
          <w:szCs w:val="22"/>
        </w:rPr>
        <w:t xml:space="preserve">Modify config.js to support per-prompt-type model selection. Add a models object alongside the current single model field. The callClaude function in context.js already receives the prompt type — route to the appropriate model. Track model usage in the api_costs table to measure the actual savings versus the estimates above.</w:t>
      </w:r>
    </w:p>
    <w:p>
      <w:pPr>
        <w:pStyle w:val="Heading2"/>
      </w:pPr>
      <w:r>
        <w:t xml:space="preserve">Cycle Frequency Optimization</w:t>
      </w:r>
    </w:p>
    <w:p>
      <w:pPr>
        <w:spacing w:after="200"/>
      </w:pPr>
      <w:r>
        <w:rPr>
          <w:rFonts w:ascii="Arial" w:cs="Arial" w:eastAsia="Arial" w:hAnsi="Arial"/>
          <w:sz w:val="22"/>
          <w:szCs w:val="22"/>
        </w:rPr>
        <w:t xml:space="preserve">The 60-second cycle is aggressive. Consider whether every cycle needs all three Claude calls. If no new news articles have been ingested since the last cycle, skip the news synthesis call. If macro indicators haven’t changed (FRED data updates daily, not every minute), skip the macro analysis call. Only run contradiction detection when the underlying inputs have changed. This alone could reduce API calls by 50–70% without affecting signal quality.</w:t>
      </w:r>
    </w:p>
    <w:p>
      <w:r>
        <w:br w:type="page"/>
      </w:r>
    </w:p>
    <w:p>
      <w:pPr>
        <w:pStyle w:val="Heading1"/>
      </w:pPr>
      <w:r>
        <w:t xml:space="preserve">Revenue Acceleration</w:t>
      </w:r>
    </w:p>
    <w:p>
      <w:pPr>
        <w:spacing w:after="200"/>
      </w:pPr>
      <w:r>
        <w:rPr>
          <w:rFonts w:ascii="Arial" w:cs="Arial" w:eastAsia="Arial" w:hAnsi="Arial"/>
          <w:sz w:val="22"/>
          <w:szCs w:val="22"/>
        </w:rPr>
        <w:t xml:space="preserve">Market Agent’s primary revenue role is as a Sentinel query generator. Every paper trade decision triggers $0.035–$0.055 in Sentinel queries. But there are additional revenue angles.</w:t>
      </w:r>
    </w:p>
    <w:p>
      <w:pPr>
        <w:pStyle w:val="Heading2"/>
      </w:pPr>
      <w:r>
        <w:t xml:space="preserve">Direct Sentinel Revenue</w:t>
      </w:r>
    </w:p>
    <w:p>
      <w:pPr>
        <w:spacing w:after="200"/>
      </w:pPr>
      <w:r>
        <w:rPr>
          <w:rFonts w:ascii="Arial" w:cs="Arial" w:eastAsia="Arial" w:hAnsi="Arial"/>
          <w:sz w:val="22"/>
          <w:szCs w:val="22"/>
        </w:rPr>
        <w:t xml:space="preserve">At Phase 3 with 3 pairs monitored and an estimated 10–30 decision objects per day (not every cycle produces a graduated signal), Market Agent generates </w:t>
      </w:r>
      <w:r>
        <w:rPr>
          <w:rFonts w:ascii="Arial" w:cs="Arial" w:eastAsia="Arial" w:hAnsi="Arial"/>
          <w:b/>
          <w:bCs/>
          <w:sz w:val="22"/>
          <w:szCs w:val="22"/>
        </w:rPr>
        <w:t xml:space="preserve">$0.35–$1.65 per day </w:t>
      </w:r>
      <w:r>
        <w:rPr>
          <w:rFonts w:ascii="Arial" w:cs="Arial" w:eastAsia="Arial" w:hAnsi="Arial"/>
          <w:sz w:val="22"/>
          <w:szCs w:val="22"/>
        </w:rPr>
        <w:t xml:space="preserve">in Sentinel queries. This is meaningful as proof of concept but not sufficient revenue alone. The real value is demonstrating the query pattern to other agent builders.</w:t>
      </w:r>
    </w:p>
    <w:p>
      <w:pPr>
        <w:pStyle w:val="Heading2"/>
      </w:pPr>
      <w:r>
        <w:t xml:space="preserve">Multiplier: Other Agents Adopting the Pattern</w:t>
      </w:r>
    </w:p>
    <w:p>
      <w:pPr>
        <w:spacing w:after="200"/>
      </w:pPr>
      <w:r>
        <w:rPr>
          <w:rFonts w:ascii="Arial" w:cs="Arial" w:eastAsia="Arial" w:hAnsi="Arial"/>
          <w:sz w:val="22"/>
          <w:szCs w:val="22"/>
        </w:rPr>
        <w:t xml:space="preserve">When Market Agent’s Sentinel integration is documented and visible, other trading agents in the x402 ecosystem can replicate the same pattern. If 5 agents run similar verification flows, Sentinel’s daily query revenue from trading agents alone reaches $1.75–$8.25/day, or $52–$247/month. This is the path off the free tier.</w:t>
      </w:r>
    </w:p>
    <w:p>
      <w:pPr>
        <w:pStyle w:val="Heading2"/>
      </w:pPr>
      <w:r>
        <w:t xml:space="preserve">Briefing-as-a-Service</w:t>
      </w:r>
    </w:p>
    <w:p>
      <w:pPr>
        <w:spacing w:after="200"/>
      </w:pPr>
      <w:r>
        <w:rPr>
          <w:rFonts w:ascii="Arial" w:cs="Arial" w:eastAsia="Arial" w:hAnsi="Arial"/>
          <w:sz w:val="22"/>
          <w:szCs w:val="22"/>
        </w:rPr>
        <w:t xml:space="preserve">Market Agent’s structured briefings — regime classification, ranked trade ideas with entry zones, signal conflict analysis — are valuable intelligence products independent of the trading execution. Consider exposing the briefing API (already built, currently at /briefing and /briefings endpoints) as a paid service via x402 micropayments, using the same payment infrastructure Sentinel already operates. A single briefing query at $0.01–$0.05 creates a second revenue stream. This requires minimal additional code — the endpoints exist, the x402 payment layer exists in Sentinel’s codebase and can be adapted.</w:t>
      </w:r>
    </w:p>
    <w:p>
      <w:pPr>
        <w:pStyle w:val="Heading2"/>
      </w:pPr>
      <w:r>
        <w:t xml:space="preserve">Phase 4+ Trading Revenue</w:t>
      </w:r>
    </w:p>
    <w:p>
      <w:pPr>
        <w:spacing w:after="200"/>
      </w:pPr>
      <w:r>
        <w:rPr>
          <w:rFonts w:ascii="Arial" w:cs="Arial" w:eastAsia="Arial" w:hAnsi="Arial"/>
          <w:sz w:val="22"/>
          <w:szCs w:val="22"/>
        </w:rPr>
        <w:t xml:space="preserve">Live trading generates actual profit from captured spreads and directional trades. This is the long-term revenue engine but it’s Phase 4+ and should not be counted in near-term planning. The backtesting results from Phase 2 will provide the first reliable estimate of expected trading revenue.</w:t>
      </w:r>
    </w:p>
    <w:p>
      <w:r>
        <w:br w:type="page"/>
      </w:r>
    </w:p>
    <w:p>
      <w:pPr>
        <w:pStyle w:val="Heading1"/>
      </w:pPr>
      <w:r>
        <w:t xml:space="preserve">Public Narrative Playbook</w:t>
      </w:r>
    </w:p>
    <w:p>
      <w:pPr>
        <w:spacing w:after="200"/>
      </w:pPr>
      <w:r>
        <w:rPr>
          <w:rFonts w:ascii="Arial" w:cs="Arial" w:eastAsia="Arial" w:hAnsi="Arial"/>
          <w:sz w:val="22"/>
          <w:szCs w:val="22"/>
        </w:rPr>
        <w:t xml:space="preserve">The integrated system story — Sentinel as the trust layer constraining an autonomous trading agent — is Sentinel’s most compelling go-to-market asset. But telling it too early undermines credibility. The narrative must be staged to match what’s actually proven.</w:t>
      </w:r>
    </w:p>
    <w:p>
      <w:pPr>
        <w:pStyle w:val="Heading2"/>
      </w:pPr>
      <w:r>
        <w:t xml:space="preserve">Stage 1: Weeks 1–4 (Now Through April)</w:t>
      </w:r>
    </w:p>
    <w:p>
      <w:pPr>
        <w:spacing w:after="200"/>
      </w:pPr>
      <w:r>
        <w:rPr>
          <w:rFonts w:ascii="Arial" w:cs="Arial" w:eastAsia="Arial" w:hAnsi="Arial"/>
          <w:b/>
          <w:bCs/>
          <w:sz w:val="22"/>
          <w:szCs w:val="22"/>
        </w:rPr>
        <w:t xml:space="preserve">Narrative: </w:t>
      </w:r>
      <w:r>
        <w:rPr>
          <w:rFonts w:ascii="Arial" w:cs="Arial" w:eastAsia="Arial" w:hAnsi="Arial"/>
          <w:sz w:val="22"/>
          <w:szCs w:val="22"/>
        </w:rPr>
        <w:t xml:space="preserve">Silent. No public mentions of Market Agent. Focus on Sentinel’s community-facing features (session tracking, spending ceiling). The x402 GitHub thread (#1777) is the right venue for Sentinel discussions. Market Agent development stays internal.</w:t>
      </w:r>
    </w:p>
    <w:p>
      <w:pPr>
        <w:spacing w:after="200"/>
      </w:pPr>
      <w:r>
        <w:rPr>
          <w:rFonts w:ascii="Arial" w:cs="Arial" w:eastAsia="Arial" w:hAnsi="Arial"/>
          <w:b/>
          <w:bCs/>
          <w:sz w:val="22"/>
          <w:szCs w:val="22"/>
        </w:rPr>
        <w:t xml:space="preserve">Why: </w:t>
      </w:r>
      <w:r>
        <w:rPr>
          <w:rFonts w:ascii="Arial" w:cs="Arial" w:eastAsia="Arial" w:hAnsi="Arial"/>
          <w:sz w:val="22"/>
          <w:szCs w:val="22"/>
        </w:rPr>
        <w:t xml:space="preserve">You have no signal validation data yet. Talking about an autonomous trading agent before you’ve proven the signals work invites scrutiny you can’t answer. Worse, it could attract the wrong kind of attention (regulators, competitors) before you’re ready.</w:t>
      </w:r>
    </w:p>
    <w:p>
      <w:pPr>
        <w:pStyle w:val="Heading2"/>
      </w:pPr>
      <w:r>
        <w:t xml:space="preserve">Stage 2: Weeks 5–6 (Early May)</w:t>
      </w:r>
    </w:p>
    <w:p>
      <w:pPr>
        <w:spacing w:after="200"/>
      </w:pPr>
      <w:r>
        <w:rPr>
          <w:rFonts w:ascii="Arial" w:cs="Arial" w:eastAsia="Arial" w:hAnsi="Arial"/>
          <w:b/>
          <w:bCs/>
          <w:sz w:val="22"/>
          <w:szCs w:val="22"/>
        </w:rPr>
        <w:t xml:space="preserve">Narrative: </w:t>
      </w:r>
      <w:r>
        <w:rPr>
          <w:rFonts w:ascii="Arial" w:cs="Arial" w:eastAsia="Arial" w:hAnsi="Arial"/>
          <w:sz w:val="22"/>
          <w:szCs w:val="22"/>
        </w:rPr>
        <w:t xml:space="preserve">Soft reveal. After Phase 2 backtesting produces results, share a technical post or thread about “how we use Sentinel to constrain an autonomous agent.” Frame it as a case study in trust-verified agent execution, not as a trading bot announcement. Publish to the x402 community.</w:t>
      </w:r>
    </w:p>
    <w:p>
      <w:pPr>
        <w:spacing w:after="200"/>
      </w:pPr>
      <w:r>
        <w:rPr>
          <w:rFonts w:ascii="Arial" w:cs="Arial" w:eastAsia="Arial" w:hAnsi="Arial"/>
          <w:b/>
          <w:bCs/>
          <w:sz w:val="22"/>
          <w:szCs w:val="22"/>
        </w:rPr>
        <w:t xml:space="preserve">Content: </w:t>
      </w:r>
      <w:r>
        <w:rPr>
          <w:rFonts w:ascii="Arial" w:cs="Arial" w:eastAsia="Arial" w:hAnsi="Arial"/>
          <w:sz w:val="22"/>
          <w:szCs w:val="22"/>
        </w:rPr>
        <w:t xml:space="preserve">Architecture diagram showing the 4-layer pipeline → Sentinel verification → human approval gate. Backtesting methodology (not results — save those for Stage 3). The decision object specification as an example of what agents send to Sentinel.</w:t>
      </w:r>
    </w:p>
    <w:p>
      <w:pPr>
        <w:spacing w:after="200"/>
      </w:pPr>
      <w:r>
        <w:rPr>
          <w:rFonts w:ascii="Arial" w:cs="Arial" w:eastAsia="Arial" w:hAnsi="Arial"/>
          <w:b/>
          <w:bCs/>
          <w:sz w:val="22"/>
          <w:szCs w:val="22"/>
        </w:rPr>
        <w:t xml:space="preserve">Goal: </w:t>
      </w:r>
      <w:r>
        <w:rPr>
          <w:rFonts w:ascii="Arial" w:cs="Arial" w:eastAsia="Arial" w:hAnsi="Arial"/>
          <w:sz w:val="22"/>
          <w:szCs w:val="22"/>
        </w:rPr>
        <w:t xml:space="preserve">Other agent builders see the pattern and ask “how do I do this for my agent?” This directly drives Sentinel integration inquiries.</w:t>
      </w:r>
    </w:p>
    <w:p>
      <w:pPr>
        <w:pStyle w:val="Heading2"/>
      </w:pPr>
      <w:r>
        <w:t xml:space="preserve">Stage 3: Weeks 8–10 (Late May / Early June)</w:t>
      </w:r>
    </w:p>
    <w:p>
      <w:pPr>
        <w:spacing w:after="200"/>
      </w:pPr>
      <w:r>
        <w:rPr>
          <w:rFonts w:ascii="Arial" w:cs="Arial" w:eastAsia="Arial" w:hAnsi="Arial"/>
          <w:b/>
          <w:bCs/>
          <w:sz w:val="22"/>
          <w:szCs w:val="22"/>
        </w:rPr>
        <w:t xml:space="preserve">Narrative: </w:t>
      </w:r>
      <w:r>
        <w:rPr>
          <w:rFonts w:ascii="Arial" w:cs="Arial" w:eastAsia="Arial" w:hAnsi="Arial"/>
          <w:sz w:val="22"/>
          <w:szCs w:val="22"/>
        </w:rPr>
        <w:t xml:space="preserve">Full story. Paper trading results are in. Publish the complete case study: backtesting results, paper trading performance, Sentinel integration metrics, trust progression data. This is the credibility document.</w:t>
      </w:r>
    </w:p>
    <w:p>
      <w:pPr>
        <w:spacing w:after="200"/>
      </w:pPr>
      <w:r>
        <w:rPr>
          <w:rFonts w:ascii="Arial" w:cs="Arial" w:eastAsia="Arial" w:hAnsi="Arial"/>
          <w:b/>
          <w:bCs/>
          <w:sz w:val="22"/>
          <w:szCs w:val="22"/>
        </w:rPr>
        <w:t xml:space="preserve">Content: </w:t>
      </w:r>
      <w:r>
        <w:rPr>
          <w:rFonts w:ascii="Arial" w:cs="Arial" w:eastAsia="Arial" w:hAnsi="Arial"/>
          <w:sz w:val="22"/>
          <w:szCs w:val="22"/>
        </w:rPr>
        <w:t xml:space="preserve">Performance numbers: signal hit rates, paper P&amp;L, Sentinel false positive/negative rates, API cost analysis. The trust progression model: how the system moves from human-reviews-everything to Sentinel-verifies-agent-executes. The revenue model: how many Sentinel queries an active trading agent generates.</w:t>
      </w:r>
    </w:p>
    <w:p>
      <w:pPr>
        <w:spacing w:after="200"/>
      </w:pPr>
      <w:r>
        <w:rPr>
          <w:rFonts w:ascii="Arial" w:cs="Arial" w:eastAsia="Arial" w:hAnsi="Arial"/>
          <w:b/>
          <w:bCs/>
          <w:sz w:val="22"/>
          <w:szCs w:val="22"/>
        </w:rPr>
        <w:t xml:space="preserve">Venues: </w:t>
      </w:r>
      <w:r>
        <w:rPr>
          <w:rFonts w:ascii="Arial" w:cs="Arial" w:eastAsia="Arial" w:hAnsi="Arial"/>
          <w:sz w:val="22"/>
          <w:szCs w:val="22"/>
        </w:rPr>
        <w:t xml:space="preserve">x402 GitHub thread, Base ecosystem channels, a dedicated blog post. If Erik Reppel has responded to the ERC-8004 DM by this point, share the case study directly — it demonstrates exactly the Reputation and Validation layer that ERC-8004 needs.</w:t>
      </w:r>
    </w:p>
    <w:p>
      <w:pPr>
        <w:pStyle w:val="Heading2"/>
      </w:pPr>
      <w:r>
        <w:t xml:space="preserve">Stage 4: Post-Week 10</w:t>
      </w:r>
    </w:p>
    <w:p>
      <w:pPr>
        <w:spacing w:after="200"/>
      </w:pPr>
      <w:r>
        <w:rPr>
          <w:rFonts w:ascii="Arial" w:cs="Arial" w:eastAsia="Arial" w:hAnsi="Arial"/>
          <w:b/>
          <w:bCs/>
          <w:sz w:val="22"/>
          <w:szCs w:val="22"/>
        </w:rPr>
        <w:t xml:space="preserve">Narrative: </w:t>
      </w:r>
      <w:r>
        <w:rPr>
          <w:rFonts w:ascii="Arial" w:cs="Arial" w:eastAsia="Arial" w:hAnsi="Arial"/>
          <w:sz w:val="22"/>
          <w:szCs w:val="22"/>
        </w:rPr>
        <w:t xml:space="preserve">Sentinel + Market Agent as reference implementation. Publish the integration code as open-source. Let other agents fork Market Agent’s Sentinel integration pattern. This is the protocol-path move — Sentinel’s verification pattern becomes the standard because it’s the easiest one to adopt.</w:t>
      </w:r>
    </w:p>
    <w:p>
      <w:r>
        <w:br w:type="page"/>
      </w:r>
    </w:p>
    <w:p>
      <w:pPr>
        <w:pStyle w:val="Heading1"/>
      </w:pPr>
      <w:r>
        <w:t xml:space="preserve">Critical Path Summary</w:t>
      </w:r>
    </w:p>
    <w:p>
      <w:pPr>
        <w:spacing w:after="200"/>
      </w:pPr>
      <w:r>
        <w:rPr>
          <w:rFonts w:ascii="Arial" w:cs="Arial" w:eastAsia="Arial" w:hAnsi="Arial"/>
          <w:sz w:val="22"/>
          <w:szCs w:val="22"/>
        </w:rPr>
        <w:t xml:space="preserve">The entire plan hinges on three non-negotiable gates. If any gate fails, the timeline pauses until it’s resolved.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Blocks</w:t>
            </w:r>
          </w:p>
        </w:tc>
      </w:tr>
      <w:tr>
        <w:tc>
          <w:tcPr>
            <w:tcW w:type="dxa" w:w="1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April 14 (Week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Raw data persistence live + 14 days of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 cannot start without replay data</w:t>
            </w:r>
          </w:p>
        </w:tc>
      </w:tr>
      <w:tr>
        <w:tc>
          <w:tcPr>
            <w:tcW w:type="dxa" w:w="1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May 11 (Week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 least 1 signal type graduates backtesting criteria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 has nothing to trade without a graduated signal</w:t>
            </w:r>
          </w:p>
        </w:tc>
      </w:tr>
      <w:tr>
        <w:tc>
          <w:tcPr>
            <w:tcW w:type="dxa" w:w="1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Gate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June 8 (Week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Paper trading P&amp;L within 20% of backtest expectation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4 (real capital) requires validated expectations</w:t>
            </w:r>
          </w:p>
        </w:tc>
      </w:tr>
    </w:tbl>
    <w:p>
      <w:pPr>
        <w:spacing w:after="300"/>
      </w:pPr>
    </w:p>
    <w:p>
      <w:pPr>
        <w:spacing w:after="200"/>
      </w:pPr>
      <w:r>
        <w:rPr>
          <w:rFonts w:ascii="Arial" w:cs="Arial" w:eastAsia="Arial" w:hAnsi="Arial"/>
          <w:b/>
          <w:bCs/>
          <w:sz w:val="22"/>
          <w:szCs w:val="22"/>
        </w:rPr>
        <w:t xml:space="preserve">The single most important action item is raw data persistence. </w:t>
      </w:r>
      <w:r>
        <w:rPr>
          <w:rFonts w:ascii="Arial" w:cs="Arial" w:eastAsia="Arial" w:hAnsi="Arial"/>
          <w:sz w:val="22"/>
          <w:szCs w:val="22"/>
        </w:rPr>
        <w:t xml:space="preserve">It must be implemented this week. Everything downstream — backtesting, signal validation, strategy graduation, Sentinel integration, the public narrative — depends on having historical data to work with. Every day of delay is 1,440 cycles of irreplaceable data lost.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666666"/>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8"/>
        <w:szCs w:val="18"/>
      </w:rPr>
      <w:t xml:space="preserve">MARKET AGENT</w:t>
    </w:r>
    <w:r>
      <w:rPr>
        <w:rFonts w:ascii="Arial" w:cs="Arial" w:eastAsia="Arial" w:hAnsi="Arial"/>
        <w:color w:val="666666"/>
        <w:sz w:val="18"/>
        <w:szCs w:val="18"/>
      </w:rPr>
      <w:t xml:space="preserve">	Aggressive Production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2026-04-01T03:05:39.511Z</dcterms:created>
  <dcterms:modified xsi:type="dcterms:W3CDTF">2026-04-01T03:05:39.512Z</dcterms:modified>
</cp:coreProperties>
</file>

<file path=docProps/custom.xml><?xml version="1.0" encoding="utf-8"?>
<Properties xmlns="http://schemas.openxmlformats.org/officeDocument/2006/custom-properties" xmlns:vt="http://schemas.openxmlformats.org/officeDocument/2006/docPropsVTypes"/>
</file>