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48"/>
          <w:szCs w:val="48"/>
        </w:rPr>
        <w:t xml:space="preserve">MARKET AGENT</w:t>
      </w:r>
    </w:p>
    <w:p>
      <w:pPr>
        <w:spacing w:after="200"/>
        <w:jc w:val="center"/>
      </w:pPr>
      <w:r>
        <w:rPr>
          <w:rFonts w:ascii="Arial" w:cs="Arial" w:eastAsia="Arial" w:hAnsi="Arial"/>
          <w:color w:val="2E4057"/>
          <w:sz w:val="36"/>
          <w:szCs w:val="36"/>
        </w:rPr>
        <w:t xml:space="preserve">Aggressive Production Plan</w:t>
      </w:r>
    </w:p>
    <w:p>
      <w:pPr>
        <w:spacing w:after="100"/>
        <w:jc w:val="center"/>
      </w:pPr>
      <w:r>
        <w:rPr>
          <w:rFonts w:ascii="Arial" w:cs="Arial" w:eastAsia="Arial" w:hAnsi="Arial"/>
          <w:b/>
          <w:bCs/>
          <w:color w:val="CC0000"/>
          <w:sz w:val="26"/>
          <w:szCs w:val="26"/>
        </w:rPr>
        <w:t xml:space="preserve">v2 — Compressed Timeline with Historical Backfill</w:t>
      </w:r>
    </w:p>
    <w:p>
      <w:pPr>
        <w:spacing w:after="600"/>
        <w:jc w:val="center"/>
      </w:pPr>
      <w:r>
        <w:rPr>
          <w:rFonts w:ascii="Arial" w:cs="Arial" w:eastAsia="Arial" w:hAnsi="Arial"/>
          <w:color w:val="666666"/>
          <w:sz w:val="22"/>
          <w:szCs w:val="22"/>
        </w:rPr>
        <w:t xml:space="preserve">April 1, 2026</w:t>
      </w:r>
    </w:p>
    <w:p>
      <w:pPr>
        <w:jc w:val="center"/>
      </w:pPr>
      <w:r>
        <w:rPr>
          <w:rFonts w:ascii="Arial" w:cs="Arial" w:eastAsia="Arial" w:hAnsi="Arial"/>
          <w:color w:val="999999"/>
          <w:sz w:val="20"/>
          <w:szCs w:val="20"/>
        </w:rPr>
        <w:t xml:space="preserve">Classification: Internal — Engineering &amp; Strategy</w:t>
      </w:r>
    </w:p>
    <w:p>
      <w:pPr>
        <w:spacing w:after="400"/>
        <w:jc w:val="center"/>
      </w:pPr>
      <w:r>
        <w:rPr>
          <w:rFonts w:ascii="Arial" w:cs="Arial" w:eastAsia="Arial" w:hAnsi="Arial"/>
          <w:color w:val="999999"/>
          <w:sz w:val="20"/>
          <w:szCs w:val="20"/>
        </w:rPr>
        <w:t xml:space="preserve">Objective: Compress Phase 1 → Phase 2 → Phase 3 in the shortest defensible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0000" w:sz="6"/>
              <w:right w:val="single" w:color="CC0000" w:sz="6"/>
            </w:tcBorders>
            <w:shd w:fill="FFE0E0" w:val="clear"/>
            <w:tcMar>
              <w:top w:type="dxa" w:w="120"/>
              <w:left w:type="dxa" w:w="200"/>
              <w:bottom w:type="dxa" w:w="120"/>
              <w:right w:type="dxa" w:w="200"/>
            </w:tcMar>
          </w:tcPr>
          <w:p>
            <w:pPr>
              <w:spacing w:after="160"/>
            </w:pPr>
            <w:r>
              <w:rPr>
                <w:rFonts w:ascii="Arial" w:cs="Arial" w:eastAsia="Arial" w:hAnsi="Arial"/>
                <w:b/>
                <w:bCs/>
                <w:color w:val="CC0000"/>
                <w:sz w:val="22"/>
                <w:szCs w:val="22"/>
              </w:rPr>
              <w:t xml:space="preserve">v2 CHANGES FROM v1:</w:t>
            </w:r>
          </w:p>
          <w:p>
            <w:pPr>
              <w:spacing w:after="160"/>
            </w:pPr>
            <w:r>
              <w:rPr>
                <w:rFonts w:ascii="Arial" w:cs="Arial" w:eastAsia="Arial" w:hAnsi="Arial"/>
                <w:b/>
                <w:bCs/>
                <w:sz w:val="22"/>
                <w:szCs w:val="22"/>
              </w:rPr>
              <w:t xml:space="preserve">Timeline compressed from 10 weeks to 7 weeks. </w:t>
            </w:r>
            <w:r>
              <w:rPr>
                <w:rFonts w:ascii="Arial" w:cs="Arial" w:eastAsia="Arial" w:hAnsi="Arial"/>
                <w:sz w:val="22"/>
                <w:szCs w:val="22"/>
              </w:rPr>
              <w:t xml:space="preserve">The 14-day data accumulation gate is eliminated. Historical backfill from free public APIs (Coinbase candles, CoinGecko, FRED, Alchemy on-chain) provides the replay dataset immediately. Backtesting can begin as soon as the backfill pipeline and harness are built, not after two weeks of live collection. Hummingbot learnings (Triple Barrier exit model, realistic fee modeling, CEX/DEX arb realities on L2) are integrated throughout. Gate criteria shift from data volume thresholds to backtest performance metrics.</w:t>
            </w:r>
          </w:p>
        </w:tc>
      </w:tr>
    </w:tbl>
    <w:p>
      <w:r>
        <w:br w:type="page"/>
      </w:r>
    </w:p>
    <w:p>
      <w:pPr>
        <w:pStyle w:val="Heading1"/>
        <w:spacing w:after="200" w:before="360"/>
      </w:pPr>
      <w:r>
        <w:rPr>
          <w:rFonts w:ascii="Arial" w:cs="Arial" w:eastAsia="Arial" w:hAnsi="Arial"/>
          <w:b/>
          <w:bCs/>
          <w:color w:val="1A1A2E"/>
          <w:sz w:val="32"/>
          <w:szCs w:val="32"/>
        </w:rPr>
        <w:t xml:space="preserve">Executive Summary</w:t>
      </w:r>
    </w:p>
    <w:p>
      <w:pPr>
        <w:spacing w:after="160"/>
      </w:pPr>
      <w:r>
        <w:rPr>
          <w:rFonts w:ascii="Arial" w:cs="Arial" w:eastAsia="Arial" w:hAnsi="Arial"/>
          <w:sz w:val="22"/>
          <w:szCs w:val="22"/>
        </w:rPr>
        <w:t xml:space="preserve">Market Agent and Sentinel are one system. Sentinel generates proprietary risk intelligence. Market Agent acts on it. Together they form a vertically integrated information-to-execution pipeline where the Sentinel trust signal constrains the Market Agent’s autonomy — and every Market Agent query is a paying Sentinel transaction. The strategic imperative is to compress the path from intelligence-only (Phase 1) to paper trading with Sentinel verification (Phase 3) as fast as possible without skipping the signal validation that makes the system trustworthy.</w:t>
      </w:r>
    </w:p>
    <w:p>
      <w:pPr>
        <w:spacing w:after="160"/>
      </w:pPr>
      <w:r>
        <w:rPr>
          <w:rFonts w:ascii="Arial" w:cs="Arial" w:eastAsia="Arial" w:hAnsi="Arial"/>
          <w:b/>
          <w:bCs/>
          <w:sz w:val="22"/>
          <w:szCs w:val="22"/>
        </w:rPr>
        <w:t xml:space="preserve">What changed in v2: </w:t>
      </w:r>
      <w:r>
        <w:rPr>
          <w:rFonts w:ascii="Arial" w:cs="Arial" w:eastAsia="Arial" w:hAnsi="Arial"/>
          <w:sz w:val="22"/>
          <w:szCs w:val="22"/>
        </w:rPr>
        <w:t xml:space="preserve">The original plan assumed a 14-day data accumulation period before backtesting could begin. Research identified that free public APIs (Coinbase public candles, CoinGecko historical data, FRED economic indicators, and Alchemy on-chain event logs) can provide months of historical data at zero cost. This eliminates the data accumulation gate entirely. Additionally, learnings from Hummingbot’s open-source trading framework — particularly the Triple Barrier exit method and realistic CEX/DEX arbitrage modeling — strengthen the backtesting methodology. The net result: 3 weeks compressed out of the timeline.</w:t>
      </w:r>
    </w:p>
    <w:p>
      <w:pPr>
        <w:spacing w:after="160"/>
      </w:pPr>
      <w:r>
        <w:rPr>
          <w:rFonts w:ascii="Arial" w:cs="Arial" w:eastAsia="Arial" w:hAnsi="Arial"/>
          <w:b/>
          <w:bCs/>
          <w:sz w:val="22"/>
          <w:szCs w:val="22"/>
        </w:rPr>
        <w:t xml:space="preserve">Timeline target: </w:t>
      </w:r>
      <w:r>
        <w:rPr>
          <w:rFonts w:ascii="Arial" w:cs="Arial" w:eastAsia="Arial" w:hAnsi="Arial"/>
          <w:sz w:val="22"/>
          <w:szCs w:val="22"/>
        </w:rPr>
        <w:t xml:space="preserve">Phase 1 stabilization complete by end of Week 1 (April 7). Phase 2 backtesting engine operational by end of Week 4 (April 27). Phase 3 paper trading with live Sentinel verification by end of Week 7 (May 18). This is aggressive but defensible because: (a) the architecture already supports it — pure function signals, backtesting-ready parameters in the arb module, and a marked Sentinel hook point in the agent orchestrator; and (b) historical backfill eliminates the data dependency that was the primary bottleneck in v1.</w:t>
      </w:r>
    </w:p>
    <w:p>
      <w:pPr>
        <w:pStyle w:val="Heading2"/>
        <w:spacing w:after="160" w:before="280"/>
      </w:pPr>
      <w:r>
        <w:rPr>
          <w:rFonts w:ascii="Arial" w:cs="Arial" w:eastAsia="Arial" w:hAnsi="Arial"/>
          <w:b/>
          <w:bCs/>
          <w:color w:val="2E4057"/>
          <w:sz w:val="26"/>
          <w:szCs w:val="26"/>
        </w:rPr>
        <w:t xml:space="preserve">Timeline Comparison: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v1 Timeline</w:t>
            </w:r>
          </w:p>
        </w:tc>
        <w:tc>
          <w:tcPr>
            <w:tcW w:type="dxa" w:w="2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v2 Timeline</w:t>
            </w:r>
          </w:p>
        </w:tc>
        <w:tc>
          <w:tcPr>
            <w:tcW w:type="dxa" w:w="27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1: Stabilize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1–2 (Apr 1–14)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 (Apr 1–7)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data persistence already done. Backfill replaces live accumulation.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 Backtest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3–6 (Apr 15–May 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2–4 (Apr 8–27)</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data available day 1. Triple Barrier method from Hummingbot replaces naive P&amp;L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 Paper Trade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7–10 (May 12–Jun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5–7 (Apr 28–May 18)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weeks earlier. Same rigor, faster start.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10 weeks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2"/>
                <w:szCs w:val="22"/>
              </w:rPr>
              <w:t xml:space="preserve">7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30% reduction</w:t>
            </w:r>
          </w:p>
        </w:tc>
      </w:tr>
    </w:tbl>
    <w:p>
      <w:pPr>
        <w:spacing w:after="200"/>
      </w:pPr>
    </w:p>
    <w:p>
      <w:r>
        <w:br w:type="page"/>
      </w:r>
    </w:p>
    <w:p>
      <w:pPr>
        <w:pStyle w:val="Heading1"/>
        <w:spacing w:after="200" w:before="360"/>
      </w:pPr>
      <w:r>
        <w:rPr>
          <w:rFonts w:ascii="Arial" w:cs="Arial" w:eastAsia="Arial" w:hAnsi="Arial"/>
          <w:b/>
          <w:bCs/>
          <w:color w:val="1A1A2E"/>
          <w:sz w:val="32"/>
          <w:szCs w:val="32"/>
        </w:rPr>
        <w:t xml:space="preserve">Week-by-Week Build Sequence</w:t>
      </w:r>
    </w:p>
    <w:p>
      <w:pPr>
        <w:pStyle w:val="Heading2"/>
        <w:spacing w:after="160" w:before="280"/>
      </w:pPr>
      <w:r>
        <w:rPr>
          <w:rFonts w:ascii="Arial" w:cs="Arial" w:eastAsia="Arial" w:hAnsi="Arial"/>
          <w:b/>
          <w:bCs/>
          <w:color w:val="2E4057"/>
          <w:sz w:val="26"/>
          <w:szCs w:val="26"/>
        </w:rPr>
        <w:t xml:space="preserve">Phase 1 Completion: Week 1 (April 1–7)</w:t>
      </w:r>
    </w:p>
    <w:p>
      <w:pPr>
        <w:spacing w:after="160"/>
      </w:pPr>
      <w:r>
        <w:rPr>
          <w:rFonts w:ascii="Arial" w:cs="Arial" w:eastAsia="Arial" w:hAnsi="Arial"/>
          <w:sz w:val="22"/>
          <w:szCs w:val="22"/>
        </w:rPr>
        <w:t xml:space="preserve">Goal: Stabilize the intelligence layer, confirm raw data persistence is live, run the historical backfill pipeline, and establish the signal validation baseline. This phase was two weeks in v1 because it included a 14-day data accumulation period. With historical backfill, the accumulation wait is eliminated.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6"/>
              <w:left w:val="single" w:color="28A745" w:sz="6"/>
              <w:bottom w:val="single" w:color="28A745" w:sz="6"/>
              <w:right w:val="single" w:color="28A745" w:sz="6"/>
            </w:tcBorders>
            <w:shd w:fill="D4EDDA" w:val="clear"/>
            <w:tcMar>
              <w:top w:type="dxa" w:w="120"/>
              <w:left w:type="dxa" w:w="200"/>
              <w:bottom w:type="dxa" w:w="120"/>
              <w:right w:type="dxa" w:w="200"/>
            </w:tcMar>
          </w:tcPr>
          <w:p>
            <w:pPr>
              <w:spacing w:after="160"/>
            </w:pPr>
            <w:r>
              <w:rPr>
                <w:rFonts w:ascii="Arial" w:cs="Arial" w:eastAsia="Arial" w:hAnsi="Arial"/>
                <w:b/>
                <w:bCs/>
                <w:sz w:val="22"/>
                <w:szCs w:val="22"/>
              </w:rPr>
              <w:t xml:space="preserve">STATUS: Raw data persistence is already implemented.</w:t>
            </w:r>
            <w:r>
              <w:rPr>
                <w:rFonts w:ascii="Arial" w:cs="Arial" w:eastAsia="Arial" w:hAnsi="Arial"/>
                <w:sz w:val="22"/>
                <w:szCs w:val="22"/>
              </w:rPr>
              <w:t xml:space="preserve"> Migration v4 added ingestion_snapshots, arb_observations, and api_costs tables. agent.js, arbitrage.js, and context.js are all wiring data to these tables. This was the highest-priority item in v1 and it’s done.</w:t>
            </w:r>
          </w:p>
        </w:tc>
      </w:tr>
    </w:tbl>
    <w:p>
      <w:pPr>
        <w:pStyle w:val="Heading3"/>
        <w:spacing w:after="120" w:before="200"/>
      </w:pPr>
      <w:r>
        <w:rPr>
          <w:rFonts w:ascii="Arial" w:cs="Arial" w:eastAsia="Arial" w:hAnsi="Arial"/>
          <w:b/>
          <w:bCs/>
          <w:color w:val="3D5A80"/>
          <w:sz w:val="22"/>
          <w:szCs w:val="22"/>
        </w:rPr>
        <w:t xml:space="preserve">Week 1 Tasks</w:t>
      </w:r>
    </w:p>
    <w:p>
      <w:pPr>
        <w:pStyle w:val="ListParagraph"/>
        <w:numPr>
          <w:ilvl w:val="0"/>
          <w:numId w:val="2"/>
        </w:numPr>
        <w:spacing w:after="80"/>
      </w:pPr>
      <w:r>
        <w:rPr>
          <w:rFonts w:ascii="Arial" w:cs="Arial" w:eastAsia="Arial" w:hAnsi="Arial"/>
          <w:b/>
          <w:bCs/>
          <w:sz w:val="22"/>
          <w:szCs w:val="22"/>
        </w:rPr>
        <w:t xml:space="preserve">Historical backfill pipeline (Claude Code building now): </w:t>
      </w:r>
      <w:r>
        <w:rPr>
          <w:rFonts w:ascii="Arial" w:cs="Arial" w:eastAsia="Arial" w:hAnsi="Arial"/>
          <w:sz w:val="22"/>
          <w:szCs w:val="22"/>
        </w:rPr>
        <w:t xml:space="preserve">Ingest 90+ days of historical data from four free sources: Coinbase public candles (BTC, ETH, AERO — no auth required), CoinGecko historical OHLCV (free tier, 30 calls/min), FRED economic indicators (DFF, T10Y2Y, DTWEXBGS, CPIAUCSL, VIXCLS — free API key), and Aerodrome on-chain events via Alchemy eth_getLogs (existing key, free tier). Output lands in ingestion_snapshots table in the same format the live pipeline produces.</w:t>
      </w:r>
    </w:p>
    <w:p>
      <w:pPr>
        <w:pStyle w:val="ListParagraph"/>
        <w:numPr>
          <w:ilvl w:val="0"/>
          <w:numId w:val="2"/>
        </w:numPr>
        <w:spacing w:after="80"/>
      </w:pPr>
      <w:r>
        <w:rPr>
          <w:rFonts w:ascii="Arial" w:cs="Arial" w:eastAsia="Arial" w:hAnsi="Arial"/>
          <w:b/>
          <w:bCs/>
          <w:sz w:val="22"/>
          <w:szCs w:val="22"/>
        </w:rPr>
        <w:t xml:space="preserve">Backtesting harness (Claude Code building now): </w:t>
      </w:r>
      <w:r>
        <w:rPr>
          <w:rFonts w:ascii="Arial" w:cs="Arial" w:eastAsia="Arial" w:hAnsi="Arial"/>
          <w:sz w:val="22"/>
          <w:szCs w:val="22"/>
        </w:rPr>
        <w:t xml:space="preserve">Data loader that reads historical snapshots and replays them through the signal engine. Implements the Triple Barrier exit model (from Hummingbot / Marcos Lopez de Prado): stop loss + take profit + time limit exit conditions. Includes realistic fee modeling for Base L2: gas costs ($0.01–$0.05), Aerodrome swap fees (0.3% volatile pools), and slippage estimates (0.1–0.3% for cbBTC pools).</w:t>
      </w:r>
    </w:p>
    <w:p>
      <w:pPr>
        <w:pStyle w:val="ListParagraph"/>
        <w:numPr>
          <w:ilvl w:val="0"/>
          <w:numId w:val="2"/>
        </w:numPr>
        <w:spacing w:after="80"/>
      </w:pPr>
      <w:r>
        <w:rPr>
          <w:rFonts w:ascii="Arial" w:cs="Arial" w:eastAsia="Arial" w:hAnsi="Arial"/>
          <w:b/>
          <w:bCs/>
          <w:sz w:val="22"/>
          <w:szCs w:val="22"/>
        </w:rPr>
        <w:t xml:space="preserve">Cycle health monitoring: </w:t>
      </w:r>
      <w:r>
        <w:rPr>
          <w:rFonts w:ascii="Arial" w:cs="Arial" w:eastAsia="Arial" w:hAnsi="Arial"/>
          <w:sz w:val="22"/>
          <w:szCs w:val="22"/>
        </w:rPr>
        <w:t xml:space="preserve">Add a cycle_metrics table capturing per-cycle duration, sources responding, signals generated, Claude API latency, and any layer failures. Surface on the dashboard. This is the reliability baseline for Phase 2.</w:t>
      </w:r>
    </w:p>
    <w:p>
      <w:pPr>
        <w:pStyle w:val="ListParagraph"/>
        <w:numPr>
          <w:ilvl w:val="0"/>
          <w:numId w:val="2"/>
        </w:numPr>
        <w:spacing w:after="80"/>
      </w:pPr>
      <w:r>
        <w:rPr>
          <w:rFonts w:ascii="Arial" w:cs="Arial" w:eastAsia="Arial" w:hAnsi="Arial"/>
          <w:b/>
          <w:bCs/>
          <w:sz w:val="22"/>
          <w:szCs w:val="22"/>
        </w:rPr>
        <w:t xml:space="preserve">Stabilize all 7 data sources: </w:t>
      </w:r>
      <w:r>
        <w:rPr>
          <w:rFonts w:ascii="Arial" w:cs="Arial" w:eastAsia="Arial" w:hAnsi="Arial"/>
          <w:sz w:val="22"/>
          <w:szCs w:val="22"/>
        </w:rPr>
        <w:t xml:space="preserve">Run the agent continuously. Document which sources fail, how often, and whether graceful degradation works as designed. Fix any sources that fail more than 10% of cycles.</w:t>
      </w:r>
    </w:p>
    <w:p>
      <w:pPr>
        <w:spacing w:after="160"/>
      </w:pPr>
      <w:r>
        <w:rPr>
          <w:rFonts w:ascii="Arial" w:cs="Arial" w:eastAsia="Arial" w:hAnsi="Arial"/>
          <w:b/>
          <w:bCs/>
          <w:sz w:val="22"/>
          <w:szCs w:val="22"/>
        </w:rPr>
        <w:t xml:space="preserve">Phase 1 checkpoint (April 7): </w:t>
      </w:r>
      <w:r>
        <w:rPr>
          <w:rFonts w:ascii="Arial" w:cs="Arial" w:eastAsia="Arial" w:hAnsi="Arial"/>
          <w:sz w:val="22"/>
          <w:szCs w:val="22"/>
        </w:rPr>
        <w:t xml:space="preserve">You should have: (a) raw data persistence confirmed live, (b) historical backfill complete with 90+ days across all four sources, (c) backtesting harness running signal replays against historical data, (d) cycle health baseline established. If the backfill or harness aren’t ready, Phase 2 work continues on them — but with historical data available, the gate is no longer calendar-bound.</w:t>
      </w:r>
    </w:p>
    <w:p>
      <w:r>
        <w:br w:type="page"/>
      </w:r>
    </w:p>
    <w:p>
      <w:pPr>
        <w:pStyle w:val="Heading2"/>
        <w:spacing w:after="160" w:before="280"/>
      </w:pPr>
      <w:r>
        <w:rPr>
          <w:rFonts w:ascii="Arial" w:cs="Arial" w:eastAsia="Arial" w:hAnsi="Arial"/>
          <w:b/>
          <w:bCs/>
          <w:color w:val="2E4057"/>
          <w:sz w:val="26"/>
          <w:szCs w:val="26"/>
        </w:rPr>
        <w:t xml:space="preserve">Phase 2: Backtesting Engine — Weeks 2–4 (April 8–27)</w:t>
      </w:r>
    </w:p>
    <w:p>
      <w:pPr>
        <w:spacing w:after="160"/>
      </w:pPr>
      <w:r>
        <w:rPr>
          <w:rFonts w:ascii="Arial" w:cs="Arial" w:eastAsia="Arial" w:hAnsi="Arial"/>
          <w:sz w:val="22"/>
          <w:szCs w:val="22"/>
        </w:rPr>
        <w:t xml:space="preserve">Goal: Validate signals against historical data, optimize strategy parameters, and establish graduation criteria. This phase starts immediately after backfill completes — no waiting for live data to accumulate.</w:t>
      </w:r>
    </w:p>
    <w:p>
      <w:pPr>
        <w:pStyle w:val="Heading3"/>
        <w:spacing w:after="120" w:before="200"/>
      </w:pPr>
      <w:r>
        <w:rPr>
          <w:rFonts w:ascii="Arial" w:cs="Arial" w:eastAsia="Arial" w:hAnsi="Arial"/>
          <w:b/>
          <w:bCs/>
          <w:color w:val="3D5A80"/>
          <w:sz w:val="22"/>
          <w:szCs w:val="22"/>
        </w:rPr>
        <w:t xml:space="preserve">Week 2 (April 8–14)</w:t>
      </w:r>
    </w:p>
    <w:p>
      <w:pPr>
        <w:pStyle w:val="ListParagraph"/>
        <w:numPr>
          <w:ilvl w:val="0"/>
          <w:numId w:val="3"/>
        </w:numPr>
        <w:spacing w:after="80"/>
      </w:pPr>
      <w:r>
        <w:rPr>
          <w:rFonts w:ascii="Arial" w:cs="Arial" w:eastAsia="Arial" w:hAnsi="Arial"/>
          <w:b/>
          <w:bCs/>
          <w:sz w:val="22"/>
          <w:szCs w:val="22"/>
        </w:rPr>
        <w:t xml:space="preserve">Signal replay at scale: </w:t>
      </w:r>
      <w:r>
        <w:rPr>
          <w:rFonts w:ascii="Arial" w:cs="Arial" w:eastAsia="Arial" w:hAnsi="Arial"/>
          <w:sz w:val="22"/>
          <w:szCs w:val="22"/>
        </w:rPr>
        <w:t xml:space="preserve">Run the full signal engine (trend, reversion, volatility, arbitrage, onchain) against the 90-day historical dataset. The arbitrage module already accepts inputPrices and inputHistory parameters for exactly this purpose. Every other signal module is a pure function that operates on data points — no live dependencies.</w:t>
      </w:r>
    </w:p>
    <w:p>
      <w:pPr>
        <w:pStyle w:val="ListParagraph"/>
        <w:numPr>
          <w:ilvl w:val="0"/>
          <w:numId w:val="3"/>
        </w:numPr>
        <w:spacing w:after="80"/>
      </w:pPr>
      <w:r>
        <w:rPr>
          <w:rFonts w:ascii="Arial" w:cs="Arial" w:eastAsia="Arial" w:hAnsi="Arial"/>
          <w:b/>
          <w:bCs/>
          <w:sz w:val="22"/>
          <w:szCs w:val="22"/>
        </w:rPr>
        <w:t xml:space="preserve">Triple Barrier backtesting: </w:t>
      </w:r>
      <w:r>
        <w:rPr>
          <w:rFonts w:ascii="Arial" w:cs="Arial" w:eastAsia="Arial" w:hAnsi="Arial"/>
          <w:sz w:val="22"/>
          <w:szCs w:val="22"/>
        </w:rPr>
        <w:t xml:space="preserve">For each signal that fires, apply the Triple Barrier exit model: (a) stop loss at configurable percentage below entry, (b) take profit at configurable percentage above entry, (c) time limit exit after N candles. Record which barrier was hit and compute P&amp;L. This replaces v1’s naive "enter at mid of entry zone, exit after N candles" model with a methodology proven in production trading systems.</w:t>
      </w:r>
    </w:p>
    <w:p>
      <w:pPr>
        <w:pStyle w:val="ListParagraph"/>
        <w:numPr>
          <w:ilvl w:val="0"/>
          <w:numId w:val="3"/>
        </w:numPr>
        <w:spacing w:after="80"/>
      </w:pPr>
      <w:r>
        <w:rPr>
          <w:rFonts w:ascii="Arial" w:cs="Arial" w:eastAsia="Arial" w:hAnsi="Arial"/>
          <w:b/>
          <w:bCs/>
          <w:sz w:val="22"/>
          <w:szCs w:val="22"/>
        </w:rPr>
        <w:t xml:space="preserve">Dashboard upgrade: </w:t>
      </w:r>
      <w:r>
        <w:rPr>
          <w:rFonts w:ascii="Arial" w:cs="Arial" w:eastAsia="Arial" w:hAnsi="Arial"/>
          <w:sz w:val="22"/>
          <w:szCs w:val="22"/>
        </w:rPr>
        <w:t xml:space="preserve">Add arb spread chart (historical spread_bps over time), cycle health timeline (green/yellow/red per cycle), and API cost running total. The dashboard becomes the daily operational tool.</w:t>
      </w:r>
    </w:p>
    <w:p>
      <w:pPr>
        <w:pStyle w:val="Heading3"/>
        <w:spacing w:after="120" w:before="200"/>
      </w:pPr>
      <w:r>
        <w:rPr>
          <w:rFonts w:ascii="Arial" w:cs="Arial" w:eastAsia="Arial" w:hAnsi="Arial"/>
          <w:b/>
          <w:bCs/>
          <w:color w:val="3D5A80"/>
          <w:sz w:val="22"/>
          <w:szCs w:val="22"/>
        </w:rPr>
        <w:t xml:space="preserve">Week 3 (April 15–21)</w:t>
      </w:r>
    </w:p>
    <w:p>
      <w:pPr>
        <w:pStyle w:val="ListParagraph"/>
        <w:numPr>
          <w:ilvl w:val="0"/>
          <w:numId w:val="4"/>
        </w:numPr>
        <w:spacing w:after="80"/>
      </w:pPr>
      <w:r>
        <w:rPr>
          <w:rFonts w:ascii="Arial" w:cs="Arial" w:eastAsia="Arial" w:hAnsi="Arial"/>
          <w:b/>
          <w:bCs/>
          <w:sz w:val="22"/>
          <w:szCs w:val="22"/>
        </w:rPr>
        <w:t xml:space="preserve">Signal weight optimization: </w:t>
      </w:r>
      <w:r>
        <w:rPr>
          <w:rFonts w:ascii="Arial" w:cs="Arial" w:eastAsia="Arial" w:hAnsi="Arial"/>
          <w:sz w:val="22"/>
          <w:szCs w:val="22"/>
        </w:rPr>
        <w:t xml:space="preserve">The scorer currently uses hardcoded weights (trend: 0.30, reversion: 0.20, volatility: 0.15, arbitrage: 0.20, onchain: 0.15). Run the backtest across weight permutations to find optimal allocation. This is where you learn whether the arb signal actually contributes alpha or just noise.</w:t>
      </w:r>
    </w:p>
    <w:p>
      <w:pPr>
        <w:pStyle w:val="ListParagraph"/>
        <w:numPr>
          <w:ilvl w:val="0"/>
          <w:numId w:val="4"/>
        </w:numPr>
        <w:spacing w:after="80"/>
      </w:pPr>
      <w:r>
        <w:rPr>
          <w:rFonts w:ascii="Arial" w:cs="Arial" w:eastAsia="Arial" w:hAnsi="Arial"/>
          <w:b/>
          <w:bCs/>
          <w:sz w:val="22"/>
          <w:szCs w:val="22"/>
        </w:rPr>
        <w:t xml:space="preserve">Qualitative layer replay: </w:t>
      </w:r>
      <w:r>
        <w:rPr>
          <w:rFonts w:ascii="Arial" w:cs="Arial" w:eastAsia="Arial" w:hAnsi="Arial"/>
          <w:sz w:val="22"/>
          <w:szCs w:val="22"/>
        </w:rPr>
        <w:t xml:space="preserve">Replay historical news and macro data through the Claude prompts. Compare regime classifications against what actually happened. This validates the conviction modifier — does the ±30% adjustment improve or degrade performance? Note: qualitative replay uses Claude API calls and incurs cost. Budget this carefully and run against a representative sample, not the full 90-day dataset.</w:t>
      </w:r>
    </w:p>
    <w:p>
      <w:pPr>
        <w:pStyle w:val="ListParagraph"/>
        <w:numPr>
          <w:ilvl w:val="0"/>
          <w:numId w:val="4"/>
        </w:numPr>
        <w:spacing w:after="80"/>
      </w:pPr>
      <w:r>
        <w:rPr>
          <w:rFonts w:ascii="Arial" w:cs="Arial" w:eastAsia="Arial" w:hAnsi="Arial"/>
          <w:b/>
          <w:bCs/>
          <w:sz w:val="22"/>
          <w:szCs w:val="22"/>
        </w:rPr>
        <w:t xml:space="preserve">Arb signal deep validation: </w:t>
      </w:r>
      <w:r>
        <w:rPr>
          <w:rFonts w:ascii="Arial" w:cs="Arial" w:eastAsia="Arial" w:hAnsi="Arial"/>
          <w:sz w:val="22"/>
          <w:szCs w:val="22"/>
        </w:rPr>
        <w:t xml:space="preserve">Cross-reference historical arb observations against on-chain Aerodrome swap events from the same time windows. Did real arbitrage actually occur when Market Agent’s signal fired? This is the strongest possible validation — comparing the signal against actual market activity, not just price movements.</w:t>
      </w:r>
    </w:p>
    <w:p>
      <w:pPr>
        <w:pStyle w:val="Heading3"/>
        <w:spacing w:after="120" w:before="200"/>
      </w:pPr>
      <w:r>
        <w:rPr>
          <w:rFonts w:ascii="Arial" w:cs="Arial" w:eastAsia="Arial" w:hAnsi="Arial"/>
          <w:b/>
          <w:bCs/>
          <w:color w:val="3D5A80"/>
          <w:sz w:val="22"/>
          <w:szCs w:val="22"/>
        </w:rPr>
        <w:t xml:space="preserve">Week 4 (April 22–27)</w:t>
      </w:r>
    </w:p>
    <w:p>
      <w:pPr>
        <w:pStyle w:val="ListParagraph"/>
        <w:numPr>
          <w:ilvl w:val="0"/>
          <w:numId w:val="5"/>
        </w:numPr>
        <w:spacing w:after="80"/>
      </w:pPr>
      <w:r>
        <w:rPr>
          <w:rFonts w:ascii="Arial" w:cs="Arial" w:eastAsia="Arial" w:hAnsi="Arial"/>
          <w:b/>
          <w:bCs/>
          <w:sz w:val="22"/>
          <w:szCs w:val="22"/>
        </w:rPr>
        <w:t xml:space="preserve">Strategy graduation criteria: </w:t>
      </w:r>
      <w:r>
        <w:rPr>
          <w:rFonts w:ascii="Arial" w:cs="Arial" w:eastAsia="Arial" w:hAnsi="Arial"/>
          <w:sz w:val="22"/>
          <w:szCs w:val="22"/>
        </w:rPr>
        <w:t xml:space="preserve">Define minimum performance thresholds for Phase 3 promotion. Proposed criteria: (a) positive expected value over 30+ observations, (b) Sharpe ratio above 1.0, (c) max drawdown below 15%, (d) hit rate above 40% for directional signals. These are starting points — adjust based on backtest results.</w:t>
      </w:r>
    </w:p>
    <w:p>
      <w:pPr>
        <w:pStyle w:val="ListParagraph"/>
        <w:numPr>
          <w:ilvl w:val="0"/>
          <w:numId w:val="5"/>
        </w:numPr>
        <w:spacing w:after="80"/>
      </w:pPr>
      <w:r>
        <w:rPr>
          <w:rFonts w:ascii="Arial" w:cs="Arial" w:eastAsia="Arial" w:hAnsi="Arial"/>
          <w:b/>
          <w:bCs/>
          <w:sz w:val="22"/>
          <w:szCs w:val="22"/>
        </w:rPr>
        <w:t xml:space="preserve">Signal report card: </w:t>
      </w:r>
      <w:r>
        <w:rPr>
          <w:rFonts w:ascii="Arial" w:cs="Arial" w:eastAsia="Arial" w:hAnsi="Arial"/>
          <w:sz w:val="22"/>
          <w:szCs w:val="22"/>
        </w:rPr>
        <w:t xml:space="preserve">Generate a per-signal-type performance report. This becomes the evidence base for which signals are ready for Phase 3 and which need more development.</w:t>
      </w:r>
    </w:p>
    <w:p>
      <w:pPr>
        <w:pStyle w:val="ListParagraph"/>
        <w:numPr>
          <w:ilvl w:val="0"/>
          <w:numId w:val="5"/>
        </w:numPr>
        <w:spacing w:after="80"/>
      </w:pPr>
      <w:r>
        <w:rPr>
          <w:rFonts w:ascii="Arial" w:cs="Arial" w:eastAsia="Arial" w:hAnsi="Arial"/>
          <w:b/>
          <w:bCs/>
          <w:sz w:val="22"/>
          <w:szCs w:val="22"/>
        </w:rPr>
        <w:t xml:space="preserve">Sentinel decision object draft: </w:t>
      </w:r>
      <w:r>
        <w:rPr>
          <w:rFonts w:ascii="Arial" w:cs="Arial" w:eastAsia="Arial" w:hAnsi="Arial"/>
          <w:sz w:val="22"/>
          <w:szCs w:val="22"/>
        </w:rPr>
        <w:t xml:space="preserve">Using backtest results, define the exact fields and format for what Market Agent sends to Sentinel at the Phase 3 hook point (detailed specification in Section 4).</w:t>
      </w:r>
    </w:p>
    <w:p>
      <w:pPr>
        <w:pStyle w:val="ListParagraph"/>
        <w:numPr>
          <w:ilvl w:val="0"/>
          <w:numId w:val="5"/>
        </w:numPr>
        <w:spacing w:after="80"/>
      </w:pPr>
      <w:r>
        <w:rPr>
          <w:rFonts w:ascii="Arial" w:cs="Arial" w:eastAsia="Arial" w:hAnsi="Arial"/>
          <w:b/>
          <w:bCs/>
          <w:sz w:val="22"/>
          <w:szCs w:val="22"/>
        </w:rPr>
        <w:t xml:space="preserve">Phase 2 checkpoint (April 27): </w:t>
      </w:r>
      <w:r>
        <w:rPr>
          <w:rFonts w:ascii="Arial" w:cs="Arial" w:eastAsia="Arial" w:hAnsi="Arial"/>
          <w:sz w:val="22"/>
          <w:szCs w:val="22"/>
        </w:rPr>
        <w:t xml:space="preserve">Compile backtest results. Review signal report cards. Make go/no-go decision on each signal type for Phase 3 promotion. It is acceptable — and likely — that not all five signal types graduate. The arb signal is the most likely to graduate first.</w:t>
      </w:r>
    </w:p>
    <w:p>
      <w:r>
        <w:br w:type="page"/>
      </w:r>
    </w:p>
    <w:p>
      <w:pPr>
        <w:pStyle w:val="Heading2"/>
        <w:spacing w:after="160" w:before="280"/>
      </w:pPr>
      <w:r>
        <w:rPr>
          <w:rFonts w:ascii="Arial" w:cs="Arial" w:eastAsia="Arial" w:hAnsi="Arial"/>
          <w:b/>
          <w:bCs/>
          <w:color w:val="2E4057"/>
          <w:sz w:val="26"/>
          <w:szCs w:val="26"/>
        </w:rPr>
        <w:t xml:space="preserve">Phase 3: Paper Trading with Sentinel — Weeks 5–7 (April 28 — May 18)</w:t>
      </w:r>
    </w:p>
    <w:p>
      <w:pPr>
        <w:spacing w:after="160"/>
      </w:pPr>
      <w:r>
        <w:rPr>
          <w:rFonts w:ascii="Arial" w:cs="Arial" w:eastAsia="Arial" w:hAnsi="Arial"/>
          <w:sz w:val="22"/>
          <w:szCs w:val="22"/>
        </w:rPr>
        <w:t xml:space="preserve">Goal: Execute paper trades verified by Sentinel. Establish the trust progression model. Generate real Sentinel queries. This phase is unchanged in scope from v1 — it just starts 3 weeks earlier.</w:t>
      </w:r>
    </w:p>
    <w:p>
      <w:pPr>
        <w:pStyle w:val="Heading3"/>
        <w:spacing w:after="120" w:before="200"/>
      </w:pPr>
      <w:r>
        <w:rPr>
          <w:rFonts w:ascii="Arial" w:cs="Arial" w:eastAsia="Arial" w:hAnsi="Arial"/>
          <w:b/>
          <w:bCs/>
          <w:color w:val="3D5A80"/>
          <w:sz w:val="22"/>
          <w:szCs w:val="22"/>
        </w:rPr>
        <w:t xml:space="preserve">Week 5 (April 28 — May 4)</w:t>
      </w:r>
    </w:p>
    <w:p>
      <w:pPr>
        <w:pStyle w:val="ListParagraph"/>
        <w:numPr>
          <w:ilvl w:val="0"/>
          <w:numId w:val="6"/>
        </w:numPr>
        <w:spacing w:after="80"/>
      </w:pPr>
      <w:r>
        <w:rPr>
          <w:rFonts w:ascii="Arial" w:cs="Arial" w:eastAsia="Arial" w:hAnsi="Arial"/>
          <w:b/>
          <w:bCs/>
          <w:sz w:val="22"/>
          <w:szCs w:val="22"/>
        </w:rPr>
        <w:t xml:space="preserve">Sentinel integration live: </w:t>
      </w:r>
      <w:r>
        <w:rPr>
          <w:rFonts w:ascii="Arial" w:cs="Arial" w:eastAsia="Arial" w:hAnsi="Arial"/>
          <w:sz w:val="22"/>
          <w:szCs w:val="22"/>
        </w:rPr>
        <w:t xml:space="preserve">The Phase 3 hook point in agent.js calls Sentinel’s /verify endpoint with the decision object. Sentinel returns verdict, grade, score, risk flags, and spending ceiling. Market Agent logs the full exchange.</w:t>
      </w:r>
    </w:p>
    <w:p>
      <w:pPr>
        <w:pStyle w:val="ListParagraph"/>
        <w:numPr>
          <w:ilvl w:val="0"/>
          <w:numId w:val="6"/>
        </w:numPr>
        <w:spacing w:after="80"/>
      </w:pPr>
      <w:r>
        <w:rPr>
          <w:rFonts w:ascii="Arial" w:cs="Arial" w:eastAsia="Arial" w:hAnsi="Arial"/>
          <w:b/>
          <w:bCs/>
          <w:sz w:val="22"/>
          <w:szCs w:val="22"/>
        </w:rPr>
        <w:t xml:space="preserve">Paper trading engine: </w:t>
      </w:r>
      <w:r>
        <w:rPr>
          <w:rFonts w:ascii="Arial" w:cs="Arial" w:eastAsia="Arial" w:hAnsi="Arial"/>
          <w:sz w:val="22"/>
          <w:szCs w:val="22"/>
        </w:rPr>
        <w:t xml:space="preserve">Track virtual positions. On each cycle, if a graduated signal fires and Sentinel approves, open a paper position. Track entry, exit, P&amp;L, and Sentinel’s assessment at time of entry.</w:t>
      </w:r>
    </w:p>
    <w:p>
      <w:pPr>
        <w:pStyle w:val="ListParagraph"/>
        <w:numPr>
          <w:ilvl w:val="0"/>
          <w:numId w:val="6"/>
        </w:numPr>
        <w:spacing w:after="80"/>
      </w:pPr>
      <w:r>
        <w:rPr>
          <w:rFonts w:ascii="Arial" w:cs="Arial" w:eastAsia="Arial" w:hAnsi="Arial"/>
          <w:b/>
          <w:bCs/>
          <w:sz w:val="22"/>
          <w:szCs w:val="22"/>
        </w:rPr>
        <w:t xml:space="preserve">Human approval gate v1: </w:t>
      </w:r>
      <w:r>
        <w:rPr>
          <w:rFonts w:ascii="Arial" w:cs="Arial" w:eastAsia="Arial" w:hAnsi="Arial"/>
          <w:sz w:val="22"/>
          <w:szCs w:val="22"/>
        </w:rPr>
        <w:t xml:space="preserve">All paper trades require human approval via the dashboard. Display: the trade idea, Sentinel’s verdict, confidence scores, and a one-click approve/reject interface.</w:t>
      </w:r>
    </w:p>
    <w:p>
      <w:pPr>
        <w:pStyle w:val="Heading3"/>
        <w:spacing w:after="120" w:before="200"/>
      </w:pPr>
      <w:r>
        <w:rPr>
          <w:rFonts w:ascii="Arial" w:cs="Arial" w:eastAsia="Arial" w:hAnsi="Arial"/>
          <w:b/>
          <w:bCs/>
          <w:color w:val="3D5A80"/>
          <w:sz w:val="22"/>
          <w:szCs w:val="22"/>
        </w:rPr>
        <w:t xml:space="preserve">Weeks 6–7 (May 5–18)</w:t>
      </w:r>
    </w:p>
    <w:p>
      <w:pPr>
        <w:pStyle w:val="ListParagraph"/>
        <w:numPr>
          <w:ilvl w:val="0"/>
          <w:numId w:val="7"/>
        </w:numPr>
        <w:spacing w:after="80"/>
      </w:pPr>
      <w:r>
        <w:rPr>
          <w:rFonts w:ascii="Arial" w:cs="Arial" w:eastAsia="Arial" w:hAnsi="Arial"/>
          <w:b/>
          <w:bCs/>
          <w:sz w:val="22"/>
          <w:szCs w:val="22"/>
        </w:rPr>
        <w:t xml:space="preserve">Paper trading validation: </w:t>
      </w:r>
      <w:r>
        <w:rPr>
          <w:rFonts w:ascii="Arial" w:cs="Arial" w:eastAsia="Arial" w:hAnsi="Arial"/>
          <w:sz w:val="22"/>
          <w:szCs w:val="22"/>
        </w:rPr>
        <w:t xml:space="preserve">Run for 2 weeks of market conditions. Compare paper P&amp;L against backtest expectations. Track Sentinel query patterns, latency, and any false positives/negatives.</w:t>
      </w:r>
    </w:p>
    <w:p>
      <w:pPr>
        <w:pStyle w:val="ListParagraph"/>
        <w:numPr>
          <w:ilvl w:val="0"/>
          <w:numId w:val="7"/>
        </w:numPr>
        <w:spacing w:after="80"/>
      </w:pPr>
      <w:r>
        <w:rPr>
          <w:rFonts w:ascii="Arial" w:cs="Arial" w:eastAsia="Arial" w:hAnsi="Arial"/>
          <w:b/>
          <w:bCs/>
          <w:sz w:val="22"/>
          <w:szCs w:val="22"/>
        </w:rPr>
        <w:t xml:space="preserve">Trust progression data: </w:t>
      </w:r>
      <w:r>
        <w:rPr>
          <w:rFonts w:ascii="Arial" w:cs="Arial" w:eastAsia="Arial" w:hAnsi="Arial"/>
          <w:sz w:val="22"/>
          <w:szCs w:val="22"/>
        </w:rPr>
        <w:t xml:space="preserve">Begin collecting the data needed for trust tier calibration. How often does Sentinel disagree with Market Agent? When Sentinel says DANGER, was it right? When Market Agent overrides a cautious Sentinel score, what happens?</w:t>
      </w:r>
    </w:p>
    <w:p>
      <w:pPr>
        <w:pStyle w:val="ListParagraph"/>
        <w:numPr>
          <w:ilvl w:val="0"/>
          <w:numId w:val="7"/>
        </w:numPr>
        <w:spacing w:after="80"/>
      </w:pPr>
      <w:r>
        <w:rPr>
          <w:rFonts w:ascii="Arial" w:cs="Arial" w:eastAsia="Arial" w:hAnsi="Arial"/>
          <w:b/>
          <w:bCs/>
          <w:sz w:val="22"/>
          <w:szCs w:val="22"/>
        </w:rPr>
        <w:t xml:space="preserve">Sentinel spending ceiling integration: </w:t>
      </w:r>
      <w:r>
        <w:rPr>
          <w:rFonts w:ascii="Arial" w:cs="Arial" w:eastAsia="Arial" w:hAnsi="Arial"/>
          <w:sz w:val="22"/>
          <w:szCs w:val="22"/>
        </w:rPr>
        <w:t xml:space="preserve">Market Agent uses Sentinel’s recommended ceiling to constrain paper position sizes. Validate that the ceiling logic produces reasonable constraints.</w:t>
      </w:r>
    </w:p>
    <w:p>
      <w:pPr>
        <w:pStyle w:val="ListParagraph"/>
        <w:numPr>
          <w:ilvl w:val="0"/>
          <w:numId w:val="7"/>
        </w:numPr>
        <w:spacing w:after="80"/>
      </w:pPr>
      <w:r>
        <w:rPr>
          <w:rFonts w:ascii="Arial" w:cs="Arial" w:eastAsia="Arial" w:hAnsi="Arial"/>
          <w:b/>
          <w:bCs/>
          <w:sz w:val="22"/>
          <w:szCs w:val="22"/>
        </w:rPr>
        <w:t xml:space="preserve">Phase 3 checkpoint (May 18): </w:t>
      </w:r>
      <w:r>
        <w:rPr>
          <w:rFonts w:ascii="Arial" w:cs="Arial" w:eastAsia="Arial" w:hAnsi="Arial"/>
          <w:sz w:val="22"/>
          <w:szCs w:val="22"/>
        </w:rPr>
        <w:t xml:space="preserve">Compile paper trading results. Compare against backtest expectations. Assess Sentinel integration reliability. Make go/no-go decision on whether the system is ready for real capital (Phase 4) or needs another iteration.</w:t>
      </w:r>
    </w:p>
    <w:p>
      <w:r>
        <w:br w:type="page"/>
      </w:r>
    </w:p>
    <w:p>
      <w:pPr>
        <w:pStyle w:val="Heading1"/>
        <w:spacing w:after="200" w:before="360"/>
      </w:pPr>
      <w:r>
        <w:rPr>
          <w:rFonts w:ascii="Arial" w:cs="Arial" w:eastAsia="Arial" w:hAnsi="Arial"/>
          <w:b/>
          <w:bCs/>
          <w:color w:val="1A1A2E"/>
          <w:sz w:val="32"/>
          <w:szCs w:val="32"/>
        </w:rPr>
        <w:t xml:space="preserve">Raw Data Persistence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6"/>
              <w:left w:val="single" w:color="28A745" w:sz="6"/>
              <w:bottom w:val="single" w:color="28A745" w:sz="6"/>
              <w:right w:val="single" w:color="28A745" w:sz="6"/>
            </w:tcBorders>
            <w:shd w:fill="D4EDDA" w:val="clear"/>
            <w:tcMar>
              <w:top w:type="dxa" w:w="120"/>
              <w:left w:type="dxa" w:w="200"/>
              <w:bottom w:type="dxa" w:w="120"/>
              <w:right w:type="dxa" w:w="200"/>
            </w:tcMar>
          </w:tcPr>
          <w:p>
            <w:pPr>
              <w:spacing w:after="160"/>
            </w:pPr>
            <w:r>
              <w:rPr>
                <w:rFonts w:ascii="Arial" w:cs="Arial" w:eastAsia="Arial" w:hAnsi="Arial"/>
                <w:b/>
                <w:bCs/>
                <w:sz w:val="22"/>
                <w:szCs w:val="22"/>
              </w:rPr>
              <w:t xml:space="preserve">STATUS: COMPLETE.</w:t>
            </w:r>
            <w:r>
              <w:rPr>
                <w:rFonts w:ascii="Arial" w:cs="Arial" w:eastAsia="Arial" w:hAnsi="Arial"/>
                <w:sz w:val="22"/>
                <w:szCs w:val="22"/>
              </w:rPr>
              <w:t xml:space="preserve"> Migration v4 is live. Three tables (ingestion_snapshots, arb_observations, api_costs) are created and wired into the pipeline. agent.js persists ingestion snapshots after Layer 1. arbitrage.js persists spread observations. context.js persists API costs with model pricing. All persistence is non-blocking (fire-and-forget with .catch()).</w:t>
            </w:r>
          </w:p>
        </w:tc>
      </w:tr>
    </w:tbl>
    <w:p>
      <w:pPr>
        <w:spacing w:after="160"/>
      </w:pPr>
      <w:r>
        <w:rPr>
          <w:rFonts w:ascii="Arial" w:cs="Arial" w:eastAsia="Arial" w:hAnsi="Arial"/>
          <w:sz w:val="22"/>
          <w:szCs w:val="22"/>
        </w:rPr>
        <w:t xml:space="preserve">The three tables are unchanged from v1. See the original plan for full schema details. The implementation was completed in under 30 minutes on Day 1 — a strong signal that the architecture was well-designed for extension.</w:t>
      </w:r>
    </w:p>
    <w:p>
      <w:pPr>
        <w:pStyle w:val="Heading1"/>
        <w:spacing w:after="200" w:before="360"/>
      </w:pPr>
      <w:r>
        <w:rPr>
          <w:rFonts w:ascii="Arial" w:cs="Arial" w:eastAsia="Arial" w:hAnsi="Arial"/>
          <w:b/>
          <w:bCs/>
          <w:color w:val="1A1A2E"/>
          <w:sz w:val="32"/>
          <w:szCs w:val="32"/>
        </w:rPr>
        <w:t xml:space="preserve">Historical Backfill Strategy (New in v2)</w:t>
      </w:r>
    </w:p>
    <w:p>
      <w:pPr>
        <w:spacing w:after="160"/>
      </w:pPr>
      <w:r>
        <w:rPr>
          <w:rFonts w:ascii="Arial" w:cs="Arial" w:eastAsia="Arial" w:hAnsi="Arial"/>
          <w:sz w:val="22"/>
          <w:szCs w:val="22"/>
        </w:rPr>
        <w:t xml:space="preserve">This section replaces the “wait 14 days for live data” approach from v1. Instead of accumulating data in real-time, we pull months of historical data from free public APIs and load it into the same tables the live pipeline uses.</w:t>
      </w:r>
    </w:p>
    <w:p>
      <w:pPr>
        <w:pStyle w:val="Heading2"/>
        <w:spacing w:after="160" w:before="280"/>
      </w:pPr>
      <w:r>
        <w:rPr>
          <w:rFonts w:ascii="Arial" w:cs="Arial" w:eastAsia="Arial" w:hAnsi="Arial"/>
          <w:b/>
          <w:bCs/>
          <w:color w:val="2E4057"/>
          <w:sz w:val="26"/>
          <w:szCs w:val="26"/>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600"/>
        <w:gridCol w:w="1800"/>
        <w:gridCol w:w="1660"/>
      </w:tblGrid>
      <w:tr>
        <w:tc>
          <w:tcPr>
            <w:tcW w:type="dxa" w:w="18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16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History</w:t>
            </w:r>
          </w:p>
        </w:tc>
        <w:tc>
          <w:tcPr>
            <w:tcW w:type="dxa" w:w="18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16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Coinbase Public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OHLCV candles (BTC, ETH, AERO)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 candles/req</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required</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CoinGecko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OHLCV, market cap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key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DFF, T10Y2Y, DTWEXBGS, CPI, VIX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API key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Alchemy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Aerodrome pool events (eth_getLogs)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chain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key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bl>
    <w:p>
      <w:pPr>
        <w:spacing w:after="200"/>
      </w:pPr>
    </w:p>
    <w:p>
      <w:pPr>
        <w:spacing w:after="160"/>
      </w:pPr>
      <w:r>
        <w:rPr>
          <w:rFonts w:ascii="Arial" w:cs="Arial" w:eastAsia="Arial" w:hAnsi="Arial"/>
          <w:b/>
          <w:bCs/>
          <w:sz w:val="22"/>
          <w:szCs w:val="22"/>
        </w:rPr>
        <w:t xml:space="preserve">Total API cost: $0. </w:t>
      </w:r>
      <w:r>
        <w:rPr>
          <w:rFonts w:ascii="Arial" w:cs="Arial" w:eastAsia="Arial" w:hAnsi="Arial"/>
          <w:sz w:val="22"/>
          <w:szCs w:val="22"/>
        </w:rPr>
        <w:t xml:space="preserve">All four sources are free-tier compatible. Coinbase public candles require no authentication at all. The backfill pipeline is designed to be idempotent (safe to re-run), resumable (picks up where it left off), and logs progress to stdout.</w:t>
      </w:r>
    </w:p>
    <w:p>
      <w:pPr>
        <w:pStyle w:val="Heading2"/>
        <w:spacing w:after="160" w:before="280"/>
      </w:pPr>
      <w:r>
        <w:rPr>
          <w:rFonts w:ascii="Arial" w:cs="Arial" w:eastAsia="Arial" w:hAnsi="Arial"/>
          <w:b/>
          <w:bCs/>
          <w:color w:val="2E4057"/>
          <w:sz w:val="26"/>
          <w:szCs w:val="26"/>
        </w:rPr>
        <w:t xml:space="preserve">Output Format</w:t>
      </w:r>
    </w:p>
    <w:p>
      <w:pPr>
        <w:spacing w:after="160"/>
      </w:pPr>
      <w:r>
        <w:rPr>
          <w:rFonts w:ascii="Arial" w:cs="Arial" w:eastAsia="Arial" w:hAnsi="Arial"/>
          <w:sz w:val="22"/>
          <w:szCs w:val="22"/>
        </w:rPr>
        <w:t xml:space="preserve">Historical data is transformed into the same DataPoint schema the live pipeline produces (createDataPoint from src/schema.js) and stored in ingestion_snapshots as synthetic cycles. This means the backtesting harness reads historical and live data identically — no special cases, no format conversion. The signal engine doesn’t know (or care) whether it’s processing live or historical data.</w:t>
      </w:r>
    </w:p>
    <w:p>
      <w:pPr>
        <w:pStyle w:val="Heading2"/>
        <w:spacing w:after="160" w:before="280"/>
      </w:pPr>
      <w:r>
        <w:rPr>
          <w:rFonts w:ascii="Arial" w:cs="Arial" w:eastAsia="Arial" w:hAnsi="Arial"/>
          <w:b/>
          <w:bCs/>
          <w:color w:val="2E4057"/>
          <w:sz w:val="26"/>
          <w:szCs w:val="26"/>
        </w:rPr>
        <w:t xml:space="preserve">Hummingbot Learnings Integrated</w:t>
      </w:r>
    </w:p>
    <w:p>
      <w:pPr>
        <w:spacing w:after="160"/>
      </w:pPr>
      <w:r>
        <w:rPr>
          <w:rFonts w:ascii="Arial" w:cs="Arial" w:eastAsia="Arial" w:hAnsi="Arial"/>
          <w:sz w:val="22"/>
          <w:szCs w:val="22"/>
        </w:rPr>
        <w:t xml:space="preserve">Research into Hummingbot’s open-source trading framework (Apache 2.0, commercially usable) identified several patterns worth adopting:</w:t>
      </w:r>
    </w:p>
    <w:p>
      <w:pPr>
        <w:pStyle w:val="ListParagraph"/>
        <w:numPr>
          <w:ilvl w:val="0"/>
          <w:numId w:val="8"/>
        </w:numPr>
        <w:spacing w:after="80"/>
      </w:pPr>
      <w:r>
        <w:rPr>
          <w:rFonts w:ascii="Arial" w:cs="Arial" w:eastAsia="Arial" w:hAnsi="Arial"/>
          <w:b/>
          <w:bCs/>
          <w:sz w:val="22"/>
          <w:szCs w:val="22"/>
        </w:rPr>
        <w:t xml:space="preserve">Triple Barrier Method: </w:t>
      </w:r>
      <w:r>
        <w:rPr>
          <w:rFonts w:ascii="Arial" w:cs="Arial" w:eastAsia="Arial" w:hAnsi="Arial"/>
          <w:sz w:val="22"/>
          <w:szCs w:val="22"/>
        </w:rPr>
        <w:t xml:space="preserve">From Marcos Lopez de Prado via Hummingbot’s backtesting framework. Every position has three exit conditions: stop loss (max acceptable loss), take profit (target gain), and time limit (max holding period). Whichever triggers first closes the position. This replaces the naive “exit after N candles” model from v1 and produces more realistic P&amp;L estimates.</w:t>
      </w:r>
    </w:p>
    <w:p>
      <w:pPr>
        <w:pStyle w:val="ListParagraph"/>
        <w:numPr>
          <w:ilvl w:val="0"/>
          <w:numId w:val="8"/>
        </w:numPr>
        <w:spacing w:after="80"/>
      </w:pPr>
      <w:r>
        <w:rPr>
          <w:rFonts w:ascii="Arial" w:cs="Arial" w:eastAsia="Arial" w:hAnsi="Arial"/>
          <w:b/>
          <w:bCs/>
          <w:sz w:val="22"/>
          <w:szCs w:val="22"/>
        </w:rPr>
        <w:t xml:space="preserve">CEX/DEX arb realities on L2: </w:t>
      </w:r>
      <w:r>
        <w:rPr>
          <w:rFonts w:ascii="Arial" w:cs="Arial" w:eastAsia="Arial" w:hAnsi="Arial"/>
          <w:sz w:val="22"/>
          <w:szCs w:val="22"/>
        </w:rPr>
        <w:t xml:space="preserve">Hummingbot’s community data shows pure CEX→DEX arb margins are compressed on L2s (Base, Arbitrum) because of fast block times and active market makers. Our 50bps alert threshold is appropriate — lower thresholds would be eaten by fees. Cross-chain arb (CEX → bridge → DEX) has wider margins but adds bridge risk and latency.</w:t>
      </w:r>
    </w:p>
    <w:p>
      <w:pPr>
        <w:pStyle w:val="ListParagraph"/>
        <w:numPr>
          <w:ilvl w:val="0"/>
          <w:numId w:val="8"/>
        </w:numPr>
        <w:spacing w:after="80"/>
      </w:pPr>
      <w:r>
        <w:rPr>
          <w:rFonts w:ascii="Arial" w:cs="Arial" w:eastAsia="Arial" w:hAnsi="Arial"/>
          <w:b/>
          <w:bCs/>
          <w:sz w:val="22"/>
          <w:szCs w:val="22"/>
        </w:rPr>
        <w:t xml:space="preserve">Fee modeling: </w:t>
      </w:r>
      <w:r>
        <w:rPr>
          <w:rFonts w:ascii="Arial" w:cs="Arial" w:eastAsia="Arial" w:hAnsi="Arial"/>
          <w:sz w:val="22"/>
          <w:szCs w:val="22"/>
        </w:rPr>
        <w:t xml:space="preserve">Hummingbot’s ArbitrageExecutor includes a detailed fee model: maker/taker fees, gas costs, slippage based on order book depth. Our backtesting harness adopts this approach with Base-specific parameters (gas: $0.01–$0.05, Aerodrome swap: 0.3%, slippage: 0.1–0.3%).</w:t>
      </w:r>
    </w:p>
    <w:p>
      <w:pPr>
        <w:pStyle w:val="ListParagraph"/>
        <w:numPr>
          <w:ilvl w:val="0"/>
          <w:numId w:val="8"/>
        </w:numPr>
        <w:spacing w:after="80"/>
      </w:pPr>
      <w:r>
        <w:rPr>
          <w:rFonts w:ascii="Arial" w:cs="Arial" w:eastAsia="Arial" w:hAnsi="Arial"/>
          <w:b/>
          <w:bCs/>
          <w:sz w:val="22"/>
          <w:szCs w:val="22"/>
        </w:rPr>
        <w:t xml:space="preserve">Quants Lab pattern: </w:t>
      </w:r>
      <w:r>
        <w:rPr>
          <w:rFonts w:ascii="Arial" w:cs="Arial" w:eastAsia="Arial" w:hAnsi="Arial"/>
          <w:sz w:val="22"/>
          <w:szCs w:val="22"/>
        </w:rPr>
        <w:t xml:space="preserve">Hummingbot’s Quants Lab (Jupyter notebooks for data collection and analysis) validates the “collect historical → backtest → deploy” workflow we’re building. We’re implementing the same pattern but in JavaScript/Node.js integrated directly into the Market Agent codebase.</w:t>
      </w:r>
    </w:p>
    <w:p>
      <w:r>
        <w:br w:type="page"/>
      </w:r>
    </w:p>
    <w:p>
      <w:pPr>
        <w:pStyle w:val="Heading1"/>
        <w:spacing w:after="200" w:before="360"/>
      </w:pPr>
      <w:r>
        <w:rPr>
          <w:rFonts w:ascii="Arial" w:cs="Arial" w:eastAsia="Arial" w:hAnsi="Arial"/>
          <w:b/>
          <w:bCs/>
          <w:color w:val="1A1A2E"/>
          <w:sz w:val="32"/>
          <w:szCs w:val="32"/>
        </w:rPr>
        <w:t xml:space="preserve">Sentinel Decision Object Specification</w:t>
      </w:r>
    </w:p>
    <w:p>
      <w:pPr>
        <w:spacing w:after="160"/>
      </w:pPr>
      <w:r>
        <w:rPr>
          <w:rFonts w:ascii="Arial" w:cs="Arial" w:eastAsia="Arial" w:hAnsi="Arial"/>
          <w:sz w:val="22"/>
          <w:szCs w:val="22"/>
        </w:rPr>
        <w:t xml:space="preserve">Unchanged from v1. The decision object is what Market Agent sends to Sentinel at the Phase 3 hook point (agent.js lines 79–82). It must map cleanly to Sentinel’s existing endpoint structure while carrying enough context for meaningful risk assessment.</w:t>
      </w:r>
    </w:p>
    <w:p>
      <w:pPr>
        <w:pStyle w:val="Heading2"/>
        <w:spacing w:after="160" w:before="280"/>
      </w:pPr>
      <w:r>
        <w:rPr>
          <w:rFonts w:ascii="Arial" w:cs="Arial" w:eastAsia="Arial" w:hAnsi="Arial"/>
          <w:b/>
          <w:bCs/>
          <w:color w:val="2E4057"/>
          <w:sz w:val="26"/>
          <w:szCs w:val="26"/>
        </w:rPr>
        <w:t xml:space="preserve">Object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1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Agent’s wallet address on Base (caller identity)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"swap" | "provide_liquidity" | "remove_liquidity"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target_contract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Aerodrome pool contract address for the pair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token_in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being sold (maps to Sentinel /token endpoint)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token_out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being bought (maps to Sentinel /token endpoint)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amount_usd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Proposed position size in USD (Sentinel returns ceiling constraint)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direction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 "short" from composite 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0.0–1.0 adjusted composite confidence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regime classification from qualitative 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signal_agreement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0.0–1.0 agreement ratio from scorer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entry_zone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low, mid, high } price levels from briefing engine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thesis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thesis string for audit trail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cycle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 number for cross-referencing with briefing data</w:t>
            </w:r>
          </w:p>
        </w:tc>
      </w:tr>
    </w:tbl>
    <w:p>
      <w:pPr>
        <w:spacing w:after="200"/>
      </w:pPr>
    </w:p>
    <w:p>
      <w:pPr>
        <w:pStyle w:val="Heading2"/>
        <w:spacing w:after="160" w:before="280"/>
      </w:pPr>
      <w:r>
        <w:rPr>
          <w:rFonts w:ascii="Arial" w:cs="Arial" w:eastAsia="Arial" w:hAnsi="Arial"/>
          <w:b/>
          <w:bCs/>
          <w:color w:val="2E4057"/>
          <w:sz w:val="26"/>
          <w:szCs w:val="26"/>
        </w:rPr>
        <w:t xml:space="preserve">Sentinel Endpoint Mapping</w:t>
      </w:r>
    </w:p>
    <w:p>
      <w:pPr>
        <w:spacing w:after="160"/>
      </w:pPr>
      <w:r>
        <w:rPr>
          <w:rFonts w:ascii="Arial" w:cs="Arial" w:eastAsia="Arial" w:hAnsi="Arial"/>
          <w:sz w:val="22"/>
          <w:szCs w:val="22"/>
        </w:rPr>
        <w:t xml:space="preserve">Each decision object triggers a sequence of Sentinel calls. The combined cost per decision is $0.035–$0.055, paid automatically via x402 micropayment.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960"/>
      </w:tblGrid>
      <w:tr>
        <w:tc>
          <w:tcPr>
            <w:tcW w:type="dxa" w:w="24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8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12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9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/verify/contract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target_contract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Pool contract safety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/verify/token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token_in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risk (sell side)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/verify/token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token_out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risk (buy side)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/verify/transaction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decision 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Holistic assessment + ceiling</w:t>
            </w:r>
          </w:p>
        </w:tc>
      </w:tr>
    </w:tbl>
    <w:p>
      <w:pPr>
        <w:spacing w:after="200"/>
      </w:pPr>
    </w:p>
    <w:p>
      <w:pPr>
        <w:pStyle w:val="Heading2"/>
        <w:spacing w:after="160" w:before="280"/>
      </w:pPr>
      <w:r>
        <w:rPr>
          <w:rFonts w:ascii="Arial" w:cs="Arial" w:eastAsia="Arial" w:hAnsi="Arial"/>
          <w:b/>
          <w:bCs/>
          <w:color w:val="2E4057"/>
          <w:sz w:val="26"/>
          <w:szCs w:val="26"/>
        </w:rPr>
        <w:t xml:space="preserve">Sentinel Response Handling</w:t>
      </w:r>
    </w:p>
    <w:p>
      <w:pPr>
        <w:spacing w:after="160"/>
      </w:pPr>
      <w:r>
        <w:rPr>
          <w:rFonts w:ascii="Arial" w:cs="Arial" w:eastAsia="Arial" w:hAnsi="Arial"/>
          <w:sz w:val="22"/>
          <w:szCs w:val="22"/>
        </w:rPr>
        <w:t xml:space="preserve">Market Agent processes Sentinel’s response as follows. If the verdict is SAFE or CAUTION with a score above 70, and the spending ceiling is greater than or equal to the proposed amount_usd, the trade proceeds to the human approval gate. If the verdict is WARNING, the trade is flagged for human review with Sentinel’s risk flags prominently displayed. If the verdict is DANGER, the trade is blocked automatically — no human override in Phase 3. This hard block on DANGER is a trust-building constraint that can be relaxed later as the system proves itself.</w:t>
      </w:r>
    </w:p>
    <w:p>
      <w:r>
        <w:br w:type="page"/>
      </w:r>
    </w:p>
    <w:p>
      <w:pPr>
        <w:pStyle w:val="Heading1"/>
        <w:spacing w:after="200" w:before="360"/>
      </w:pPr>
      <w:r>
        <w:rPr>
          <w:rFonts w:ascii="Arial" w:cs="Arial" w:eastAsia="Arial" w:hAnsi="Arial"/>
          <w:b/>
          <w:bCs/>
          <w:color w:val="1A1A2E"/>
          <w:sz w:val="32"/>
          <w:szCs w:val="32"/>
        </w:rPr>
        <w:t xml:space="preserve">cbBTC/USDC Arbitrage Validation Protocol</w:t>
      </w:r>
    </w:p>
    <w:p>
      <w:pPr>
        <w:spacing w:after="160"/>
      </w:pPr>
      <w:r>
        <w:rPr>
          <w:rFonts w:ascii="Arial" w:cs="Arial" w:eastAsia="Arial" w:hAnsi="Arial"/>
          <w:sz w:val="22"/>
          <w:szCs w:val="22"/>
        </w:rPr>
        <w:t xml:space="preserve">The arbitrage signal is the highest-probability candidate for Phase 3 graduation because it has a concrete, measurable profit mechanism: buy the cheap side, sell the expensive side, capture the spread. But the signal must be validated before any capital is committed. The current alert threshold is 50bps (0.5%) and strong threshold is 100bps (1.0%).</w:t>
      </w:r>
    </w:p>
    <w:p>
      <w:pPr>
        <w:pStyle w:val="Heading2"/>
        <w:spacing w:after="160" w:before="280"/>
      </w:pPr>
      <w:r>
        <w:rPr>
          <w:rFonts w:ascii="Arial" w:cs="Arial" w:eastAsia="Arial" w:hAnsi="Arial"/>
          <w:b/>
          <w:bCs/>
          <w:color w:val="2E4057"/>
          <w:sz w:val="26"/>
          <w:szCs w:val="26"/>
        </w:rPr>
        <w:t xml:space="preserve">Validation Approach (Updated in v2)</w:t>
      </w:r>
    </w:p>
    <w:p>
      <w:pPr>
        <w:spacing w:after="160"/>
      </w:pPr>
      <w:r>
        <w:rPr>
          <w:rFonts w:ascii="Arial" w:cs="Arial" w:eastAsia="Arial" w:hAnsi="Arial"/>
          <w:sz w:val="22"/>
          <w:szCs w:val="22"/>
        </w:rPr>
        <w:t xml:space="preserve">v1 relied on manual logging starting in Week 2. v2 replaces this with </w:t>
      </w:r>
      <w:r>
        <w:rPr>
          <w:rFonts w:ascii="Arial" w:cs="Arial" w:eastAsia="Arial" w:hAnsi="Arial"/>
          <w:b/>
          <w:bCs/>
          <w:sz w:val="22"/>
          <w:szCs w:val="22"/>
        </w:rPr>
        <w:t xml:space="preserve">automated validation against historical on-chain data</w:t>
      </w:r>
      <w:r>
        <w:rPr>
          <w:rFonts w:ascii="Arial" w:cs="Arial" w:eastAsia="Arial" w:hAnsi="Arial"/>
          <w:sz w:val="22"/>
          <w:szCs w:val="22"/>
        </w:rPr>
        <w:t xml:space="preserve">. The backfill pipeline pulls Aerodrome swap events via Alchemy eth_getLogs for the same time windows as the historical price data. This lets us cross-reference: when Market Agent’s arb signal would have fired historically, did real arbitrage swaps actually occur on Aerodrome? This is a much stronger validation than manual spot-checks.</w:t>
      </w:r>
    </w:p>
    <w:p>
      <w:pPr>
        <w:pStyle w:val="Heading2"/>
        <w:spacing w:after="160" w:before="280"/>
      </w:pPr>
      <w:r>
        <w:rPr>
          <w:rFonts w:ascii="Arial" w:cs="Arial" w:eastAsia="Arial" w:hAnsi="Arial"/>
          <w:b/>
          <w:bCs/>
          <w:color w:val="2E4057"/>
          <w:sz w:val="26"/>
          <w:szCs w:val="26"/>
        </w:rPr>
        <w:t xml:space="preserve">Graduation Criteria</w:t>
      </w:r>
    </w:p>
    <w:p>
      <w:pPr>
        <w:spacing w:after="160"/>
      </w:pPr>
      <w:r>
        <w:rPr>
          <w:rFonts w:ascii="Arial" w:cs="Arial" w:eastAsia="Arial" w:hAnsi="Arial"/>
          <w:sz w:val="22"/>
          <w:szCs w:val="22"/>
        </w:rPr>
        <w:t xml:space="preserve">The arb signal graduates to Phase 3 when the following criteria are met over 30+ observations from backtesting:</w:t>
      </w:r>
    </w:p>
    <w:p>
      <w:pPr>
        <w:pStyle w:val="ListParagraph"/>
        <w:numPr>
          <w:ilvl w:val="0"/>
          <w:numId w:val="8"/>
        </w:numPr>
        <w:spacing w:after="80"/>
      </w:pPr>
      <w:r>
        <w:rPr>
          <w:rFonts w:ascii="Arial" w:cs="Arial" w:eastAsia="Arial" w:hAnsi="Arial"/>
          <w:b/>
          <w:bCs/>
          <w:sz w:val="22"/>
          <w:szCs w:val="22"/>
        </w:rPr>
        <w:t xml:space="preserve">Price accuracy: </w:t>
      </w:r>
      <w:r>
        <w:rPr>
          <w:rFonts w:ascii="Arial" w:cs="Arial" w:eastAsia="Arial" w:hAnsi="Arial"/>
          <w:sz w:val="22"/>
          <w:szCs w:val="22"/>
        </w:rPr>
        <w:t xml:space="preserve">CEX and DEX prices in historical data align with actual on-chain pool state within 0.1% at observation timestamps, at least 90% of the time.</w:t>
      </w:r>
    </w:p>
    <w:p>
      <w:pPr>
        <w:pStyle w:val="ListParagraph"/>
        <w:numPr>
          <w:ilvl w:val="0"/>
          <w:numId w:val="8"/>
        </w:numPr>
        <w:spacing w:after="80"/>
      </w:pPr>
      <w:r>
        <w:rPr>
          <w:rFonts w:ascii="Arial" w:cs="Arial" w:eastAsia="Arial" w:hAnsi="Arial"/>
          <w:b/>
          <w:bCs/>
          <w:sz w:val="22"/>
          <w:szCs w:val="22"/>
        </w:rPr>
        <w:t xml:space="preserve">Exploitability rate: </w:t>
      </w:r>
      <w:r>
        <w:rPr>
          <w:rFonts w:ascii="Arial" w:cs="Arial" w:eastAsia="Arial" w:hAnsi="Arial"/>
          <w:sz w:val="22"/>
          <w:szCs w:val="22"/>
        </w:rPr>
        <w:t xml:space="preserve">At least 60% of signals above 50bps represent spreads that could have been captured after accounting for Base gas costs ($0.01–$0.05), Aerodrome swap fees (0.3% for volatile pools), and realistic slippage (0.1–0.3% for cbBTC pools).</w:t>
      </w:r>
    </w:p>
    <w:p>
      <w:pPr>
        <w:pStyle w:val="ListParagraph"/>
        <w:numPr>
          <w:ilvl w:val="0"/>
          <w:numId w:val="8"/>
        </w:numPr>
        <w:spacing w:after="80"/>
      </w:pPr>
      <w:r>
        <w:rPr>
          <w:rFonts w:ascii="Arial" w:cs="Arial" w:eastAsia="Arial" w:hAnsi="Arial"/>
          <w:b/>
          <w:bCs/>
          <w:sz w:val="22"/>
          <w:szCs w:val="22"/>
        </w:rPr>
        <w:t xml:space="preserve">Persistence: </w:t>
      </w:r>
      <w:r>
        <w:rPr>
          <w:rFonts w:ascii="Arial" w:cs="Arial" w:eastAsia="Arial" w:hAnsi="Arial"/>
          <w:sz w:val="22"/>
          <w:szCs w:val="22"/>
        </w:rPr>
        <w:t xml:space="preserve">Spreads persist for at least 2 data points (equivalent to 120 seconds at 60-second granularity) on average. A spread that exists for one cycle and closes before execution is not tradeable.</w:t>
      </w:r>
    </w:p>
    <w:p>
      <w:pPr>
        <w:pStyle w:val="ListParagraph"/>
        <w:numPr>
          <w:ilvl w:val="0"/>
          <w:numId w:val="8"/>
        </w:numPr>
        <w:spacing w:after="80"/>
      </w:pPr>
      <w:r>
        <w:rPr>
          <w:rFonts w:ascii="Arial" w:cs="Arial" w:eastAsia="Arial" w:hAnsi="Arial"/>
          <w:b/>
          <w:bCs/>
          <w:sz w:val="22"/>
          <w:szCs w:val="22"/>
        </w:rPr>
        <w:t xml:space="preserve">Net positive expectation: </w:t>
      </w:r>
      <w:r>
        <w:rPr>
          <w:rFonts w:ascii="Arial" w:cs="Arial" w:eastAsia="Arial" w:hAnsi="Arial"/>
          <w:sz w:val="22"/>
          <w:szCs w:val="22"/>
        </w:rPr>
        <w:t xml:space="preserve">Average net P&amp;L per exploitable signal is positive after all costs. The breakeven spread is approximately 40–60bps (gas + swap fee + slippage), which validates the 50bps alert threshold.</w:t>
      </w:r>
    </w:p>
    <w:p>
      <w:pPr>
        <w:pStyle w:val="Heading2"/>
        <w:spacing w:after="160" w:before="280"/>
      </w:pPr>
      <w:r>
        <w:rPr>
          <w:rFonts w:ascii="Arial" w:cs="Arial" w:eastAsia="Arial" w:hAnsi="Arial"/>
          <w:b/>
          <w:bCs/>
          <w:color w:val="2E4057"/>
          <w:sz w:val="26"/>
          <w:szCs w:val="26"/>
        </w:rPr>
        <w:t xml:space="preserve">Known Risk: Data Lag</w:t>
      </w:r>
    </w:p>
    <w:p>
      <w:pPr>
        <w:spacing w:after="160"/>
      </w:pPr>
      <w:r>
        <w:rPr>
          <w:rFonts w:ascii="Arial" w:cs="Arial" w:eastAsia="Arial" w:hAnsi="Arial"/>
          <w:sz w:val="22"/>
          <w:szCs w:val="22"/>
        </w:rPr>
        <w:t xml:space="preserve">The most likely failure mode is that the arb signal detects data lag rather than real market spreads. Coinbase prices update in real-time via WebSocket. Aerodrome pool prices from The Graph subgraph can lag 1–5 minutes behind on-chain state. Mitigation: the backfill pipeline pulls direct on-chain data via Alchemy, bypassing The Graph entirely. If backtesting reveals that most “spreads” in the subgraph data disappear against on-chain data, the live arb module should switch its primary price source to direct RPC calls.</w:t>
      </w:r>
    </w:p>
    <w:p>
      <w:r>
        <w:br w:type="page"/>
      </w:r>
    </w:p>
    <w:p>
      <w:pPr>
        <w:pStyle w:val="Heading1"/>
        <w:spacing w:after="200" w:before="360"/>
      </w:pPr>
      <w:r>
        <w:rPr>
          <w:rFonts w:ascii="Arial" w:cs="Arial" w:eastAsia="Arial" w:hAnsi="Arial"/>
          <w:b/>
          <w:bCs/>
          <w:color w:val="1A1A2E"/>
          <w:sz w:val="32"/>
          <w:szCs w:val="32"/>
        </w:rPr>
        <w:t xml:space="preserve">API Cost Management: Haiku vs. Sonnet</w:t>
      </w:r>
    </w:p>
    <w:p>
      <w:pPr>
        <w:spacing w:after="160"/>
      </w:pPr>
      <w:r>
        <w:rPr>
          <w:rFonts w:ascii="Arial" w:cs="Arial" w:eastAsia="Arial" w:hAnsi="Arial"/>
          <w:sz w:val="22"/>
          <w:szCs w:val="22"/>
        </w:rPr>
        <w:t xml:space="preserve">Unchanged from v1. The qualitative layer makes up to 3 Claude API calls per 60-second cycle. The cost model and hybrid strategy remain the same.</w:t>
      </w:r>
    </w:p>
    <w:p>
      <w:pPr>
        <w:pStyle w:val="Heading2"/>
        <w:spacing w:after="160" w:before="280"/>
      </w:pPr>
      <w:r>
        <w:rPr>
          <w:rFonts w:ascii="Arial" w:cs="Arial" w:eastAsia="Arial" w:hAnsi="Arial"/>
          <w:b/>
          <w:bCs/>
          <w:color w:val="2E4057"/>
          <w:sz w:val="26"/>
          <w:szCs w:val="26"/>
        </w:rPr>
        <w:t xml:space="preserve">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2000"/>
        <w:gridCol w:w="1760"/>
      </w:tblGrid>
      <w:tr>
        <w:tc>
          <w:tcPr>
            <w:tcW w:type="dxa" w:w="24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Sonnet</w:t>
            </w:r>
          </w:p>
        </w:tc>
        <w:tc>
          <w:tcPr>
            <w:tcW w:type="dxa" w:w="16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Haiku</w:t>
            </w:r>
          </w:p>
        </w:tc>
        <w:tc>
          <w:tcPr>
            <w:tcW w:type="dxa" w:w="20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Hybrid</w:t>
            </w:r>
          </w:p>
        </w:tc>
        <w:tc>
          <w:tcPr>
            <w:tcW w:type="dxa" w:w="17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Savings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price / MTok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price / MTok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 cost / call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$0.003–$0.008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$0.0008–$0.002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~$0.002–$0.004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cost (4,320 calls)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55–70%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cost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$390–$1,050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$105–$270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$180–$450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55–70%</w:t>
            </w:r>
          </w:p>
        </w:tc>
      </w:tr>
    </w:tbl>
    <w:p>
      <w:pPr>
        <w:spacing w:after="200"/>
      </w:pPr>
    </w:p>
    <w:p>
      <w:pPr>
        <w:pStyle w:val="Heading2"/>
        <w:spacing w:after="160" w:before="280"/>
      </w:pPr>
      <w:r>
        <w:rPr>
          <w:rFonts w:ascii="Arial" w:cs="Arial" w:eastAsia="Arial" w:hAnsi="Arial"/>
          <w:b/>
          <w:bCs/>
          <w:color w:val="2E4057"/>
          <w:sz w:val="26"/>
          <w:szCs w:val="26"/>
        </w:rPr>
        <w:t xml:space="preserve">Recommended Hybrid Strategy</w:t>
      </w:r>
    </w:p>
    <w:p>
      <w:pPr>
        <w:pStyle w:val="ListParagraph"/>
        <w:numPr>
          <w:ilvl w:val="0"/>
          <w:numId w:val="8"/>
        </w:numPr>
        <w:spacing w:after="80"/>
      </w:pPr>
      <w:r>
        <w:rPr>
          <w:rFonts w:ascii="Arial" w:cs="Arial" w:eastAsia="Arial" w:hAnsi="Arial"/>
          <w:b/>
          <w:bCs/>
          <w:sz w:val="22"/>
          <w:szCs w:val="22"/>
        </w:rPr>
        <w:t xml:space="preserve">News synthesis → Haiku: </w:t>
      </w:r>
      <w:r>
        <w:rPr>
          <w:rFonts w:ascii="Arial" w:cs="Arial" w:eastAsia="Arial" w:hAnsi="Arial"/>
          <w:sz w:val="22"/>
          <w:szCs w:val="22"/>
        </w:rPr>
        <w:t xml:space="preserve">Structured classification task. Switch immediately.</w:t>
      </w:r>
    </w:p>
    <w:p>
      <w:pPr>
        <w:pStyle w:val="ListParagraph"/>
        <w:numPr>
          <w:ilvl w:val="0"/>
          <w:numId w:val="8"/>
        </w:numPr>
        <w:spacing w:after="80"/>
      </w:pPr>
      <w:r>
        <w:rPr>
          <w:rFonts w:ascii="Arial" w:cs="Arial" w:eastAsia="Arial" w:hAnsi="Arial"/>
          <w:b/>
          <w:bCs/>
          <w:sz w:val="22"/>
          <w:szCs w:val="22"/>
        </w:rPr>
        <w:t xml:space="preserve">Macro analysis → Haiku with Sonnet escalation: </w:t>
      </w:r>
      <w:r>
        <w:rPr>
          <w:rFonts w:ascii="Arial" w:cs="Arial" w:eastAsia="Arial" w:hAnsi="Arial"/>
          <w:sz w:val="22"/>
          <w:szCs w:val="22"/>
        </w:rPr>
        <w:t xml:space="preserve">Routine processing on Haiku. Escalate to Sonnet when indicators show significant deltas (&gt;2 standard deviations).</w:t>
      </w:r>
    </w:p>
    <w:p>
      <w:pPr>
        <w:pStyle w:val="ListParagraph"/>
        <w:numPr>
          <w:ilvl w:val="0"/>
          <w:numId w:val="8"/>
        </w:numPr>
        <w:spacing w:after="80"/>
      </w:pPr>
      <w:r>
        <w:rPr>
          <w:rFonts w:ascii="Arial" w:cs="Arial" w:eastAsia="Arial" w:hAnsi="Arial"/>
          <w:b/>
          <w:bCs/>
          <w:sz w:val="22"/>
          <w:szCs w:val="22"/>
        </w:rPr>
        <w:t xml:space="preserve">Contradiction detection → Sonnet: </w:t>
      </w:r>
      <w:r>
        <w:rPr>
          <w:rFonts w:ascii="Arial" w:cs="Arial" w:eastAsia="Arial" w:hAnsi="Arial"/>
          <w:sz w:val="22"/>
          <w:szCs w:val="22"/>
        </w:rPr>
        <w:t xml:space="preserve">Highest-value prompt. The ±30% conviction modifier is too important to risk on a smaller model.</w:t>
      </w:r>
    </w:p>
    <w:p>
      <w:pPr>
        <w:pStyle w:val="Heading2"/>
        <w:spacing w:after="160" w:before="280"/>
      </w:pPr>
      <w:r>
        <w:rPr>
          <w:rFonts w:ascii="Arial" w:cs="Arial" w:eastAsia="Arial" w:hAnsi="Arial"/>
          <w:b/>
          <w:bCs/>
          <w:color w:val="2E4057"/>
          <w:sz w:val="26"/>
          <w:szCs w:val="26"/>
        </w:rPr>
        <w:t xml:space="preserve">Cycle Frequency Optimization</w:t>
      </w:r>
    </w:p>
    <w:p>
      <w:pPr>
        <w:spacing w:after="160"/>
      </w:pPr>
      <w:r>
        <w:rPr>
          <w:rFonts w:ascii="Arial" w:cs="Arial" w:eastAsia="Arial" w:hAnsi="Arial"/>
          <w:sz w:val="22"/>
          <w:szCs w:val="22"/>
        </w:rPr>
        <w:t xml:space="preserve">The 60-second cycle is aggressive. If no new news articles have been ingested since the last cycle, skip the news synthesis call. If macro indicators haven’t changed (FRED data updates daily, not every minute), skip the macro analysis call. Only run contradiction detection when the underlying inputs have changed. This alone could reduce API calls by 50–70% without affecting signal quality.</w:t>
      </w:r>
    </w:p>
    <w:p>
      <w:r>
        <w:br w:type="page"/>
      </w:r>
    </w:p>
    <w:p>
      <w:pPr>
        <w:pStyle w:val="Heading1"/>
        <w:spacing w:after="200" w:before="360"/>
      </w:pPr>
      <w:r>
        <w:rPr>
          <w:rFonts w:ascii="Arial" w:cs="Arial" w:eastAsia="Arial" w:hAnsi="Arial"/>
          <w:b/>
          <w:bCs/>
          <w:color w:val="1A1A2E"/>
          <w:sz w:val="32"/>
          <w:szCs w:val="32"/>
        </w:rPr>
        <w:t xml:space="preserve">Revenue Acceleration</w:t>
      </w:r>
    </w:p>
    <w:p>
      <w:pPr>
        <w:spacing w:after="160"/>
      </w:pPr>
      <w:r>
        <w:rPr>
          <w:rFonts w:ascii="Arial" w:cs="Arial" w:eastAsia="Arial" w:hAnsi="Arial"/>
          <w:sz w:val="22"/>
          <w:szCs w:val="22"/>
        </w:rPr>
        <w:t xml:space="preserve">Market Agent’s primary revenue role is as a Sentinel query generator. Phase 3 now starts </w:t>
      </w:r>
      <w:r>
        <w:rPr>
          <w:rFonts w:ascii="Arial" w:cs="Arial" w:eastAsia="Arial" w:hAnsi="Arial"/>
          <w:b/>
          <w:bCs/>
          <w:sz w:val="22"/>
          <w:szCs w:val="22"/>
        </w:rPr>
        <w:t xml:space="preserve">3 weeks earlier</w:t>
      </w:r>
      <w:r>
        <w:rPr>
          <w:rFonts w:ascii="Arial" w:cs="Arial" w:eastAsia="Arial" w:hAnsi="Arial"/>
          <w:sz w:val="22"/>
          <w:szCs w:val="22"/>
        </w:rPr>
        <w:t xml:space="preserve"> than v1, which means revenue generation begins 3 weeks earlier. Everything else in this section is unchanged from v1.</w:t>
      </w:r>
    </w:p>
    <w:p>
      <w:pPr>
        <w:pStyle w:val="Heading2"/>
        <w:spacing w:after="160" w:before="280"/>
      </w:pPr>
      <w:r>
        <w:rPr>
          <w:rFonts w:ascii="Arial" w:cs="Arial" w:eastAsia="Arial" w:hAnsi="Arial"/>
          <w:b/>
          <w:bCs/>
          <w:color w:val="2E4057"/>
          <w:sz w:val="26"/>
          <w:szCs w:val="26"/>
        </w:rPr>
        <w:t xml:space="preserve">Direct Sentinel Revenue</w:t>
      </w:r>
    </w:p>
    <w:p>
      <w:pPr>
        <w:spacing w:after="160"/>
      </w:pPr>
      <w:r>
        <w:rPr>
          <w:rFonts w:ascii="Arial" w:cs="Arial" w:eastAsia="Arial" w:hAnsi="Arial"/>
          <w:sz w:val="22"/>
          <w:szCs w:val="22"/>
        </w:rPr>
        <w:t xml:space="preserve">At Phase 3 with 3 pairs monitored and an estimated 10–30 decision objects per day, Market Agent generates $0.35–$1.65 per day in Sentinel queries. The real value is demonstrating the query pattern to other agent builders.</w:t>
      </w:r>
    </w:p>
    <w:p>
      <w:pPr>
        <w:pStyle w:val="Heading2"/>
        <w:spacing w:after="160" w:before="280"/>
      </w:pPr>
      <w:r>
        <w:rPr>
          <w:rFonts w:ascii="Arial" w:cs="Arial" w:eastAsia="Arial" w:hAnsi="Arial"/>
          <w:b/>
          <w:bCs/>
          <w:color w:val="2E4057"/>
          <w:sz w:val="26"/>
          <w:szCs w:val="26"/>
        </w:rPr>
        <w:t xml:space="preserve">Multiplier: Other Agents Adopting the Pattern</w:t>
      </w:r>
    </w:p>
    <w:p>
      <w:pPr>
        <w:spacing w:after="160"/>
      </w:pPr>
      <w:r>
        <w:rPr>
          <w:rFonts w:ascii="Arial" w:cs="Arial" w:eastAsia="Arial" w:hAnsi="Arial"/>
          <w:sz w:val="22"/>
          <w:szCs w:val="22"/>
        </w:rPr>
        <w:t xml:space="preserve">When Market Agent’s Sentinel integration is documented and visible, other trading agents in the x402 ecosystem can replicate the same pattern. If 5 agents run similar verification flows, Sentinel’s daily query revenue from trading agents alone reaches $1.75–$8.25/day, or $52–$247/month.</w:t>
      </w:r>
    </w:p>
    <w:p>
      <w:pPr>
        <w:pStyle w:val="Heading2"/>
        <w:spacing w:after="160" w:before="280"/>
      </w:pPr>
      <w:r>
        <w:rPr>
          <w:rFonts w:ascii="Arial" w:cs="Arial" w:eastAsia="Arial" w:hAnsi="Arial"/>
          <w:b/>
          <w:bCs/>
          <w:color w:val="2E4057"/>
          <w:sz w:val="26"/>
          <w:szCs w:val="26"/>
        </w:rPr>
        <w:t xml:space="preserve">Briefing-as-a-Service</w:t>
      </w:r>
    </w:p>
    <w:p>
      <w:pPr>
        <w:spacing w:after="160"/>
      </w:pPr>
      <w:r>
        <w:rPr>
          <w:rFonts w:ascii="Arial" w:cs="Arial" w:eastAsia="Arial" w:hAnsi="Arial"/>
          <w:sz w:val="22"/>
          <w:szCs w:val="22"/>
        </w:rPr>
        <w:t xml:space="preserve">Market Agent’s structured briefings are valuable intelligence products independent of trading execution. Exposing the briefing API (already built at /briefing and /briefings endpoints) as a paid service via x402 micropayments at $0.01–$0.05 per query creates a second revenue stream with minimal additional code.</w:t>
      </w:r>
    </w:p>
    <w:p>
      <w:pPr>
        <w:pStyle w:val="Heading2"/>
        <w:spacing w:after="160" w:before="280"/>
      </w:pPr>
      <w:r>
        <w:rPr>
          <w:rFonts w:ascii="Arial" w:cs="Arial" w:eastAsia="Arial" w:hAnsi="Arial"/>
          <w:b/>
          <w:bCs/>
          <w:color w:val="2E4057"/>
          <w:sz w:val="26"/>
          <w:szCs w:val="26"/>
        </w:rPr>
        <w:t xml:space="preserve">Phase 4+ Trading Revenue</w:t>
      </w:r>
    </w:p>
    <w:p>
      <w:pPr>
        <w:spacing w:after="160"/>
      </w:pPr>
      <w:r>
        <w:rPr>
          <w:rFonts w:ascii="Arial" w:cs="Arial" w:eastAsia="Arial" w:hAnsi="Arial"/>
          <w:sz w:val="22"/>
          <w:szCs w:val="22"/>
        </w:rPr>
        <w:t xml:space="preserve">Live trading generates actual profit from captured spreads and directional trades. Phase 4+ and should not be counted in near-term planning. Backtest results from Phase 2 will provide the first reliable estimate.</w:t>
      </w:r>
    </w:p>
    <w:p>
      <w:r>
        <w:br w:type="page"/>
      </w:r>
    </w:p>
    <w:p>
      <w:pPr>
        <w:pStyle w:val="Heading1"/>
        <w:spacing w:after="200" w:before="360"/>
      </w:pPr>
      <w:r>
        <w:rPr>
          <w:rFonts w:ascii="Arial" w:cs="Arial" w:eastAsia="Arial" w:hAnsi="Arial"/>
          <w:b/>
          <w:bCs/>
          <w:color w:val="1A1A2E"/>
          <w:sz w:val="32"/>
          <w:szCs w:val="32"/>
        </w:rPr>
        <w:t xml:space="preserve">Public Narrative Playbook</w:t>
      </w:r>
    </w:p>
    <w:p>
      <w:pPr>
        <w:spacing w:after="160"/>
      </w:pPr>
      <w:r>
        <w:rPr>
          <w:rFonts w:ascii="Arial" w:cs="Arial" w:eastAsia="Arial" w:hAnsi="Arial"/>
          <w:sz w:val="22"/>
          <w:szCs w:val="22"/>
        </w:rPr>
        <w:t xml:space="preserve">Updated to reflect the compressed timeline.</w:t>
      </w:r>
    </w:p>
    <w:p>
      <w:pPr>
        <w:pStyle w:val="Heading2"/>
        <w:spacing w:after="160" w:before="280"/>
      </w:pPr>
      <w:r>
        <w:rPr>
          <w:rFonts w:ascii="Arial" w:cs="Arial" w:eastAsia="Arial" w:hAnsi="Arial"/>
          <w:b/>
          <w:bCs/>
          <w:color w:val="2E4057"/>
          <w:sz w:val="26"/>
          <w:szCs w:val="26"/>
        </w:rPr>
        <w:t xml:space="preserve">Stage 1: Weeks 1–2 (April 1–14) — Silent</w:t>
      </w:r>
    </w:p>
    <w:p>
      <w:pPr>
        <w:spacing w:after="160"/>
      </w:pPr>
      <w:r>
        <w:rPr>
          <w:rFonts w:ascii="Arial" w:cs="Arial" w:eastAsia="Arial" w:hAnsi="Arial"/>
          <w:sz w:val="22"/>
          <w:szCs w:val="22"/>
        </w:rPr>
        <w:t xml:space="preserve">No public mentions of Market Agent. Focus on Sentinel’s community-facing features (session tracking, spending ceiling). Market Agent development stays internal. You have no signal validation data yet.</w:t>
      </w:r>
    </w:p>
    <w:p>
      <w:pPr>
        <w:pStyle w:val="Heading2"/>
        <w:spacing w:after="160" w:before="280"/>
      </w:pPr>
      <w:r>
        <w:rPr>
          <w:rFonts w:ascii="Arial" w:cs="Arial" w:eastAsia="Arial" w:hAnsi="Arial"/>
          <w:b/>
          <w:bCs/>
          <w:color w:val="2E4057"/>
          <w:sz w:val="26"/>
          <w:szCs w:val="26"/>
        </w:rPr>
        <w:t xml:space="preserve">Stage 2: Weeks 3–4 (April 15–27) — Soft Reveal</w:t>
      </w:r>
    </w:p>
    <w:p>
      <w:pPr>
        <w:spacing w:after="160"/>
      </w:pPr>
      <w:r>
        <w:rPr>
          <w:rFonts w:ascii="Arial" w:cs="Arial" w:eastAsia="Arial" w:hAnsi="Arial"/>
          <w:sz w:val="22"/>
          <w:szCs w:val="22"/>
        </w:rPr>
        <w:t xml:space="preserve">After Phase 2 backtesting produces results, share a technical post about “how we use Sentinel to constrain an autonomous agent.” Frame as a case study in trust-verified agent execution. Publish to the x402 community. Content: architecture diagram, backtesting methodology (not results), decision object spec.</w:t>
      </w:r>
    </w:p>
    <w:p>
      <w:pPr>
        <w:pStyle w:val="Heading2"/>
        <w:spacing w:after="160" w:before="280"/>
      </w:pPr>
      <w:r>
        <w:rPr>
          <w:rFonts w:ascii="Arial" w:cs="Arial" w:eastAsia="Arial" w:hAnsi="Arial"/>
          <w:b/>
          <w:bCs/>
          <w:color w:val="2E4057"/>
          <w:sz w:val="26"/>
          <w:szCs w:val="26"/>
        </w:rPr>
        <w:t xml:space="preserve">Stage 3: Weeks 5–7 (April 28 — May 18) — Full Story</w:t>
      </w:r>
    </w:p>
    <w:p>
      <w:pPr>
        <w:spacing w:after="160"/>
      </w:pPr>
      <w:r>
        <w:rPr>
          <w:rFonts w:ascii="Arial" w:cs="Arial" w:eastAsia="Arial" w:hAnsi="Arial"/>
          <w:sz w:val="22"/>
          <w:szCs w:val="22"/>
        </w:rPr>
        <w:t xml:space="preserve">Paper trading results are in. Publish the complete case study: backtesting results, paper trading performance, Sentinel integration metrics, trust progression data. Venues: x402 GitHub thread, Base ecosystem channels, dedicated blog post. If Erik Reppel has responded to the ERC-8004 DM, share directly.</w:t>
      </w:r>
    </w:p>
    <w:p>
      <w:pPr>
        <w:pStyle w:val="Heading2"/>
        <w:spacing w:after="160" w:before="280"/>
      </w:pPr>
      <w:r>
        <w:rPr>
          <w:rFonts w:ascii="Arial" w:cs="Arial" w:eastAsia="Arial" w:hAnsi="Arial"/>
          <w:b/>
          <w:bCs/>
          <w:color w:val="2E4057"/>
          <w:sz w:val="26"/>
          <w:szCs w:val="26"/>
        </w:rPr>
        <w:t xml:space="preserve">Stage 4: Post-Week 7 — Reference Implementation</w:t>
      </w:r>
    </w:p>
    <w:p>
      <w:pPr>
        <w:spacing w:after="160"/>
      </w:pPr>
      <w:r>
        <w:rPr>
          <w:rFonts w:ascii="Arial" w:cs="Arial" w:eastAsia="Arial" w:hAnsi="Arial"/>
          <w:sz w:val="22"/>
          <w:szCs w:val="22"/>
        </w:rPr>
        <w:t xml:space="preserve">Publish the integration code as open-source. Let other agents fork Market Agent’s Sentinel integration pattern. This is the protocol-path move — Sentinel’s verification pattern becomes the standard because it’s the easiest one to adopt.</w:t>
      </w:r>
    </w:p>
    <w:p>
      <w:r>
        <w:br w:type="page"/>
      </w:r>
    </w:p>
    <w:p>
      <w:pPr>
        <w:pStyle w:val="Heading1"/>
        <w:spacing w:after="200" w:before="360"/>
      </w:pPr>
      <w:r>
        <w:rPr>
          <w:rFonts w:ascii="Arial" w:cs="Arial" w:eastAsia="Arial" w:hAnsi="Arial"/>
          <w:b/>
          <w:bCs/>
          <w:color w:val="1A1A2E"/>
          <w:sz w:val="32"/>
          <w:szCs w:val="32"/>
        </w:rPr>
        <w:t xml:space="preserve">Critical Path Summary</w:t>
      </w:r>
    </w:p>
    <w:p>
      <w:pPr>
        <w:spacing w:after="160"/>
      </w:pPr>
      <w:r>
        <w:rPr>
          <w:rFonts w:ascii="Arial" w:cs="Arial" w:eastAsia="Arial" w:hAnsi="Arial"/>
          <w:sz w:val="22"/>
          <w:szCs w:val="22"/>
        </w:rPr>
        <w:t xml:space="preserve">The gate structure is updated to reflect the compressed timeline and the shift from data volume thresholds to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360"/>
        <w:gridCol w:w="3000"/>
      </w:tblGrid>
      <w:tr>
        <w:tc>
          <w:tcPr>
            <w:tcW w:type="dxa" w:w="10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20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c>
          <w:tcPr>
            <w:tcW w:type="dxa" w:w="336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000"/>
            <w:tcBorders>
              <w:top w:val="single" w:color="999999" w:sz="2"/>
              <w:left w:val="single" w:color="999999" w:sz="2"/>
              <w:bottom w:val="single" w:color="999999" w:sz="2"/>
              <w:right w:val="single" w:color="999999" w:sz="2"/>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7 (Week 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data persistence live + historical backfill complete + backtesting harness operational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cannot start without replay data and a harness to process it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27 (Week 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least 1 signal type graduates backtesting criteria (Sharpe &gt;1.0, drawdown &lt;15%, hit rate &gt;40%)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has nothing to trade without a graduated signal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18 (Week 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trading P&amp;L within 20% of backtest expectation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(real capital) requires validated expectations</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20"/>
              <w:left w:type="dxa" w:w="200"/>
              <w:bottom w:type="dxa" w:w="120"/>
              <w:right w:type="dxa" w:w="200"/>
            </w:tcMar>
          </w:tcPr>
          <w:p>
            <w:pPr>
              <w:spacing w:after="160"/>
            </w:pPr>
            <w:r>
              <w:rPr>
                <w:rFonts w:ascii="Arial" w:cs="Arial" w:eastAsia="Arial" w:hAnsi="Arial"/>
                <w:b/>
                <w:bCs/>
                <w:sz w:val="22"/>
                <w:szCs w:val="22"/>
              </w:rPr>
              <w:t xml:space="preserve">v1 said: </w:t>
            </w:r>
            <w:r>
              <w:rPr>
                <w:rFonts w:ascii="Arial" w:cs="Arial" w:eastAsia="Arial" w:hAnsi="Arial"/>
                <w:i/>
                <w:iCs/>
                <w:sz w:val="22"/>
                <w:szCs w:val="22"/>
              </w:rPr>
              <w:t xml:space="preserve">"The single most important action item is raw data persistence."</w:t>
            </w:r>
          </w:p>
          <w:p>
            <w:pPr>
              <w:spacing w:after="160"/>
            </w:pPr>
            <w:r>
              <w:rPr>
                <w:rFonts w:ascii="Arial" w:cs="Arial" w:eastAsia="Arial" w:hAnsi="Arial"/>
                <w:b/>
                <w:bCs/>
                <w:sz w:val="22"/>
                <w:szCs w:val="22"/>
              </w:rPr>
              <w:t xml:space="preserve">v2 says: </w:t>
            </w:r>
            <w:r>
              <w:rPr>
                <w:rFonts w:ascii="Arial" w:cs="Arial" w:eastAsia="Arial" w:hAnsi="Arial"/>
                <w:sz w:val="22"/>
                <w:szCs w:val="22"/>
              </w:rPr>
              <w:t xml:space="preserve">Raw data persistence is done. The single most important action item is now the historical backfill pipeline and backtesting harness — which Claude Code is actively building. When that’s complete, Phase 2 backtesting begins immediately with 90+ days of historical data. No waiting. No data accumulation gate. The timeline is real.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Sentinel / Market Agent  —  Internal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spacing w:after="0"/>
    </w:pPr>
    <w:r>
      <w:rPr>
        <w:rFonts w:ascii="Arial" w:cs="Arial" w:eastAsia="Arial" w:hAnsi="Arial"/>
        <w:b/>
        <w:bCs/>
        <w:color w:val="2E4057"/>
        <w:sz w:val="16"/>
        <w:szCs w:val="16"/>
      </w:rPr>
      <w:t xml:space="preserve">MARKET AGENT</w:t>
    </w:r>
    <w:r>
      <w:rPr>
        <w:rFonts w:ascii="Arial" w:cs="Arial" w:eastAsia="Arial" w:hAnsi="Arial"/>
        <w:color w:val="666666"/>
        <w:sz w:val="16"/>
        <w:szCs w:val="16"/>
      </w:rPr>
      <w:t xml:space="preserve">  |  Aggressive Production Plan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2026-04-01T11:18:23.289Z</dcterms:created>
  <dcterms:modified xsi:type="dcterms:W3CDTF">2026-04-01T11:18:23.290Z</dcterms:modified>
</cp:coreProperties>
</file>

<file path=docProps/custom.xml><?xml version="1.0" encoding="utf-8"?>
<Properties xmlns="http://schemas.openxmlformats.org/officeDocument/2006/custom-properties" xmlns:vt="http://schemas.openxmlformats.org/officeDocument/2006/docPropsVTypes"/>
</file>